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b/>
          <w:bCs/>
          <w:color w:val="1F3864"/>
          <w:sz w:val="52"/>
          <w:szCs w:val="52"/>
        </w:rPr>
        <w:t xml:space="preserve">OWNER’S DEVELOPMENT PROGRAM</w:t>
      </w:r>
    </w:p>
    <w:p>
      <w:pPr>
        <w:spacing w:after="0" w:before="120"/>
        <w:jc w:val="center"/>
      </w:pPr>
      <w:r>
        <w:rPr>
          <w:color w:val="2E5496"/>
          <w:sz w:val="36"/>
          <w:szCs w:val="36"/>
        </w:rPr>
        <w:t xml:space="preserve">South Andrews Clinical &amp; Mobility Center</w:t>
      </w:r>
    </w:p>
    <w:p>
      <w:pPr>
        <w:spacing w:after="400" w:before="80"/>
        <w:jc w:val="center"/>
      </w:pPr>
      <w:r>
        <w:rPr>
          <w:color w:val="595959"/>
          <w:sz w:val="22"/>
          <w:szCs w:val="22"/>
        </w:rPr>
        <w:t xml:space="preserve">901–915 South Andrews Avenue · Fort Lauderdale, Florida 33316</w:t>
      </w:r>
    </w:p>
    <w:p>
      <w:pPr>
        <w:pBdr>
          <w:bottom w:val="single" w:color="1F3864" w:sz="12" w:space="6"/>
        </w:pBdr>
        <w:spacing w:after="1000"/>
        <w:jc w:val="center"/>
      </w:pPr>
    </w:p>
    <w:p>
      <w:pPr>
        <w:spacing w:after="60"/>
        <w:jc w:val="center"/>
      </w:pPr>
      <w:r>
        <w:rPr>
          <w:b/>
          <w:bCs/>
          <w:color w:val="1F3864"/>
          <w:sz w:val="22"/>
          <w:szCs w:val="22"/>
        </w:rPr>
        <w:t xml:space="preserve">GOVERNING DOCUMENT — OWNER’S DEVELOPMENT MANUAL</w:t>
      </w:r>
    </w:p>
    <w:p>
      <w:pPr>
        <w:spacing w:after="60"/>
        <w:jc w:val="center"/>
      </w:pPr>
      <w:r>
        <w:rPr>
          <w:color w:val="595959"/>
          <w:sz w:val="20"/>
          <w:szCs w:val="20"/>
        </w:rPr>
        <w:t xml:space="preserve">Prepared by the Owner’s Representative for the Investment Committee</w:t>
      </w:r>
    </w:p>
    <w:p>
      <w:pPr>
        <w:spacing w:after="60"/>
        <w:jc w:val="center"/>
      </w:pPr>
      <w:r>
        <w:rPr>
          <w:color w:val="595959"/>
          <w:sz w:val="20"/>
          <w:szCs w:val="20"/>
        </w:rPr>
        <w:t xml:space="preserve">Issued prior to Schematic Design</w:t>
      </w:r>
    </w:p>
    <w:p>
      <w:pPr>
        <w:spacing w:after="800"/>
        <w:jc w:val="center"/>
      </w:pPr>
      <w:r>
        <w:rPr>
          <w:color w:val="595959"/>
          <w:sz w:val="18"/>
          <w:szCs w:val="18"/>
        </w:rPr>
        <w:t xml:space="preserve">Version 1.0  ·  Status: Governing  ·  Precedence: Subordinate to Project Constitution and Project Decision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F0F8" w:sz="1"/>
              <w:left w:val="single" w:color="1F3864" w:sz="24"/>
              <w:bottom w:val="single" w:color="EAF0F8" w:sz="1"/>
              <w:right w:val="single" w:color="EAF0F8" w:sz="1"/>
            </w:tcBorders>
            <w:shd w:fill="EAF0F8" w:val="clear"/>
            <w:tcMar>
              <w:top w:type="dxa" w:w="120"/>
              <w:left w:type="dxa" w:w="200"/>
              <w:bottom w:type="dxa" w:w="120"/>
              <w:right w:type="dxa" w:w="160"/>
            </w:tcMar>
          </w:tcPr>
          <w:p>
            <w:pPr>
              <w:spacing w:after="60"/>
            </w:pPr>
            <w:r>
              <w:rPr>
                <w:b/>
                <w:bCs/>
                <w:color w:val="1F3864"/>
                <w:sz w:val="19"/>
                <w:szCs w:val="19"/>
              </w:rPr>
              <w:t xml:space="preserve">Document precedence (per README § Document Hierarchy)</w:t>
            </w:r>
          </w:p>
          <w:p>
            <w:pPr>
              <w:spacing w:after="40" w:line="252"/>
            </w:pPr>
            <w:r>
              <w:rPr>
                <w:b/>
                <w:bCs/>
              </w:rPr>
              <w:t xml:space="preserve">1. Project Constitution  </w:t>
            </w:r>
            <w:r>
              <w:t xml:space="preserve">→  2. Project Decision Log  →  </w:t>
            </w:r>
            <w:r>
              <w:rPr>
                <w:b/>
                <w:bCs/>
              </w:rPr>
              <w:t xml:space="preserve">3. This Owner’s Development Program  </w:t>
            </w:r>
            <w:r>
              <w:t xml:space="preserve">→  4. Design Standards  →  5. Open Questions</w:t>
            </w:r>
          </w:p>
          <w:p>
            <w:pPr>
              <w:spacing w:after="40" w:line="252"/>
            </w:pPr>
            <w:r>
              <w:rPr>
                <w:i/>
                <w:iCs/>
              </w:rPr>
              <w:t xml:space="preserve">This ODP governs design work but never overrides the Constitution or an active decision in the Decision Log. Boundary Survey controls parcel geometry; official City and utility records, when obtained, control zoning and infrastructure.</w:t>
            </w:r>
          </w:p>
        </w:tc>
      </w:tr>
    </w:tbl>
    <w:p>
      <w:r>
        <w:br w:type="page"/>
      </w:r>
    </w:p>
    <w:p>
      <w:pPr>
        <w:pStyle w:val="Heading1"/>
      </w:pPr>
      <w:r>
        <w:t xml:space="preserve">Table of 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Executive Dashboard</w:t>
      </w:r>
    </w:p>
    <w:p>
      <w:pPr>
        <w:spacing w:after="100"/>
      </w:pPr>
      <w:r>
        <w:rPr>
          <w:sz w:val="19"/>
          <w:szCs w:val="19"/>
        </w:rPr>
        <w:t xml:space="preserve">A five-minute briefing for investors, lenders, City staff, healthcare partners, architects, and engineers. </w:t>
      </w:r>
      <w:r>
        <w:rPr>
          <w:sz w:val="19"/>
          <w:szCs w:val="19"/>
        </w:rPr>
        <w:t xml:space="preserve">All figures are tagged </w:t>
      </w:r>
      <w:r>
        <w:rPr>
          <w:b/>
          <w:bCs/>
          <w:color w:val="548235"/>
          <w:sz w:val="16"/>
          <w:szCs w:val="16"/>
        </w:rPr>
        <w:t xml:space="preserve">FACT</w:t>
      </w:r>
      <w:r>
        <w:rPr>
          <w:sz w:val="19"/>
          <w:szCs w:val="19"/>
        </w:rPr>
        <w:t xml:space="preserve"> (verified) or </w:t>
      </w:r>
      <w:r>
        <w:rPr>
          <w:b/>
          <w:bCs/>
          <w:color w:val="BF8F00"/>
          <w:sz w:val="16"/>
          <w:szCs w:val="16"/>
        </w:rPr>
        <w:t xml:space="preserve">ASSUMPTION</w:t>
      </w:r>
      <w:r>
        <w:rPr>
          <w:sz w:val="19"/>
          <w:szCs w:val="19"/>
        </w:rPr>
        <w:t xml:space="preserve"> (requires validation). Items not yet determined are marked </w:t>
      </w:r>
      <w:r>
        <w:rPr>
          <w:b/>
          <w:bCs/>
          <w:color w:val="595959"/>
          <w:sz w:val="18"/>
          <w:szCs w:val="18"/>
        </w:rPr>
        <w:t xml:space="preserve">TBD — Schematic Design</w:t>
      </w:r>
      <w:r>
        <w:rPr>
          <w:sz w:val="19"/>
          <w:szCs w:val="19"/>
        </w:rPr>
        <w:t xml:space="preserve">. This dashboard summarizes the manual that follows; it creates no new decisions.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3864" w:val="clear"/>
            <w:tcMar>
              <w:top w:type="dxa" w:w="70"/>
              <w:left w:type="dxa" w:w="160"/>
              <w:bottom w:type="dxa" w:w="70"/>
              <w:right w:type="dxa" w:w="160"/>
            </w:tcMar>
          </w:tcPr>
          <w:p>
            <w:pPr>
              <w:spacing w:after="0"/>
            </w:pPr>
            <w:r>
              <w:rPr>
                <w:b/>
                <w:bCs/>
                <w:color w:val="FFFFFF"/>
                <w:sz w:val="22"/>
                <w:szCs w:val="22"/>
              </w:rPr>
              <w:t xml:space="preserve">1   ·   PROJECT SNAPSHOT</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360"/>
        <w:gridCol w:w="1800"/>
      </w:tblGrid>
      <w:tr>
        <w:trPr>
          <w:tblHeader/>
        </w:trPr>
        <w:tc>
          <w:tcPr>
            <w:tcW w:type="dxa" w:w="32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line="240"/>
              <w:jc w:val="left"/>
            </w:pPr>
            <w:r>
              <w:rPr>
                <w:b/>
                <w:bCs/>
                <w:color w:val="FFFFFF"/>
                <w:sz w:val="18"/>
                <w:szCs w:val="18"/>
              </w:rPr>
              <w:t xml:space="preserve">Attribute</w:t>
            </w:r>
          </w:p>
        </w:tc>
        <w:tc>
          <w:tcPr>
            <w:tcW w:type="dxa" w:w="43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line="240"/>
              <w:jc w:val="left"/>
            </w:pPr>
            <w:r>
              <w:rPr>
                <w:b/>
                <w:bCs/>
                <w:color w:val="FFFFFF"/>
                <w:sz w:val="18"/>
                <w:szCs w:val="18"/>
              </w:rPr>
              <w:t xml:space="preserve">Value</w:t>
            </w:r>
          </w:p>
        </w:tc>
        <w:tc>
          <w:tcPr>
            <w:tcW w:type="dxa" w:w="18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line="240"/>
              <w:jc w:val="left"/>
            </w:pPr>
            <w:r>
              <w:rPr>
                <w:b/>
                <w:bCs/>
                <w:color w:val="FFFFFF"/>
                <w:sz w:val="18"/>
                <w:szCs w:val="18"/>
              </w:rPr>
              <w:t xml:space="preserve">Source / Tag</w:t>
            </w:r>
          </w:p>
        </w:tc>
      </w:tr>
      <w:tr>
        <w:tc>
          <w:tcPr>
            <w:tcW w:type="dxa" w:w="3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Property address</w:t>
            </w:r>
          </w:p>
        </w:tc>
        <w:tc>
          <w:tcPr>
            <w:tcW w:type="dxa" w:w="43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901–915 South Andrews Avenue, Fort Lauderdale, FL 33316</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sz w:val="18"/>
                <w:szCs w:val="18"/>
              </w:rPr>
              <w:t xml:space="preserve">Survey/README </w:t>
            </w:r>
            <w:r>
              <w:rPr>
                <w:b/>
                <w:bCs/>
                <w:color w:val="548235"/>
                <w:sz w:val="16"/>
                <w:szCs w:val="16"/>
              </w:rPr>
              <w:t xml:space="preserve">FACT</w:t>
            </w:r>
          </w:p>
        </w:tc>
      </w:tr>
      <w:tr>
        <w:tc>
          <w:tcPr>
            <w:tcW w:type="dxa" w:w="32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Parcel size</w:t>
            </w:r>
          </w:p>
        </w:tc>
        <w:tc>
          <w:tcPr>
            <w:tcW w:type="dxa" w:w="43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 0.88 acre (± 38,207 SF), 100% usable</w:t>
            </w:r>
          </w:p>
        </w:tc>
        <w:tc>
          <w:tcPr>
            <w:tcW w:type="dxa" w:w="18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sz w:val="18"/>
                <w:szCs w:val="18"/>
              </w:rPr>
              <w:t xml:space="preserve">Site Intel </w:t>
            </w:r>
            <w:r>
              <w:rPr>
                <w:b/>
                <w:bCs/>
                <w:color w:val="548235"/>
                <w:sz w:val="16"/>
                <w:szCs w:val="16"/>
              </w:rPr>
              <w:t xml:space="preserve">FACT</w:t>
            </w:r>
          </w:p>
        </w:tc>
      </w:tr>
      <w:tr>
        <w:tc>
          <w:tcPr>
            <w:tcW w:type="dxa" w:w="3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Zoning</w:t>
            </w:r>
          </w:p>
        </w:tc>
        <w:tc>
          <w:tcPr>
            <w:tcW w:type="dxa" w:w="43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RAC-RPO (Regional Activity Center – Residential &amp; Professional Office)</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sz w:val="18"/>
                <w:szCs w:val="18"/>
              </w:rPr>
              <w:t xml:space="preserve">Site Intel </w:t>
            </w:r>
            <w:r>
              <w:rPr>
                <w:b/>
                <w:bCs/>
                <w:color w:val="548235"/>
                <w:sz w:val="16"/>
                <w:szCs w:val="16"/>
              </w:rPr>
              <w:t xml:space="preserve">FACT</w:t>
            </w:r>
          </w:p>
        </w:tc>
      </w:tr>
      <w:tr>
        <w:tc>
          <w:tcPr>
            <w:tcW w:type="dxa" w:w="32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Future Land Use</w:t>
            </w:r>
          </w:p>
        </w:tc>
        <w:tc>
          <w:tcPr>
            <w:tcW w:type="dxa" w:w="43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South Regional Activity Center (SRAC)</w:t>
            </w:r>
          </w:p>
        </w:tc>
        <w:tc>
          <w:tcPr>
            <w:tcW w:type="dxa" w:w="18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sz w:val="18"/>
                <w:szCs w:val="18"/>
              </w:rPr>
              <w:t xml:space="preserve">Site Intel </w:t>
            </w:r>
            <w:r>
              <w:rPr>
                <w:b/>
                <w:bCs/>
                <w:color w:val="548235"/>
                <w:sz w:val="16"/>
                <w:szCs w:val="16"/>
              </w:rPr>
              <w:t xml:space="preserve">FACT</w:t>
            </w:r>
          </w:p>
        </w:tc>
      </w:tr>
      <w:tr>
        <w:tc>
          <w:tcPr>
            <w:tcW w:type="dxa" w:w="3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Opportunity Zone</w:t>
            </w:r>
          </w:p>
        </w:tc>
        <w:tc>
          <w:tcPr>
            <w:tcW w:type="dxa" w:w="43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Yes — federal Qualified Opportunity Zone</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sz w:val="18"/>
                <w:szCs w:val="18"/>
              </w:rPr>
              <w:t xml:space="preserve">Site Intel </w:t>
            </w:r>
            <w:r>
              <w:rPr>
                <w:b/>
                <w:bCs/>
                <w:color w:val="548235"/>
                <w:sz w:val="16"/>
                <w:szCs w:val="16"/>
              </w:rPr>
              <w:t xml:space="preserve">FACT</w:t>
            </w:r>
          </w:p>
        </w:tc>
      </w:tr>
      <w:tr>
        <w:tc>
          <w:tcPr>
            <w:tcW w:type="dxa" w:w="32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Flood Zone</w:t>
            </w:r>
          </w:p>
        </w:tc>
        <w:tc>
          <w:tcPr>
            <w:tcW w:type="dxa" w:w="43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FEMA Zone AE (BFE ≈ 5 ft) — entire site</w:t>
            </w:r>
          </w:p>
        </w:tc>
        <w:tc>
          <w:tcPr>
            <w:tcW w:type="dxa" w:w="18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sz w:val="18"/>
                <w:szCs w:val="18"/>
              </w:rPr>
              <w:t xml:space="preserve">Site Intel </w:t>
            </w:r>
            <w:r>
              <w:rPr>
                <w:b/>
                <w:bCs/>
                <w:color w:val="548235"/>
                <w:sz w:val="16"/>
                <w:szCs w:val="16"/>
              </w:rPr>
              <w:t xml:space="preserve">FACT</w:t>
            </w:r>
          </w:p>
        </w:tc>
      </w:tr>
      <w:tr>
        <w:tc>
          <w:tcPr>
            <w:tcW w:type="dxa" w:w="3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Primary Frontage</w:t>
            </w:r>
          </w:p>
        </w:tc>
        <w:tc>
          <w:tcPr>
            <w:tcW w:type="dxa" w:w="43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S. Andrews Avenue, ± 275 ft (0 ft build-to line)</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sz w:val="18"/>
                <w:szCs w:val="18"/>
              </w:rPr>
              <w:t xml:space="preserve">Appraisal </w:t>
            </w:r>
            <w:r>
              <w:rPr>
                <w:b/>
                <w:bCs/>
                <w:color w:val="548235"/>
                <w:sz w:val="16"/>
                <w:szCs w:val="16"/>
              </w:rPr>
              <w:t xml:space="preserve">FACT</w:t>
            </w:r>
          </w:p>
        </w:tc>
      </w:tr>
      <w:tr>
        <w:tc>
          <w:tcPr>
            <w:tcW w:type="dxa" w:w="32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Height Potential</w:t>
            </w:r>
          </w:p>
        </w:tc>
        <w:tc>
          <w:tcPr>
            <w:tcW w:type="dxa" w:w="43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110 ft (~10 stories) by right; up to 150 ft via bonuses</w:t>
            </w:r>
          </w:p>
        </w:tc>
        <w:tc>
          <w:tcPr>
            <w:tcW w:type="dxa" w:w="18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sz w:val="18"/>
                <w:szCs w:val="18"/>
              </w:rPr>
              <w:t xml:space="preserve">Site Intel </w:t>
            </w:r>
            <w:r>
              <w:rPr>
                <w:b/>
                <w:bCs/>
                <w:color w:val="548235"/>
                <w:sz w:val="16"/>
                <w:szCs w:val="16"/>
              </w:rPr>
              <w:t xml:space="preserve">FACT</w:t>
            </w:r>
          </w:p>
        </w:tc>
      </w:tr>
      <w:tr>
        <w:tc>
          <w:tcPr>
            <w:tcW w:type="dxa" w:w="3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Development Status</w:t>
            </w:r>
          </w:p>
        </w:tc>
        <w:tc>
          <w:tcPr>
            <w:tcW w:type="dxa" w:w="43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Pre-Schematic Design — Owner’s Development Program issued</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sz w:val="18"/>
                <w:szCs w:val="18"/>
              </w:rPr>
              <w:t xml:space="preserve">This document </w:t>
            </w:r>
            <w:r>
              <w:rPr>
                <w:b/>
                <w:bCs/>
                <w:color w:val="548235"/>
                <w:sz w:val="16"/>
                <w:szCs w:val="16"/>
              </w:rPr>
              <w:t xml:space="preserve">FACT</w:t>
            </w:r>
          </w:p>
        </w:tc>
      </w:tr>
      <w:tr>
        <w:tc>
          <w:tcPr>
            <w:tcW w:type="dxa" w:w="32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Document Version</w:t>
            </w:r>
          </w:p>
        </w:tc>
        <w:tc>
          <w:tcPr>
            <w:tcW w:type="dxa" w:w="43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Owner’s Development Program v1.0 (Governing)</w:t>
            </w:r>
          </w:p>
        </w:tc>
        <w:tc>
          <w:tcPr>
            <w:tcW w:type="dxa" w:w="18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sz w:val="18"/>
                <w:szCs w:val="18"/>
              </w:rPr>
              <w:t xml:space="preserve">This document </w:t>
            </w:r>
            <w:r>
              <w:rPr>
                <w:b/>
                <w:bCs/>
                <w:color w:val="548235"/>
                <w:sz w:val="16"/>
                <w:szCs w:val="16"/>
              </w:rPr>
              <w:t xml:space="preserve">FACT</w:t>
            </w:r>
          </w:p>
        </w:tc>
      </w:tr>
      <w:tr>
        <w:tc>
          <w:tcPr>
            <w:tcW w:type="dxa" w:w="3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Governing Documents</w:t>
            </w:r>
          </w:p>
        </w:tc>
        <w:tc>
          <w:tcPr>
            <w:tcW w:type="dxa" w:w="43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Project Constitution → Project Decision Log → this ODP → Design Standards → Open Questions</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sz w:val="18"/>
                <w:szCs w:val="18"/>
              </w:rPr>
              <w:t xml:space="preserve">README </w:t>
            </w:r>
            <w:r>
              <w:rPr>
                <w:b/>
                <w:bCs/>
                <w:color w:val="548235"/>
                <w:sz w:val="16"/>
                <w:szCs w:val="16"/>
              </w:rPr>
              <w:t xml:space="preserve">FACT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3864" w:val="clear"/>
            <w:tcMar>
              <w:top w:type="dxa" w:w="70"/>
              <w:left w:type="dxa" w:w="160"/>
              <w:bottom w:type="dxa" w:w="70"/>
              <w:right w:type="dxa" w:w="160"/>
            </w:tcMar>
          </w:tcPr>
          <w:p>
            <w:pPr>
              <w:spacing w:after="0"/>
            </w:pPr>
            <w:r>
              <w:rPr>
                <w:b/>
                <w:bCs/>
                <w:color w:val="FFFFFF"/>
                <w:sz w:val="22"/>
                <w:szCs w:val="22"/>
              </w:rPr>
              <w:t xml:space="preserve">2   ·   DEVELOPMENT PROGRAM SUMMARY</w:t>
            </w:r>
          </w:p>
        </w:tc>
      </w:tr>
    </w:tbl>
    <w:p>
      <w:pPr>
        <w:spacing w:after="40"/>
      </w:pPr>
    </w:p>
    <w:p>
      <w:pPr>
        <w:spacing w:after="80"/>
      </w:pPr>
      <w:r>
        <w:rPr>
          <w:i/>
          <w:iCs/>
          <w:color w:val="595959"/>
          <w:sz w:val="19"/>
          <w:szCs w:val="19"/>
        </w:rPr>
        <w:t xml:space="preserve">Component areas are not yet sized. Final square footages depend on the parking/program test-fit, the financial model, and the height decision. No areas are invented; each undetermined value is labeled.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960"/>
        <w:gridCol w:w="2700"/>
      </w:tblGrid>
      <w:tr>
        <w:trPr>
          <w:tblHeader/>
        </w:trPr>
        <w:tc>
          <w:tcPr>
            <w:tcW w:type="dxa" w:w="27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line="240"/>
              <w:jc w:val="left"/>
            </w:pPr>
            <w:r>
              <w:rPr>
                <w:b/>
                <w:bCs/>
                <w:color w:val="FFFFFF"/>
                <w:sz w:val="18"/>
                <w:szCs w:val="18"/>
              </w:rPr>
              <w:t xml:space="preserve">Program component</w:t>
            </w:r>
          </w:p>
        </w:tc>
        <w:tc>
          <w:tcPr>
            <w:tcW w:type="dxa" w:w="39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line="240"/>
              <w:jc w:val="left"/>
            </w:pPr>
            <w:r>
              <w:rPr>
                <w:b/>
                <w:bCs/>
                <w:color w:val="FFFFFF"/>
                <w:sz w:val="18"/>
                <w:szCs w:val="18"/>
              </w:rPr>
              <w:t xml:space="preserve">Role in the asset</w:t>
            </w:r>
          </w:p>
        </w:tc>
        <w:tc>
          <w:tcPr>
            <w:tcW w:type="dxa" w:w="27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line="240"/>
              <w:jc w:val="left"/>
            </w:pPr>
            <w:r>
              <w:rPr>
                <w:b/>
                <w:bCs/>
                <w:color w:val="FFFFFF"/>
                <w:sz w:val="18"/>
                <w:szCs w:val="18"/>
              </w:rPr>
              <w:t xml:space="preserve">Indicative area</w:t>
            </w:r>
          </w:p>
        </w:tc>
      </w:tr>
      <w:tr>
        <w:tc>
          <w:tcPr>
            <w:tcW w:type="dxa" w:w="2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Ground Floor</w:t>
            </w:r>
          </w:p>
        </w:tc>
        <w:tc>
          <w:tcPr>
            <w:tcW w:type="dxa" w:w="39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Medtail liner, lobby, drop-off, loading; critical MEP elevated above BFE</w:t>
            </w:r>
          </w:p>
        </w:tc>
        <w:tc>
          <w:tcPr>
            <w:tcW w:type="dxa" w:w="2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bCs/>
                <w:color w:val="595959"/>
                <w:sz w:val="18"/>
                <w:szCs w:val="18"/>
              </w:rPr>
              <w:t xml:space="preserve">TBD — Schematic Design</w:t>
            </w:r>
          </w:p>
        </w:tc>
      </w:tr>
      <w:tr>
        <w:tc>
          <w:tcPr>
            <w:tcW w:type="dxa" w:w="27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Parking Podium</w:t>
            </w:r>
          </w:p>
        </w:tc>
        <w:tc>
          <w:tcPr>
            <w:tcW w:type="dxa" w:w="39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Convertible structured parking (flat plates, external ramps); shared-use</w:t>
            </w:r>
          </w:p>
        </w:tc>
        <w:tc>
          <w:tcPr>
            <w:tcW w:type="dxa" w:w="27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bCs/>
                <w:color w:val="595959"/>
                <w:sz w:val="18"/>
                <w:szCs w:val="18"/>
              </w:rPr>
              <w:t xml:space="preserve">TBD — Schematic Design</w:t>
            </w:r>
          </w:p>
        </w:tc>
      </w:tr>
      <w:tr>
        <w:tc>
          <w:tcPr>
            <w:tcW w:type="dxa" w:w="2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Medical Office</w:t>
            </w:r>
          </w:p>
        </w:tc>
        <w:tc>
          <w:tcPr>
            <w:tcW w:type="dxa" w:w="39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Flexible outpatient suites, decoupled from inpatient code</w:t>
            </w:r>
          </w:p>
        </w:tc>
        <w:tc>
          <w:tcPr>
            <w:tcW w:type="dxa" w:w="2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bCs/>
                <w:color w:val="595959"/>
                <w:sz w:val="18"/>
                <w:szCs w:val="18"/>
              </w:rPr>
              <w:t xml:space="preserve">TBD — Schematic Design</w:t>
            </w:r>
          </w:p>
        </w:tc>
      </w:tr>
      <w:tr>
        <w:tc>
          <w:tcPr>
            <w:tcW w:type="dxa" w:w="27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Medical Co-working</w:t>
            </w:r>
          </w:p>
        </w:tc>
        <w:tc>
          <w:tcPr>
            <w:tcW w:type="dxa" w:w="39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Turnkey HIPAA-compliant suites under a master tenant</w:t>
            </w:r>
          </w:p>
        </w:tc>
        <w:tc>
          <w:tcPr>
            <w:tcW w:type="dxa" w:w="27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bCs/>
                <w:color w:val="595959"/>
                <w:sz w:val="18"/>
                <w:szCs w:val="18"/>
              </w:rPr>
              <w:t xml:space="preserve">TBD — Schematic Design</w:t>
            </w:r>
          </w:p>
        </w:tc>
      </w:tr>
      <w:tr>
        <w:tc>
          <w:tcPr>
            <w:tcW w:type="dxa" w:w="2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Medical Retail</w:t>
            </w:r>
          </w:p>
        </w:tc>
        <w:tc>
          <w:tcPr>
            <w:tcW w:type="dxa" w:w="39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Pharmacy, urgent care, DME, wellness/medspa, F&amp;B</w:t>
            </w:r>
          </w:p>
        </w:tc>
        <w:tc>
          <w:tcPr>
            <w:tcW w:type="dxa" w:w="2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bCs/>
                <w:color w:val="595959"/>
                <w:sz w:val="18"/>
                <w:szCs w:val="18"/>
              </w:rPr>
              <w:t xml:space="preserve">TBD — Schematic Design</w:t>
            </w:r>
          </w:p>
        </w:tc>
      </w:tr>
      <w:tr>
        <w:tc>
          <w:tcPr>
            <w:tcW w:type="dxa" w:w="27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Amenity Space</w:t>
            </w:r>
          </w:p>
        </w:tc>
        <w:tc>
          <w:tcPr>
            <w:tcW w:type="dxa" w:w="39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Tenant amenity / rooftop terrace</w:t>
            </w:r>
          </w:p>
        </w:tc>
        <w:tc>
          <w:tcPr>
            <w:tcW w:type="dxa" w:w="27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bCs/>
                <w:color w:val="595959"/>
                <w:sz w:val="18"/>
                <w:szCs w:val="18"/>
              </w:rPr>
              <w:t xml:space="preserve">TBD — Schematic Design</w:t>
            </w:r>
          </w:p>
        </w:tc>
      </w:tr>
      <w:tr>
        <w:tc>
          <w:tcPr>
            <w:tcW w:type="dxa" w:w="2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Mechanical</w:t>
            </w:r>
          </w:p>
        </w:tc>
        <w:tc>
          <w:tcPr>
            <w:tcW w:type="dxa" w:w="39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Central plant and distribution; flood-resilient</w:t>
            </w:r>
          </w:p>
        </w:tc>
        <w:tc>
          <w:tcPr>
            <w:tcW w:type="dxa" w:w="2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bCs/>
                <w:color w:val="595959"/>
                <w:sz w:val="18"/>
                <w:szCs w:val="18"/>
              </w:rPr>
              <w:t xml:space="preserve">TBD — Schematic Design</w:t>
            </w:r>
          </w:p>
        </w:tc>
      </w:tr>
      <w:tr>
        <w:tc>
          <w:tcPr>
            <w:tcW w:type="dxa" w:w="27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Future EV Infrastructure</w:t>
            </w:r>
          </w:p>
        </w:tc>
        <w:tc>
          <w:tcPr>
            <w:tcW w:type="dxa" w:w="39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Conduit to 100% of stalls; 10–20% energized initially</w:t>
            </w:r>
          </w:p>
        </w:tc>
        <w:tc>
          <w:tcPr>
            <w:tcW w:type="dxa" w:w="27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sz w:val="18"/>
                <w:szCs w:val="18"/>
              </w:rPr>
              <w:t xml:space="preserve">Strategy set; capacity </w:t>
            </w:r>
            <w:r>
              <w:rPr>
                <w:b/>
                <w:bCs/>
                <w:color w:val="BF8F00"/>
                <w:sz w:val="16"/>
                <w:szCs w:val="16"/>
              </w:rPr>
              <w:t xml:space="preserve">ASSUMPTION</w:t>
            </w:r>
          </w:p>
        </w:tc>
      </w:tr>
      <w:tr>
        <w:tc>
          <w:tcPr>
            <w:tcW w:type="dxa" w:w="2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Future Edge Computing Readiness</w:t>
            </w:r>
          </w:p>
        </w:tc>
        <w:tc>
          <w:tcPr>
            <w:tcW w:type="dxa" w:w="39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Power- and fiber-ready only; no day-one build-out (Decision-003)</w:t>
            </w:r>
          </w:p>
        </w:tc>
        <w:tc>
          <w:tcPr>
            <w:tcW w:type="dxa" w:w="2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sz w:val="18"/>
                <w:szCs w:val="18"/>
              </w:rPr>
              <w:t xml:space="preserve">Optionality only </w:t>
            </w:r>
            <w:r>
              <w:rPr>
                <w:b/>
                <w:bCs/>
                <w:color w:val="548235"/>
                <w:sz w:val="16"/>
                <w:szCs w:val="16"/>
              </w:rPr>
              <w:t xml:space="preserve">FACT</w:t>
            </w:r>
          </w:p>
        </w:tc>
      </w:tr>
    </w:tbl>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F0F8" w:sz="1"/>
              <w:left w:val="single" w:color="2E5496" w:sz="24"/>
              <w:bottom w:val="single" w:color="EAF0F8" w:sz="1"/>
              <w:right w:val="single" w:color="EAF0F8" w:sz="1"/>
            </w:tcBorders>
            <w:shd w:fill="EAF0F8" w:val="clear"/>
            <w:tcMar>
              <w:top w:type="dxa" w:w="120"/>
              <w:left w:type="dxa" w:w="200"/>
              <w:bottom w:type="dxa" w:w="120"/>
              <w:right w:type="dxa" w:w="160"/>
            </w:tcMar>
          </w:tcPr>
          <w:p>
            <w:pPr>
              <w:spacing w:after="40" w:line="252"/>
            </w:pPr>
            <w:r>
              <w:rPr>
                <w:b/>
                <w:bCs/>
              </w:rPr>
              <w:t xml:space="preserve">Tag note: </w:t>
            </w:r>
            <w:r>
              <w:t xml:space="preserve">“Future EV” and “Edge Computing Readiness” are preserved optionality, not committed program. Per Decision-003, neither is underwritten as day-one revenue.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3864" w:val="clear"/>
            <w:tcMar>
              <w:top w:type="dxa" w:w="70"/>
              <w:left w:type="dxa" w:w="160"/>
              <w:bottom w:type="dxa" w:w="70"/>
              <w:right w:type="dxa" w:w="160"/>
            </w:tcMar>
          </w:tcPr>
          <w:p>
            <w:pPr>
              <w:spacing w:after="0"/>
            </w:pPr>
            <w:r>
              <w:rPr>
                <w:b/>
                <w:bCs/>
                <w:color w:val="FFFFFF"/>
                <w:sz w:val="22"/>
                <w:szCs w:val="22"/>
              </w:rPr>
              <w:t xml:space="preserve">3   ·   PROJECT THESIS</w:t>
            </w:r>
          </w:p>
        </w:tc>
      </w:tr>
    </w:tbl>
    <w:p>
      <w:pPr>
        <w:spacing w:after="40"/>
      </w:pPr>
    </w:p>
    <w:p>
      <w:pPr>
        <w:spacing w:after="20" w:before="60"/>
      </w:pPr>
      <w:r>
        <w:rPr>
          <w:b/>
          <w:bCs/>
          <w:color w:val="1F3864"/>
          <w:sz w:val="20"/>
          <w:szCs w:val="20"/>
        </w:rPr>
        <w:t xml:space="preserve">Problem</w:t>
      </w:r>
    </w:p>
    <w:p>
      <w:pPr>
        <w:spacing w:after="60" w:line="258"/>
      </w:pPr>
      <w:r>
        <w:rPr>
          <w:sz w:val="19"/>
          <w:szCs w:val="19"/>
        </w:rPr>
        <w:t xml:space="preserve">A consolidating Level I trauma hospital (Broward Health, &lt; ½ mile south) is displacing independent practices and straining an already deficient parking supply, while the entire corridor sits in a high-risk FEMA AE flood zone that deters conventional development.</w:t>
      </w:r>
    </w:p>
    <w:p>
      <w:pPr>
        <w:spacing w:after="20" w:before="60"/>
      </w:pPr>
      <w:r>
        <w:rPr>
          <w:b/>
          <w:bCs/>
          <w:color w:val="1F3864"/>
          <w:sz w:val="20"/>
          <w:szCs w:val="20"/>
        </w:rPr>
        <w:t xml:space="preserve">Opportunity</w:t>
      </w:r>
    </w:p>
    <w:p>
      <w:pPr>
        <w:spacing w:after="60" w:line="258"/>
      </w:pPr>
      <w:r>
        <w:rPr>
          <w:sz w:val="19"/>
          <w:szCs w:val="19"/>
        </w:rPr>
        <w:t xml:space="preserve">Capture the demand the hospital cannot serve — independent clinical/co-working tenancy, post-discharge medtail, and surplus structured parking — on a 100%-usable corner assemblage inside a federal Qualified Opportunity Zone, adjacent to two planned rail nodes.</w:t>
      </w:r>
    </w:p>
    <w:p>
      <w:pPr>
        <w:spacing w:after="20" w:before="60"/>
      </w:pPr>
      <w:r>
        <w:rPr>
          <w:b/>
          <w:bCs/>
          <w:color w:val="1F3864"/>
          <w:sz w:val="20"/>
          <w:szCs w:val="20"/>
        </w:rPr>
        <w:t xml:space="preserve">Solution</w:t>
      </w:r>
    </w:p>
    <w:p>
      <w:pPr>
        <w:spacing w:after="60" w:line="258"/>
      </w:pPr>
      <w:r>
        <w:rPr>
          <w:sz w:val="19"/>
          <w:szCs w:val="19"/>
        </w:rPr>
        <w:t xml:space="preserve">An institutional-quality, healthcare-oriented mixed-use building: a convertible structured-parking podium with ground-floor medtail and flexible clinical / medical co-working above, engineered from day one for adaptive reuse.</w:t>
      </w:r>
    </w:p>
    <w:p>
      <w:pPr>
        <w:spacing w:after="20" w:before="60"/>
      </w:pPr>
      <w:r>
        <w:rPr>
          <w:b/>
          <w:bCs/>
          <w:color w:val="1F3864"/>
          <w:sz w:val="20"/>
          <w:szCs w:val="20"/>
        </w:rPr>
        <w:t xml:space="preserve">Why this site</w:t>
      </w:r>
    </w:p>
    <w:p>
      <w:pPr>
        <w:spacing w:after="60" w:line="258"/>
      </w:pPr>
      <w:r>
        <w:rPr>
          <w:sz w:val="19"/>
          <w:szCs w:val="19"/>
        </w:rPr>
        <w:t xml:space="preserve">0.88 acre, fully usable, corner prominence with protected northern views to Hardy Park; 0 ft build-to line for active frontage; within the SRAC and a QOZ; between the Brightline and future BCR South stations.</w:t>
      </w:r>
    </w:p>
    <w:p>
      <w:pPr>
        <w:spacing w:after="20" w:before="60"/>
      </w:pPr>
      <w:r>
        <w:rPr>
          <w:b/>
          <w:bCs/>
          <w:color w:val="1F3864"/>
          <w:sz w:val="20"/>
          <w:szCs w:val="20"/>
        </w:rPr>
        <w:t xml:space="preserve">Why now</w:t>
      </w:r>
    </w:p>
    <w:p>
      <w:pPr>
        <w:spacing w:after="60" w:line="258"/>
      </w:pPr>
      <w:r>
        <w:rPr>
          <w:sz w:val="19"/>
          <w:szCs w:val="19"/>
        </w:rPr>
        <w:t xml:space="preserve">The Broward Health expansion, the physician shortage, and the QOZ holding-period incentive are concurrent; near-term medical-office softening favors a differentiated, flexible asset over generic shell space.</w:t>
      </w:r>
    </w:p>
    <w:p>
      <w:pPr>
        <w:spacing w:after="20" w:before="60"/>
      </w:pPr>
      <w:r>
        <w:rPr>
          <w:b/>
          <w:bCs/>
          <w:color w:val="1F3864"/>
          <w:sz w:val="20"/>
          <w:szCs w:val="20"/>
        </w:rPr>
        <w:t xml:space="preserve">Why healthcare</w:t>
      </w:r>
    </w:p>
    <w:p>
      <w:pPr>
        <w:spacing w:after="60" w:line="258"/>
      </w:pPr>
      <w:r>
        <w:rPr>
          <w:sz w:val="19"/>
          <w:szCs w:val="19"/>
        </w:rPr>
        <w:t xml:space="preserve">Healthcare demand in this corridor is structural and local rather than cyclical, and is amplified by hospital consolidation — the most inelastic anchor available for the site.</w:t>
      </w:r>
    </w:p>
    <w:p>
      <w:pPr>
        <w:spacing w:after="20" w:before="60"/>
      </w:pPr>
      <w:r>
        <w:rPr>
          <w:b/>
          <w:bCs/>
          <w:color w:val="1F3864"/>
          <w:sz w:val="20"/>
          <w:szCs w:val="20"/>
        </w:rPr>
        <w:t xml:space="preserve">Why structured parking</w:t>
      </w:r>
    </w:p>
    <w:p>
      <w:pPr>
        <w:spacing w:after="60" w:line="258"/>
      </w:pPr>
      <w:r>
        <w:rPr>
          <w:sz w:val="19"/>
          <w:szCs w:val="19"/>
        </w:rPr>
        <w:t xml:space="preserve">Parking is a monetizable deficit today, satisfies the 4.0–5.0/1,000 SF clinical ratio for upper floors, funds early cash flow, and — built convertible — becomes adaptable space as mobility evolves.</w:t>
      </w:r>
    </w:p>
    <w:p>
      <w:pPr>
        <w:spacing w:after="20" w:before="60"/>
      </w:pPr>
      <w:r>
        <w:rPr>
          <w:b/>
          <w:bCs/>
          <w:color w:val="1F3864"/>
          <w:sz w:val="20"/>
          <w:szCs w:val="20"/>
        </w:rPr>
        <w:t xml:space="preserve">Why differentiated</w:t>
      </w:r>
    </w:p>
    <w:p>
      <w:pPr>
        <w:spacing w:after="60" w:line="258"/>
      </w:pPr>
      <w:r>
        <w:rPr>
          <w:sz w:val="19"/>
          <w:szCs w:val="19"/>
        </w:rPr>
        <w:t xml:space="preserve">Competitors cannot easily match the combination of turnkey medical co-working, a deliberate parking surplus, convertible structure, and QOZ-optimized long-term hold; the asset complements rather than competes with the hospital’s own new MOB.</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3864" w:val="clear"/>
            <w:tcMar>
              <w:top w:type="dxa" w:w="70"/>
              <w:left w:type="dxa" w:w="160"/>
              <w:bottom w:type="dxa" w:w="70"/>
              <w:right w:type="dxa" w:w="160"/>
            </w:tcMar>
          </w:tcPr>
          <w:p>
            <w:pPr>
              <w:spacing w:after="0"/>
            </w:pPr>
            <w:r>
              <w:rPr>
                <w:b/>
                <w:bCs/>
                <w:color w:val="FFFFFF"/>
                <w:sz w:val="22"/>
                <w:szCs w:val="22"/>
              </w:rPr>
              <w:t xml:space="preserve">4   ·   EXECUTIVE SCORECARD</w:t>
            </w:r>
          </w:p>
        </w:tc>
      </w:tr>
    </w:tbl>
    <w:p>
      <w:pPr>
        <w:spacing w:after="40"/>
      </w:pPr>
    </w:p>
    <w:p>
      <w:pPr>
        <w:spacing w:after="70"/>
      </w:pPr>
      <w:r>
        <w:rPr>
          <w:color w:val="595959"/>
          <w:sz w:val="18"/>
          <w:szCs w:val="18"/>
        </w:rPr>
        <w:t xml:space="preserve">Status legend:  </w:t>
      </w:r>
      <w:r>
        <w:rPr>
          <w:color w:val="548235"/>
          <w:sz w:val="18"/>
          <w:szCs w:val="18"/>
        </w:rPr>
        <w:t xml:space="preserve">● Strong/Favorable   </w:t>
      </w:r>
      <w:r>
        <w:rPr>
          <w:color w:val="BF8F00"/>
          <w:sz w:val="18"/>
          <w:szCs w:val="18"/>
        </w:rPr>
        <w:t xml:space="preserve">● Moderate/Manageable   </w:t>
      </w:r>
      <w:r>
        <w:rPr>
          <w:color w:val="9C2B2B"/>
          <w:sz w:val="18"/>
          <w:szCs w:val="18"/>
        </w:rPr>
        <w:t xml:space="preserve">● Adverse/Constraint</w:t>
      </w:r>
      <w:r>
        <w:rPr>
          <w:color w:val="595959"/>
          <w:sz w:val="18"/>
          <w:szCs w:val="18"/>
        </w:rPr>
        <w:t xml:space="preserve">     Confidence:  H / M / 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2950"/>
        <w:gridCol w:w="950"/>
        <w:gridCol w:w="3410"/>
      </w:tblGrid>
      <w:tr>
        <w:trPr>
          <w:tblHeader/>
        </w:trPr>
        <w:tc>
          <w:tcPr>
            <w:tcW w:type="dxa" w:w="205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line="240"/>
              <w:jc w:val="left"/>
            </w:pPr>
            <w:r>
              <w:rPr>
                <w:b/>
                <w:bCs/>
                <w:color w:val="FFFFFF"/>
                <w:sz w:val="18"/>
                <w:szCs w:val="18"/>
              </w:rPr>
              <w:t xml:space="preserve">Factor</w:t>
            </w:r>
          </w:p>
        </w:tc>
        <w:tc>
          <w:tcPr>
            <w:tcW w:type="dxa" w:w="295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line="240"/>
              <w:jc w:val="left"/>
            </w:pPr>
            <w:r>
              <w:rPr>
                <w:b/>
                <w:bCs/>
                <w:color w:val="FFFFFF"/>
                <w:sz w:val="18"/>
                <w:szCs w:val="18"/>
              </w:rPr>
              <w:t xml:space="preserve">Current status</w:t>
            </w:r>
          </w:p>
        </w:tc>
        <w:tc>
          <w:tcPr>
            <w:tcW w:type="dxa" w:w="95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line="240"/>
              <w:jc w:val="left"/>
            </w:pPr>
            <w:r>
              <w:rPr>
                <w:b/>
                <w:bCs/>
                <w:color w:val="FFFFFF"/>
                <w:sz w:val="18"/>
                <w:szCs w:val="18"/>
              </w:rPr>
              <w:t xml:space="preserve">Conf.</w:t>
            </w:r>
          </w:p>
        </w:tc>
        <w:tc>
          <w:tcPr>
            <w:tcW w:type="dxa" w:w="341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line="240"/>
              <w:jc w:val="left"/>
            </w:pPr>
            <w:r>
              <w:rPr>
                <w:b/>
                <w:bCs/>
                <w:color w:val="FFFFFF"/>
                <w:sz w:val="18"/>
                <w:szCs w:val="18"/>
              </w:rPr>
              <w:t xml:space="preserve">Next action</w:t>
            </w:r>
          </w:p>
        </w:tc>
      </w:tr>
      <w:tr>
        <w:tc>
          <w:tcPr>
            <w:tcW w:type="dxa" w:w="20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Entitlements</w:t>
            </w:r>
          </w:p>
        </w:tc>
        <w:tc>
          <w:tcPr>
            <w:tcW w:type="dxa" w:w="29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color w:val="BF8F00"/>
                <w:sz w:val="18"/>
                <w:szCs w:val="18"/>
              </w:rPr>
              <w:t xml:space="preserve">● </w:t>
            </w:r>
            <w:r>
              <w:rPr>
                <w:sz w:val="18"/>
                <w:szCs w:val="18"/>
              </w:rPr>
              <w:t xml:space="preserve">Favorable zoning; not yet City-verified</w:t>
            </w:r>
          </w:p>
        </w:tc>
        <w:tc>
          <w:tcPr>
            <w:tcW w:type="dxa" w:w="9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center"/>
            </w:pPr>
            <w:r>
              <w:rPr>
                <w:b/>
                <w:bCs/>
                <w:color w:val="BF8F00"/>
                <w:sz w:val="18"/>
                <w:szCs w:val="18"/>
              </w:rPr>
              <w:t xml:space="preserve">M</w:t>
            </w:r>
          </w:p>
        </w:tc>
        <w:tc>
          <w:tcPr>
            <w:tcW w:type="dxa" w:w="341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Zoning Verification Letter + pre-application (OQ-03)</w:t>
            </w:r>
          </w:p>
        </w:tc>
      </w:tr>
      <w:tr>
        <w:tc>
          <w:tcPr>
            <w:tcW w:type="dxa" w:w="205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Market Demand</w:t>
            </w:r>
          </w:p>
        </w:tc>
        <w:tc>
          <w:tcPr>
            <w:tcW w:type="dxa" w:w="295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color w:val="BF8F00"/>
                <w:sz w:val="18"/>
                <w:szCs w:val="18"/>
              </w:rPr>
              <w:t xml:space="preserve">● </w:t>
            </w:r>
            <w:r>
              <w:rPr>
                <w:sz w:val="18"/>
                <w:szCs w:val="18"/>
              </w:rPr>
              <w:t xml:space="preserve">Strong long-term; near-term MOB softening (10.4% vac.)</w:t>
            </w:r>
          </w:p>
        </w:tc>
        <w:tc>
          <w:tcPr>
            <w:tcW w:type="dxa" w:w="95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center"/>
            </w:pPr>
            <w:r>
              <w:rPr>
                <w:b/>
                <w:bCs/>
                <w:color w:val="BF8F00"/>
                <w:sz w:val="18"/>
                <w:szCs w:val="18"/>
              </w:rPr>
              <w:t xml:space="preserve">M</w:t>
            </w:r>
          </w:p>
        </w:tc>
        <w:tc>
          <w:tcPr>
            <w:tcW w:type="dxa" w:w="341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Refresh absorption at lease-up; differentiate via co-working</w:t>
            </w:r>
          </w:p>
        </w:tc>
      </w:tr>
      <w:tr>
        <w:tc>
          <w:tcPr>
            <w:tcW w:type="dxa" w:w="20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Healthcare Demand</w:t>
            </w:r>
          </w:p>
        </w:tc>
        <w:tc>
          <w:tcPr>
            <w:tcW w:type="dxa" w:w="29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color w:val="548235"/>
                <w:sz w:val="18"/>
                <w:szCs w:val="18"/>
              </w:rPr>
              <w:t xml:space="preserve">● </w:t>
            </w:r>
            <w:r>
              <w:rPr>
                <w:sz w:val="18"/>
                <w:szCs w:val="18"/>
              </w:rPr>
              <w:t xml:space="preserve">Structural; hospital consolidation + physician shortage</w:t>
            </w:r>
          </w:p>
        </w:tc>
        <w:tc>
          <w:tcPr>
            <w:tcW w:type="dxa" w:w="9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center"/>
            </w:pPr>
            <w:r>
              <w:rPr>
                <w:b/>
                <w:bCs/>
                <w:color w:val="548235"/>
                <w:sz w:val="18"/>
                <w:szCs w:val="18"/>
              </w:rPr>
              <w:t xml:space="preserve">H</w:t>
            </w:r>
          </w:p>
        </w:tc>
        <w:tc>
          <w:tcPr>
            <w:tcW w:type="dxa" w:w="341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Open co-working operator LOI (OQ-08)</w:t>
            </w:r>
          </w:p>
        </w:tc>
      </w:tr>
      <w:tr>
        <w:tc>
          <w:tcPr>
            <w:tcW w:type="dxa" w:w="205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Parking Demand</w:t>
            </w:r>
          </w:p>
        </w:tc>
        <w:tc>
          <w:tcPr>
            <w:tcW w:type="dxa" w:w="295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color w:val="548235"/>
                <w:sz w:val="18"/>
                <w:szCs w:val="18"/>
              </w:rPr>
              <w:t xml:space="preserve">● </w:t>
            </w:r>
            <w:r>
              <w:rPr>
                <w:sz w:val="18"/>
                <w:szCs w:val="18"/>
              </w:rPr>
              <w:t xml:space="preserve">Acute corridor deficit; rail multiplier</w:t>
            </w:r>
          </w:p>
        </w:tc>
        <w:tc>
          <w:tcPr>
            <w:tcW w:type="dxa" w:w="95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center"/>
            </w:pPr>
            <w:r>
              <w:rPr>
                <w:b/>
                <w:bCs/>
                <w:color w:val="BF8F00"/>
                <w:sz w:val="18"/>
                <w:szCs w:val="18"/>
              </w:rPr>
              <w:t xml:space="preserve">M</w:t>
            </w:r>
          </w:p>
        </w:tc>
        <w:tc>
          <w:tcPr>
            <w:tcW w:type="dxa" w:w="341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Parking demand / test-fit study (OQ-02)</w:t>
            </w:r>
          </w:p>
        </w:tc>
      </w:tr>
      <w:tr>
        <w:tc>
          <w:tcPr>
            <w:tcW w:type="dxa" w:w="20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Flood Risk</w:t>
            </w:r>
          </w:p>
        </w:tc>
        <w:tc>
          <w:tcPr>
            <w:tcW w:type="dxa" w:w="29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color w:val="9C2B2B"/>
                <w:sz w:val="18"/>
                <w:szCs w:val="18"/>
              </w:rPr>
              <w:t xml:space="preserve">● </w:t>
            </w:r>
            <w:r>
              <w:rPr>
                <w:sz w:val="18"/>
                <w:szCs w:val="18"/>
              </w:rPr>
              <w:t xml:space="preserve">Entire site in FEMA AE — design constraint</w:t>
            </w:r>
          </w:p>
        </w:tc>
        <w:tc>
          <w:tcPr>
            <w:tcW w:type="dxa" w:w="9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center"/>
            </w:pPr>
            <w:r>
              <w:rPr>
                <w:b/>
                <w:bCs/>
                <w:color w:val="548235"/>
                <w:sz w:val="18"/>
                <w:szCs w:val="18"/>
              </w:rPr>
              <w:t xml:space="preserve">H</w:t>
            </w:r>
          </w:p>
        </w:tc>
        <w:tc>
          <w:tcPr>
            <w:tcW w:type="dxa" w:w="341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Stormwater design; elevate MEP (OQ-06)</w:t>
            </w:r>
          </w:p>
        </w:tc>
      </w:tr>
      <w:tr>
        <w:tc>
          <w:tcPr>
            <w:tcW w:type="dxa" w:w="205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Utility Readiness</w:t>
            </w:r>
          </w:p>
        </w:tc>
        <w:tc>
          <w:tcPr>
            <w:tcW w:type="dxa" w:w="295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color w:val="BF8F00"/>
                <w:sz w:val="18"/>
                <w:szCs w:val="18"/>
              </w:rPr>
              <w:t xml:space="preserve">● </w:t>
            </w:r>
            <w:r>
              <w:rPr>
                <w:sz w:val="18"/>
                <w:szCs w:val="18"/>
              </w:rPr>
              <w:t xml:space="preserve">Water/sewer/fiber adequate; FPL capacity unverified</w:t>
            </w:r>
          </w:p>
        </w:tc>
        <w:tc>
          <w:tcPr>
            <w:tcW w:type="dxa" w:w="95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center"/>
            </w:pPr>
            <w:r>
              <w:rPr>
                <w:b/>
                <w:bCs/>
                <w:color w:val="BF8F00"/>
                <w:sz w:val="18"/>
                <w:szCs w:val="18"/>
              </w:rPr>
              <w:t xml:space="preserve">M</w:t>
            </w:r>
          </w:p>
        </w:tc>
        <w:tc>
          <w:tcPr>
            <w:tcW w:type="dxa" w:w="341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FPL will-serve / load study (OQ-04)</w:t>
            </w:r>
          </w:p>
        </w:tc>
      </w:tr>
      <w:tr>
        <w:tc>
          <w:tcPr>
            <w:tcW w:type="dxa" w:w="20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Transportation Access</w:t>
            </w:r>
          </w:p>
        </w:tc>
        <w:tc>
          <w:tcPr>
            <w:tcW w:type="dxa" w:w="29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color w:val="548235"/>
                <w:sz w:val="18"/>
                <w:szCs w:val="18"/>
              </w:rPr>
              <w:t xml:space="preserve">● </w:t>
            </w:r>
            <w:r>
              <w:rPr>
                <w:sz w:val="18"/>
                <w:szCs w:val="18"/>
              </w:rPr>
              <w:t xml:space="preserve">Between Brightline &amp; future BCR South; mobility-hub funding</w:t>
            </w:r>
          </w:p>
        </w:tc>
        <w:tc>
          <w:tcPr>
            <w:tcW w:type="dxa" w:w="9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center"/>
            </w:pPr>
            <w:r>
              <w:rPr>
                <w:b/>
                <w:bCs/>
                <w:color w:val="BF8F00"/>
                <w:sz w:val="18"/>
                <w:szCs w:val="18"/>
              </w:rPr>
              <w:t xml:space="preserve">M</w:t>
            </w:r>
          </w:p>
        </w:tc>
        <w:tc>
          <w:tcPr>
            <w:tcW w:type="dxa" w:w="341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Traffic study; coordinate curb cuts (OQ-05)</w:t>
            </w:r>
          </w:p>
        </w:tc>
      </w:tr>
      <w:tr>
        <w:tc>
          <w:tcPr>
            <w:tcW w:type="dxa" w:w="205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Opportunity Zone</w:t>
            </w:r>
          </w:p>
        </w:tc>
        <w:tc>
          <w:tcPr>
            <w:tcW w:type="dxa" w:w="295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color w:val="548235"/>
                <w:sz w:val="18"/>
                <w:szCs w:val="18"/>
              </w:rPr>
              <w:t xml:space="preserve">● </w:t>
            </w:r>
            <w:r>
              <w:rPr>
                <w:sz w:val="18"/>
                <w:szCs w:val="18"/>
              </w:rPr>
              <w:t xml:space="preserve">Confirmed federal QOZ</w:t>
            </w:r>
          </w:p>
        </w:tc>
        <w:tc>
          <w:tcPr>
            <w:tcW w:type="dxa" w:w="95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center"/>
            </w:pPr>
            <w:r>
              <w:rPr>
                <w:b/>
                <w:bCs/>
                <w:color w:val="548235"/>
                <w:sz w:val="18"/>
                <w:szCs w:val="18"/>
              </w:rPr>
              <w:t xml:space="preserve">H</w:t>
            </w:r>
          </w:p>
        </w:tc>
        <w:tc>
          <w:tcPr>
            <w:tcW w:type="dxa" w:w="341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Structure 10-yr QOZ hold in financial model</w:t>
            </w:r>
          </w:p>
        </w:tc>
      </w:tr>
      <w:tr>
        <w:tc>
          <w:tcPr>
            <w:tcW w:type="dxa" w:w="20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Construction Complexity</w:t>
            </w:r>
          </w:p>
        </w:tc>
        <w:tc>
          <w:tcPr>
            <w:tcW w:type="dxa" w:w="29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color w:val="9C2B2B"/>
                <w:sz w:val="18"/>
                <w:szCs w:val="18"/>
              </w:rPr>
              <w:t xml:space="preserve">● </w:t>
            </w:r>
            <w:r>
              <w:rPr>
                <w:sz w:val="18"/>
                <w:szCs w:val="18"/>
              </w:rPr>
              <w:t xml:space="preserve">Tight site, no laydown yard, flood + precast risk</w:t>
            </w:r>
          </w:p>
        </w:tc>
        <w:tc>
          <w:tcPr>
            <w:tcW w:type="dxa" w:w="9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center"/>
            </w:pPr>
            <w:r>
              <w:rPr>
                <w:b/>
                <w:bCs/>
                <w:color w:val="BF8F00"/>
                <w:sz w:val="18"/>
                <w:szCs w:val="18"/>
              </w:rPr>
              <w:t xml:space="preserve">M</w:t>
            </w:r>
          </w:p>
        </w:tc>
        <w:tc>
          <w:tcPr>
            <w:tcW w:type="dxa" w:w="341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CM just-in-time logistics plan; special inspections</w:t>
            </w:r>
          </w:p>
        </w:tc>
      </w:tr>
      <w:tr>
        <w:tc>
          <w:tcPr>
            <w:tcW w:type="dxa" w:w="205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Institutional Investment Quality</w:t>
            </w:r>
          </w:p>
        </w:tc>
        <w:tc>
          <w:tcPr>
            <w:tcW w:type="dxa" w:w="295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color w:val="548235"/>
                <w:sz w:val="18"/>
                <w:szCs w:val="18"/>
              </w:rPr>
              <w:t xml:space="preserve">● </w:t>
            </w:r>
            <w:r>
              <w:rPr>
                <w:sz w:val="18"/>
                <w:szCs w:val="18"/>
              </w:rPr>
              <w:t xml:space="preserve">Diversified income + convertibility + QOZ</w:t>
            </w:r>
          </w:p>
        </w:tc>
        <w:tc>
          <w:tcPr>
            <w:tcW w:type="dxa" w:w="95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center"/>
            </w:pPr>
            <w:r>
              <w:rPr>
                <w:b/>
                <w:bCs/>
                <w:color w:val="BF8F00"/>
                <w:sz w:val="18"/>
                <w:szCs w:val="18"/>
              </w:rPr>
              <w:t xml:space="preserve">M</w:t>
            </w:r>
          </w:p>
        </w:tc>
        <w:tc>
          <w:tcPr>
            <w:tcW w:type="dxa" w:w="341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Build institutional model to Underwriting Standards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3864" w:val="clear"/>
            <w:tcMar>
              <w:top w:type="dxa" w:w="70"/>
              <w:left w:type="dxa" w:w="160"/>
              <w:bottom w:type="dxa" w:w="70"/>
              <w:right w:type="dxa" w:w="160"/>
            </w:tcMar>
          </w:tcPr>
          <w:p>
            <w:pPr>
              <w:spacing w:after="0"/>
            </w:pPr>
            <w:r>
              <w:rPr>
                <w:b/>
                <w:bCs/>
                <w:color w:val="FFFFFF"/>
                <w:sz w:val="22"/>
                <w:szCs w:val="22"/>
              </w:rPr>
              <w:t xml:space="preserve">5   ·   DEVELOPMENT ROADMAP</w:t>
            </w:r>
          </w:p>
        </w:tc>
      </w:tr>
    </w:tbl>
    <w:p>
      <w:pPr>
        <w:spacing w:after="40"/>
      </w:pPr>
    </w:p>
    <w:p>
      <w:pPr>
        <w:spacing w:after="70"/>
      </w:pPr>
      <w:r>
        <w:rPr>
          <w:color w:val="548235"/>
          <w:sz w:val="18"/>
          <w:szCs w:val="18"/>
        </w:rPr>
        <w:t xml:space="preserve">■ Complete    </w:t>
      </w:r>
      <w:r>
        <w:rPr>
          <w:color w:val="BF8F00"/>
          <w:sz w:val="18"/>
          <w:szCs w:val="18"/>
        </w:rPr>
        <w:t xml:space="preserve">◆ In progress    </w:t>
      </w:r>
      <w:r>
        <w:rPr>
          <w:color w:val="595959"/>
          <w:sz w:val="18"/>
          <w:szCs w:val="18"/>
        </w:rPr>
        <w:t xml:space="preserve">□ Future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line="240"/>
              <w:jc w:val="left"/>
            </w:pPr>
            <w:r>
              <w:rPr>
                <w:b/>
                <w:bCs/>
                <w:color w:val="FFFFFF"/>
                <w:sz w:val="18"/>
                <w:szCs w:val="18"/>
              </w:rPr>
              <w:t xml:space="preserve">Stage</w:t>
            </w:r>
          </w:p>
        </w:tc>
        <w:tc>
          <w:tcPr>
            <w:tcW w:type="dxa" w:w="468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line="240"/>
              <w:jc w:val="left"/>
            </w:pPr>
            <w:r>
              <w:rPr>
                <w:b/>
                <w:bCs/>
                <w:color w:val="FFFFFF"/>
                <w:sz w:val="18"/>
                <w:szCs w:val="18"/>
              </w:rPr>
              <w:t xml:space="preserve">Status</w:t>
            </w:r>
          </w:p>
        </w:tc>
      </w:tr>
      <w:tr>
        <w:tc>
          <w:tcPr>
            <w:tcW w:type="dxa" w:w="468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color w:val="548235"/>
                <w:sz w:val="20"/>
                <w:szCs w:val="20"/>
              </w:rPr>
              <w:t xml:space="preserve">■  </w:t>
            </w:r>
            <w:r>
              <w:rPr>
                <w:b/>
                <w:bCs/>
                <w:sz w:val="18"/>
                <w:szCs w:val="18"/>
              </w:rPr>
              <w:t xml:space="preserve">1. Research</w:t>
            </w:r>
          </w:p>
        </w:tc>
        <w:tc>
          <w:tcPr>
            <w:tcW w:type="dxa" w:w="468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color w:val="548235"/>
                <w:sz w:val="18"/>
                <w:szCs w:val="18"/>
              </w:rPr>
              <w:t xml:space="preserve">Complete — 5 reports in library</w:t>
            </w:r>
          </w:p>
        </w:tc>
      </w:tr>
      <w:tr>
        <w:tc>
          <w:tcPr>
            <w:tcW w:type="dxa" w:w="468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color w:val="548235"/>
                <w:sz w:val="20"/>
                <w:szCs w:val="20"/>
              </w:rPr>
              <w:t xml:space="preserve">■  </w:t>
            </w:r>
            <w:r>
              <w:rPr>
                <w:b/>
                <w:bCs/>
                <w:sz w:val="18"/>
                <w:szCs w:val="18"/>
              </w:rPr>
              <w:t xml:space="preserve">2. Owner’s Development Program</w:t>
            </w:r>
          </w:p>
        </w:tc>
        <w:tc>
          <w:tcPr>
            <w:tcW w:type="dxa" w:w="468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color w:val="548235"/>
                <w:sz w:val="18"/>
                <w:szCs w:val="18"/>
              </w:rPr>
              <w:t xml:space="preserve">Complete — this document, v1.0</w:t>
            </w:r>
          </w:p>
        </w:tc>
      </w:tr>
      <w:tr>
        <w:tc>
          <w:tcPr>
            <w:tcW w:type="dxa" w:w="468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color w:val="BF8F00"/>
                <w:sz w:val="20"/>
                <w:szCs w:val="20"/>
              </w:rPr>
              <w:t xml:space="preserve">◆  </w:t>
            </w:r>
            <w:r>
              <w:rPr>
                <w:b/>
                <w:bCs/>
                <w:sz w:val="18"/>
                <w:szCs w:val="18"/>
              </w:rPr>
              <w:t xml:space="preserve">3. Due Diligence</w:t>
            </w:r>
          </w:p>
        </w:tc>
        <w:tc>
          <w:tcPr>
            <w:tcW w:type="dxa" w:w="468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color w:val="BF8F00"/>
                <w:sz w:val="18"/>
                <w:szCs w:val="18"/>
              </w:rPr>
              <w:t xml:space="preserve">Starting — zoning, FPL, traffic, geotech, ESA</w:t>
            </w:r>
          </w:p>
        </w:tc>
      </w:tr>
      <w:tr>
        <w:tc>
          <w:tcPr>
            <w:tcW w:type="dxa" w:w="468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color w:val="595959"/>
                <w:sz w:val="20"/>
                <w:szCs w:val="20"/>
              </w:rPr>
              <w:t xml:space="preserve">□  </w:t>
            </w:r>
            <w:r>
              <w:rPr>
                <w:b/>
                <w:bCs/>
                <w:sz w:val="18"/>
                <w:szCs w:val="18"/>
              </w:rPr>
              <w:t xml:space="preserve">4. Schematic Design</w:t>
            </w:r>
          </w:p>
        </w:tc>
        <w:tc>
          <w:tcPr>
            <w:tcW w:type="dxa" w:w="468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color w:val="595959"/>
                <w:sz w:val="18"/>
                <w:szCs w:val="18"/>
              </w:rPr>
              <w:t xml:space="preserve">Future — after test-fit &amp; model</w:t>
            </w:r>
          </w:p>
        </w:tc>
      </w:tr>
      <w:tr>
        <w:tc>
          <w:tcPr>
            <w:tcW w:type="dxa" w:w="468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color w:val="595959"/>
                <w:sz w:val="20"/>
                <w:szCs w:val="20"/>
              </w:rPr>
              <w:t xml:space="preserve">□  </w:t>
            </w:r>
            <w:r>
              <w:rPr>
                <w:b/>
                <w:bCs/>
                <w:sz w:val="18"/>
                <w:szCs w:val="18"/>
              </w:rPr>
              <w:t xml:space="preserve">5. Design Development</w:t>
            </w:r>
          </w:p>
        </w:tc>
        <w:tc>
          <w:tcPr>
            <w:tcW w:type="dxa" w:w="468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color w:val="595959"/>
                <w:sz w:val="18"/>
                <w:szCs w:val="18"/>
              </w:rPr>
              <w:t xml:space="preserve">Future</w:t>
            </w:r>
          </w:p>
        </w:tc>
      </w:tr>
      <w:tr>
        <w:tc>
          <w:tcPr>
            <w:tcW w:type="dxa" w:w="468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color w:val="595959"/>
                <w:sz w:val="20"/>
                <w:szCs w:val="20"/>
              </w:rPr>
              <w:t xml:space="preserve">□  </w:t>
            </w:r>
            <w:r>
              <w:rPr>
                <w:b/>
                <w:bCs/>
                <w:sz w:val="18"/>
                <w:szCs w:val="18"/>
              </w:rPr>
              <w:t xml:space="preserve">6. Construction Documents</w:t>
            </w:r>
          </w:p>
        </w:tc>
        <w:tc>
          <w:tcPr>
            <w:tcW w:type="dxa" w:w="468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color w:val="595959"/>
                <w:sz w:val="18"/>
                <w:szCs w:val="18"/>
              </w:rPr>
              <w:t xml:space="preserve">Future</w:t>
            </w:r>
          </w:p>
        </w:tc>
      </w:tr>
      <w:tr>
        <w:tc>
          <w:tcPr>
            <w:tcW w:type="dxa" w:w="468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color w:val="BF8F00"/>
                <w:sz w:val="20"/>
                <w:szCs w:val="20"/>
              </w:rPr>
              <w:t xml:space="preserve">◆  </w:t>
            </w:r>
            <w:r>
              <w:rPr>
                <w:b/>
                <w:bCs/>
                <w:sz w:val="18"/>
                <w:szCs w:val="18"/>
              </w:rPr>
              <w:t xml:space="preserve">7. Entitlements</w:t>
            </w:r>
          </w:p>
        </w:tc>
        <w:tc>
          <w:tcPr>
            <w:tcW w:type="dxa" w:w="468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color w:val="BF8F00"/>
                <w:sz w:val="18"/>
                <w:szCs w:val="18"/>
              </w:rPr>
              <w:t xml:space="preserve">Initiating in parallel with due diligence</w:t>
            </w:r>
          </w:p>
        </w:tc>
      </w:tr>
      <w:tr>
        <w:tc>
          <w:tcPr>
            <w:tcW w:type="dxa" w:w="468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color w:val="595959"/>
                <w:sz w:val="20"/>
                <w:szCs w:val="20"/>
              </w:rPr>
              <w:t xml:space="preserve">□  </w:t>
            </w:r>
            <w:r>
              <w:rPr>
                <w:b/>
                <w:bCs/>
                <w:sz w:val="18"/>
                <w:szCs w:val="18"/>
              </w:rPr>
              <w:t xml:space="preserve">8. Financing</w:t>
            </w:r>
          </w:p>
        </w:tc>
        <w:tc>
          <w:tcPr>
            <w:tcW w:type="dxa" w:w="468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color w:val="595959"/>
                <w:sz w:val="18"/>
                <w:szCs w:val="18"/>
              </w:rPr>
              <w:t xml:space="preserve">Future — QOZ equity + construction debt</w:t>
            </w:r>
          </w:p>
        </w:tc>
      </w:tr>
      <w:tr>
        <w:tc>
          <w:tcPr>
            <w:tcW w:type="dxa" w:w="468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color w:val="595959"/>
                <w:sz w:val="20"/>
                <w:szCs w:val="20"/>
              </w:rPr>
              <w:t xml:space="preserve">□  </w:t>
            </w:r>
            <w:r>
              <w:rPr>
                <w:b/>
                <w:bCs/>
                <w:sz w:val="18"/>
                <w:szCs w:val="18"/>
              </w:rPr>
              <w:t xml:space="preserve">9. Construction</w:t>
            </w:r>
          </w:p>
        </w:tc>
        <w:tc>
          <w:tcPr>
            <w:tcW w:type="dxa" w:w="468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color w:val="595959"/>
                <w:sz w:val="18"/>
                <w:szCs w:val="18"/>
              </w:rPr>
              <w:t xml:space="preserve">Future — Phase 1: parking + medtail</w:t>
            </w:r>
          </w:p>
        </w:tc>
      </w:tr>
      <w:tr>
        <w:tc>
          <w:tcPr>
            <w:tcW w:type="dxa" w:w="468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color w:val="595959"/>
                <w:sz w:val="20"/>
                <w:szCs w:val="20"/>
              </w:rPr>
              <w:t xml:space="preserve">□  </w:t>
            </w:r>
            <w:r>
              <w:rPr>
                <w:b/>
                <w:bCs/>
                <w:sz w:val="18"/>
                <w:szCs w:val="18"/>
              </w:rPr>
              <w:t xml:space="preserve">10. Stabilization</w:t>
            </w:r>
          </w:p>
        </w:tc>
        <w:tc>
          <w:tcPr>
            <w:tcW w:type="dxa" w:w="468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color w:val="595959"/>
                <w:sz w:val="18"/>
                <w:szCs w:val="18"/>
              </w:rPr>
              <w:t xml:space="preserve">Future — lease-up of clinical/co-working</w:t>
            </w:r>
          </w:p>
        </w:tc>
      </w:tr>
      <w:tr>
        <w:tc>
          <w:tcPr>
            <w:tcW w:type="dxa" w:w="468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color w:val="595959"/>
                <w:sz w:val="20"/>
                <w:szCs w:val="20"/>
              </w:rPr>
              <w:t xml:space="preserve">□  </w:t>
            </w:r>
            <w:r>
              <w:rPr>
                <w:b/>
                <w:bCs/>
                <w:sz w:val="18"/>
                <w:szCs w:val="18"/>
              </w:rPr>
              <w:t xml:space="preserve">11. Future Expansion</w:t>
            </w:r>
          </w:p>
        </w:tc>
        <w:tc>
          <w:tcPr>
            <w:tcW w:type="dxa" w:w="468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color w:val="595959"/>
                <w:sz w:val="18"/>
                <w:szCs w:val="18"/>
              </w:rPr>
              <w:t xml:space="preserve">Future — Phase 3 mobility/conversion optionality</w:t>
            </w:r>
          </w:p>
        </w:tc>
      </w:tr>
    </w:tbl>
    <w:p>
      <w:pPr>
        <w:spacing w:after="50"/>
      </w:pPr>
    </w:p>
    <w:p>
      <w:pPr>
        <w:spacing w:after="60"/>
      </w:pPr>
      <w:r>
        <w:rPr>
          <w:rFonts w:ascii="Consolas" w:cs="Consolas" w:eastAsia="Consolas" w:hAnsi="Consolas"/>
          <w:color w:val="595959"/>
          <w:sz w:val="15"/>
          <w:szCs w:val="15"/>
        </w:rPr>
        <w:t xml:space="preserve">  Research ■── ODP ■── Due Diligence ◆── Schematic □── DD □── CDs □
                       └─ Entitlements ◆ / Financing □ (parallel) ─┘
  ──→ Construction □ ──→ Stabilization □ ──→ Future Expansion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3864" w:val="clear"/>
            <w:tcMar>
              <w:top w:type="dxa" w:w="70"/>
              <w:left w:type="dxa" w:w="160"/>
              <w:bottom w:type="dxa" w:w="70"/>
              <w:right w:type="dxa" w:w="160"/>
            </w:tcMar>
          </w:tcPr>
          <w:p>
            <w:pPr>
              <w:spacing w:after="0"/>
            </w:pPr>
            <w:r>
              <w:rPr>
                <w:b/>
                <w:bCs/>
                <w:color w:val="FFFFFF"/>
                <w:sz w:val="22"/>
                <w:szCs w:val="22"/>
              </w:rPr>
              <w:t xml:space="preserve">6   ·   TOP TEN PRE-CONSTRUCTION PRIORITIES</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060"/>
        <w:gridCol w:w="1700"/>
        <w:gridCol w:w="2900"/>
      </w:tblGrid>
      <w:tr>
        <w:trPr>
          <w:tblHeader/>
        </w:trPr>
        <w:tc>
          <w:tcPr>
            <w:tcW w:type="dxa" w:w="7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line="240"/>
              <w:jc w:val="left"/>
            </w:pPr>
            <w:r>
              <w:rPr>
                <w:b/>
                <w:bCs/>
                <w:color w:val="FFFFFF"/>
                <w:sz w:val="18"/>
                <w:szCs w:val="18"/>
              </w:rPr>
              <w:t xml:space="preserve">#</w:t>
            </w:r>
          </w:p>
        </w:tc>
        <w:tc>
          <w:tcPr>
            <w:tcW w:type="dxa" w:w="40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line="240"/>
              <w:jc w:val="left"/>
            </w:pPr>
            <w:r>
              <w:rPr>
                <w:b/>
                <w:bCs/>
                <w:color w:val="FFFFFF"/>
                <w:sz w:val="18"/>
                <w:szCs w:val="18"/>
              </w:rPr>
              <w:t xml:space="preserve">Action</w:t>
            </w:r>
          </w:p>
        </w:tc>
        <w:tc>
          <w:tcPr>
            <w:tcW w:type="dxa" w:w="17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line="240"/>
              <w:jc w:val="left"/>
            </w:pPr>
            <w:r>
              <w:rPr>
                <w:b/>
                <w:bCs/>
                <w:color w:val="FFFFFF"/>
                <w:sz w:val="18"/>
                <w:szCs w:val="18"/>
              </w:rPr>
              <w:t xml:space="preserve">Priority</w:t>
            </w:r>
          </w:p>
        </w:tc>
        <w:tc>
          <w:tcPr>
            <w:tcW w:type="dxa" w:w="29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line="240"/>
              <w:jc w:val="left"/>
            </w:pPr>
            <w:r>
              <w:rPr>
                <w:b/>
                <w:bCs/>
                <w:color w:val="FFFFFF"/>
                <w:sz w:val="18"/>
                <w:szCs w:val="18"/>
              </w:rPr>
              <w:t xml:space="preserve">Open Question</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1</w:t>
            </w:r>
          </w:p>
        </w:tc>
        <w:tc>
          <w:tcPr>
            <w:tcW w:type="dxa" w:w="40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Ratify the project thesis (healthcare anchor vs. mobility-nexus pivot)</w:t>
            </w:r>
          </w:p>
        </w:tc>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bCs/>
                <w:color w:val="9C2B2B"/>
                <w:sz w:val="18"/>
                <w:szCs w:val="18"/>
              </w:rPr>
              <w:t xml:space="preserve">Critical</w:t>
            </w:r>
          </w:p>
        </w:tc>
        <w:tc>
          <w:tcPr>
            <w:tcW w:type="dxa" w:w="2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OQ-01</w:t>
            </w:r>
          </w:p>
        </w:tc>
      </w:tr>
      <w:tr>
        <w:tc>
          <w:tcPr>
            <w:tcW w:type="dxa" w:w="7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2</w:t>
            </w:r>
          </w:p>
        </w:tc>
        <w:tc>
          <w:tcPr>
            <w:tcW w:type="dxa" w:w="40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Parking demand &amp; program test-fit study</w:t>
            </w:r>
          </w:p>
        </w:tc>
        <w:tc>
          <w:tcPr>
            <w:tcW w:type="dxa" w:w="17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bCs/>
                <w:color w:val="9C2B2B"/>
                <w:sz w:val="18"/>
                <w:szCs w:val="18"/>
              </w:rPr>
              <w:t xml:space="preserve">Critical</w:t>
            </w:r>
          </w:p>
        </w:tc>
        <w:tc>
          <w:tcPr>
            <w:tcW w:type="dxa" w:w="29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OQ-02</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3</w:t>
            </w:r>
          </w:p>
        </w:tc>
        <w:tc>
          <w:tcPr>
            <w:tcW w:type="dxa" w:w="40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Zoning Verification + DRC / pre-application meeting</w:t>
            </w:r>
          </w:p>
        </w:tc>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bCs/>
                <w:color w:val="9C2B2B"/>
                <w:sz w:val="18"/>
                <w:szCs w:val="18"/>
              </w:rPr>
              <w:t xml:space="preserve">Critical</w:t>
            </w:r>
          </w:p>
        </w:tc>
        <w:tc>
          <w:tcPr>
            <w:tcW w:type="dxa" w:w="2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OQ-03</w:t>
            </w:r>
          </w:p>
        </w:tc>
      </w:tr>
      <w:tr>
        <w:tc>
          <w:tcPr>
            <w:tcW w:type="dxa" w:w="7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4</w:t>
            </w:r>
          </w:p>
        </w:tc>
        <w:tc>
          <w:tcPr>
            <w:tcW w:type="dxa" w:w="40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FPL load / will-serve study (imaging + EV)</w:t>
            </w:r>
          </w:p>
        </w:tc>
        <w:tc>
          <w:tcPr>
            <w:tcW w:type="dxa" w:w="17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bCs/>
                <w:color w:val="BF8F00"/>
                <w:sz w:val="18"/>
                <w:szCs w:val="18"/>
              </w:rPr>
              <w:t xml:space="preserve">High</w:t>
            </w:r>
          </w:p>
        </w:tc>
        <w:tc>
          <w:tcPr>
            <w:tcW w:type="dxa" w:w="29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OQ-04</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5</w:t>
            </w:r>
          </w:p>
        </w:tc>
        <w:tc>
          <w:tcPr>
            <w:tcW w:type="dxa" w:w="40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Traffic study</w:t>
            </w:r>
          </w:p>
        </w:tc>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bCs/>
                <w:color w:val="BF8F00"/>
                <w:sz w:val="18"/>
                <w:szCs w:val="18"/>
              </w:rPr>
              <w:t xml:space="preserve">High</w:t>
            </w:r>
          </w:p>
        </w:tc>
        <w:tc>
          <w:tcPr>
            <w:tcW w:type="dxa" w:w="2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OQ-05</w:t>
            </w:r>
          </w:p>
        </w:tc>
      </w:tr>
      <w:tr>
        <w:tc>
          <w:tcPr>
            <w:tcW w:type="dxa" w:w="7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6</w:t>
            </w:r>
          </w:p>
        </w:tc>
        <w:tc>
          <w:tcPr>
            <w:tcW w:type="dxa" w:w="40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Stormwater / flood-resilience design (Zone AE)</w:t>
            </w:r>
          </w:p>
        </w:tc>
        <w:tc>
          <w:tcPr>
            <w:tcW w:type="dxa" w:w="17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bCs/>
                <w:color w:val="BF8F00"/>
                <w:sz w:val="18"/>
                <w:szCs w:val="18"/>
              </w:rPr>
              <w:t xml:space="preserve">High</w:t>
            </w:r>
          </w:p>
        </w:tc>
        <w:tc>
          <w:tcPr>
            <w:tcW w:type="dxa" w:w="29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OQ-06</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7</w:t>
            </w:r>
          </w:p>
        </w:tc>
        <w:tc>
          <w:tcPr>
            <w:tcW w:type="dxa" w:w="40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Geotechnical investigation</w:t>
            </w:r>
          </w:p>
        </w:tc>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bCs/>
                <w:color w:val="BF8F00"/>
                <w:sz w:val="18"/>
                <w:szCs w:val="18"/>
              </w:rPr>
              <w:t xml:space="preserve">High</w:t>
            </w:r>
          </w:p>
        </w:tc>
        <w:tc>
          <w:tcPr>
            <w:tcW w:type="dxa" w:w="2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OQ-07</w:t>
            </w:r>
          </w:p>
        </w:tc>
      </w:tr>
      <w:tr>
        <w:tc>
          <w:tcPr>
            <w:tcW w:type="dxa" w:w="7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8</w:t>
            </w:r>
          </w:p>
        </w:tc>
        <w:tc>
          <w:tcPr>
            <w:tcW w:type="dxa" w:w="40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Environmental Phase I ESA</w:t>
            </w:r>
          </w:p>
        </w:tc>
        <w:tc>
          <w:tcPr>
            <w:tcW w:type="dxa" w:w="17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bCs/>
                <w:color w:val="548235"/>
                <w:sz w:val="18"/>
                <w:szCs w:val="18"/>
              </w:rPr>
              <w:t xml:space="preserve">Medium</w:t>
            </w:r>
          </w:p>
        </w:tc>
        <w:tc>
          <w:tcPr>
            <w:tcW w:type="dxa" w:w="29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OQ-13</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9</w:t>
            </w:r>
          </w:p>
        </w:tc>
        <w:tc>
          <w:tcPr>
            <w:tcW w:type="dxa" w:w="40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Healthcare co-working partner outreach (LOI)</w:t>
            </w:r>
          </w:p>
        </w:tc>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bCs/>
                <w:color w:val="BF8F00"/>
                <w:sz w:val="18"/>
                <w:szCs w:val="18"/>
              </w:rPr>
              <w:t xml:space="preserve">High</w:t>
            </w:r>
          </w:p>
        </w:tc>
        <w:tc>
          <w:tcPr>
            <w:tcW w:type="dxa" w:w="2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OQ-08</w:t>
            </w:r>
          </w:p>
        </w:tc>
      </w:tr>
      <w:tr>
        <w:tc>
          <w:tcPr>
            <w:tcW w:type="dxa" w:w="7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10</w:t>
            </w:r>
          </w:p>
        </w:tc>
        <w:tc>
          <w:tcPr>
            <w:tcW w:type="dxa" w:w="40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Institutional financial model + schematic design kickoff</w:t>
            </w:r>
          </w:p>
        </w:tc>
        <w:tc>
          <w:tcPr>
            <w:tcW w:type="dxa" w:w="17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bCs/>
                <w:color w:val="BF8F00"/>
                <w:sz w:val="18"/>
                <w:szCs w:val="18"/>
              </w:rPr>
              <w:t xml:space="preserve">High</w:t>
            </w:r>
          </w:p>
        </w:tc>
        <w:tc>
          <w:tcPr>
            <w:tcW w:type="dxa" w:w="29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OQ-10/11</w:t>
            </w:r>
          </w:p>
        </w:tc>
      </w:tr>
    </w:tbl>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F0F8" w:sz="1"/>
              <w:left w:val="single" w:color="2E5496" w:sz="24"/>
              <w:bottom w:val="single" w:color="EAF0F8" w:sz="1"/>
              <w:right w:val="single" w:color="EAF0F8" w:sz="1"/>
            </w:tcBorders>
            <w:shd w:fill="EAF0F8" w:val="clear"/>
            <w:tcMar>
              <w:top w:type="dxa" w:w="120"/>
              <w:left w:type="dxa" w:w="200"/>
              <w:bottom w:type="dxa" w:w="120"/>
              <w:right w:type="dxa" w:w="160"/>
            </w:tcMar>
          </w:tcPr>
          <w:p>
            <w:pPr>
              <w:spacing w:after="40" w:line="252"/>
            </w:pPr>
            <w:r>
              <w:rPr>
                <w:b/>
                <w:bCs/>
              </w:rPr>
              <w:t xml:space="preserve">Sequencing: </w:t>
            </w:r>
            <w:r>
              <w:t xml:space="preserve">Item 1 gates design spend and must be resolved first. Items 2–3 and 5 run in parallel immediately after; the gating technical studies (4, 6, 7, 8) follow; partner outreach (9) runs concurrently; the model and schematic kickoff (10) close out the pre-construction phase.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3864" w:val="clear"/>
            <w:tcMar>
              <w:top w:type="dxa" w:w="70"/>
              <w:left w:type="dxa" w:w="160"/>
              <w:bottom w:type="dxa" w:w="70"/>
              <w:right w:type="dxa" w:w="160"/>
            </w:tcMar>
          </w:tcPr>
          <w:p>
            <w:pPr>
              <w:spacing w:after="0"/>
            </w:pPr>
            <w:r>
              <w:rPr>
                <w:b/>
                <w:bCs/>
                <w:color w:val="FFFFFF"/>
                <w:sz w:val="22"/>
                <w:szCs w:val="22"/>
              </w:rPr>
              <w:t xml:space="preserve">7   ·   PROJECT TEAM MATRIX</w:t>
            </w:r>
          </w:p>
        </w:tc>
      </w:tr>
    </w:tbl>
    <w:p>
      <w:pPr>
        <w:spacing w:after="40"/>
      </w:pPr>
    </w:p>
    <w:p>
      <w:pPr>
        <w:spacing w:after="70"/>
      </w:pPr>
      <w:r>
        <w:rPr>
          <w:i/>
          <w:iCs/>
          <w:color w:val="595959"/>
          <w:sz w:val="19"/>
          <w:szCs w:val="19"/>
        </w:rPr>
        <w:t xml:space="preserve">Roles below are the anticipated full project team. Specific firms are not yet appointed; “Status” reflects engagement stage, not a named 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50"/>
        <w:gridCol w:w="1500"/>
        <w:gridCol w:w="1850"/>
        <w:gridCol w:w="3660"/>
      </w:tblGrid>
      <w:tr>
        <w:trPr>
          <w:tblHeader/>
        </w:trPr>
        <w:tc>
          <w:tcPr>
            <w:tcW w:type="dxa" w:w="235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line="240"/>
              <w:jc w:val="left"/>
            </w:pPr>
            <w:r>
              <w:rPr>
                <w:b/>
                <w:bCs/>
                <w:color w:val="FFFFFF"/>
                <w:sz w:val="18"/>
                <w:szCs w:val="18"/>
              </w:rPr>
              <w:t xml:space="preserve">Role</w:t>
            </w:r>
          </w:p>
        </w:tc>
        <w:tc>
          <w:tcPr>
            <w:tcW w:type="dxa" w:w="15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line="240"/>
              <w:jc w:val="left"/>
            </w:pPr>
            <w:r>
              <w:rPr>
                <w:b/>
                <w:bCs/>
                <w:color w:val="FFFFFF"/>
                <w:sz w:val="18"/>
                <w:szCs w:val="18"/>
              </w:rPr>
              <w:t xml:space="preserve">Status</w:t>
            </w:r>
          </w:p>
        </w:tc>
        <w:tc>
          <w:tcPr>
            <w:tcW w:type="dxa" w:w="185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line="240"/>
              <w:jc w:val="left"/>
            </w:pPr>
            <w:r>
              <w:rPr>
                <w:b/>
                <w:bCs/>
                <w:color w:val="FFFFFF"/>
                <w:sz w:val="18"/>
                <w:szCs w:val="18"/>
              </w:rPr>
              <w:t xml:space="preserve">When they join</w:t>
            </w:r>
          </w:p>
        </w:tc>
        <w:tc>
          <w:tcPr>
            <w:tcW w:type="dxa" w:w="36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line="240"/>
              <w:jc w:val="left"/>
            </w:pPr>
            <w:r>
              <w:rPr>
                <w:b/>
                <w:bCs/>
                <w:color w:val="FFFFFF"/>
                <w:sz w:val="18"/>
                <w:szCs w:val="18"/>
              </w:rPr>
              <w:t xml:space="preserve">Primary deliverables</w:t>
            </w:r>
          </w:p>
        </w:tc>
      </w:tr>
      <w:tr>
        <w:tc>
          <w:tcPr>
            <w:tcW w:type="dxa" w:w="23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Owner</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center"/>
            </w:pPr>
            <w:r>
              <w:rPr>
                <w:b/>
                <w:bCs/>
                <w:color w:val="548235"/>
                <w:sz w:val="18"/>
                <w:szCs w:val="18"/>
              </w:rPr>
              <w:t xml:space="preserve">Active</w:t>
            </w:r>
          </w:p>
        </w:tc>
        <w:tc>
          <w:tcPr>
            <w:tcW w:type="dxa" w:w="18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Engaged</w:t>
            </w:r>
          </w:p>
        </w:tc>
        <w:tc>
          <w:tcPr>
            <w:tcW w:type="dxa" w:w="36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Capital decisions; thesis ratification (OQ-01)</w:t>
            </w:r>
          </w:p>
        </w:tc>
      </w:tr>
      <w:tr>
        <w:tc>
          <w:tcPr>
            <w:tcW w:type="dxa" w:w="235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Owner’s Representative</w:t>
            </w:r>
          </w:p>
        </w:tc>
        <w:tc>
          <w:tcPr>
            <w:tcW w:type="dxa" w:w="1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center"/>
            </w:pPr>
            <w:r>
              <w:rPr>
                <w:b/>
                <w:bCs/>
                <w:color w:val="548235"/>
                <w:sz w:val="18"/>
                <w:szCs w:val="18"/>
              </w:rPr>
              <w:t xml:space="preserve">Active</w:t>
            </w:r>
          </w:p>
        </w:tc>
        <w:tc>
          <w:tcPr>
            <w:tcW w:type="dxa" w:w="185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Engaged</w:t>
            </w:r>
          </w:p>
        </w:tc>
        <w:tc>
          <w:tcPr>
            <w:tcW w:type="dxa" w:w="36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This ODP; governance; consultant oversight</w:t>
            </w:r>
          </w:p>
        </w:tc>
      </w:tr>
      <w:tr>
        <w:tc>
          <w:tcPr>
            <w:tcW w:type="dxa" w:w="23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Development Manager</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center"/>
            </w:pPr>
            <w:r>
              <w:rPr>
                <w:b/>
                <w:bCs/>
                <w:color w:val="BF8F00"/>
                <w:sz w:val="18"/>
                <w:szCs w:val="18"/>
              </w:rPr>
              <w:t xml:space="preserve">Near-term</w:t>
            </w:r>
          </w:p>
        </w:tc>
        <w:tc>
          <w:tcPr>
            <w:tcW w:type="dxa" w:w="18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Pre-design</w:t>
            </w:r>
          </w:p>
        </w:tc>
        <w:tc>
          <w:tcPr>
            <w:tcW w:type="dxa" w:w="36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Schedule, budget, consultant coordination</w:t>
            </w:r>
          </w:p>
        </w:tc>
      </w:tr>
      <w:tr>
        <w:tc>
          <w:tcPr>
            <w:tcW w:type="dxa" w:w="235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Architect</w:t>
            </w:r>
          </w:p>
        </w:tc>
        <w:tc>
          <w:tcPr>
            <w:tcW w:type="dxa" w:w="1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center"/>
            </w:pPr>
            <w:r>
              <w:rPr>
                <w:b/>
                <w:bCs/>
                <w:color w:val="9C2B2B"/>
                <w:sz w:val="18"/>
                <w:szCs w:val="18"/>
              </w:rPr>
              <w:t xml:space="preserve">Engage now</w:t>
            </w:r>
          </w:p>
        </w:tc>
        <w:tc>
          <w:tcPr>
            <w:tcW w:type="dxa" w:w="185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Now (test-fit)</w:t>
            </w:r>
          </w:p>
        </w:tc>
        <w:tc>
          <w:tcPr>
            <w:tcW w:type="dxa" w:w="36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Test-fits; SD/DD/CDs; program validation</w:t>
            </w:r>
          </w:p>
        </w:tc>
      </w:tr>
      <w:tr>
        <w:tc>
          <w:tcPr>
            <w:tcW w:type="dxa" w:w="23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Civil Engineer</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center"/>
            </w:pPr>
            <w:r>
              <w:rPr>
                <w:b/>
                <w:bCs/>
                <w:color w:val="9C2B2B"/>
                <w:sz w:val="18"/>
                <w:szCs w:val="18"/>
              </w:rPr>
              <w:t xml:space="preserve">Engage now</w:t>
            </w:r>
          </w:p>
        </w:tc>
        <w:tc>
          <w:tcPr>
            <w:tcW w:type="dxa" w:w="18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Now</w:t>
            </w:r>
          </w:p>
        </w:tc>
        <w:tc>
          <w:tcPr>
            <w:tcW w:type="dxa" w:w="36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Stormwater/flood design; site civil (OQ-06)</w:t>
            </w:r>
          </w:p>
        </w:tc>
      </w:tr>
      <w:tr>
        <w:tc>
          <w:tcPr>
            <w:tcW w:type="dxa" w:w="235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Structural Engineer</w:t>
            </w:r>
          </w:p>
        </w:tc>
        <w:tc>
          <w:tcPr>
            <w:tcW w:type="dxa" w:w="1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center"/>
            </w:pPr>
            <w:r>
              <w:rPr>
                <w:b/>
                <w:bCs/>
                <w:color w:val="9C2B2B"/>
                <w:sz w:val="18"/>
                <w:szCs w:val="18"/>
              </w:rPr>
              <w:t xml:space="preserve">Engage now</w:t>
            </w:r>
          </w:p>
        </w:tc>
        <w:tc>
          <w:tcPr>
            <w:tcW w:type="dxa" w:w="185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Now/SD</w:t>
            </w:r>
          </w:p>
        </w:tc>
        <w:tc>
          <w:tcPr>
            <w:tcW w:type="dxa" w:w="36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Grid; convertibility; SEOR hold-points</w:t>
            </w:r>
          </w:p>
        </w:tc>
      </w:tr>
      <w:tr>
        <w:tc>
          <w:tcPr>
            <w:tcW w:type="dxa" w:w="23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MEP Engineer</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center"/>
            </w:pPr>
            <w:r>
              <w:rPr>
                <w:b/>
                <w:bCs/>
                <w:color w:val="BF8F00"/>
                <w:sz w:val="18"/>
                <w:szCs w:val="18"/>
              </w:rPr>
              <w:t xml:space="preserve">Near-term</w:t>
            </w:r>
          </w:p>
        </w:tc>
        <w:tc>
          <w:tcPr>
            <w:tcW w:type="dxa" w:w="18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SD</w:t>
            </w:r>
          </w:p>
        </w:tc>
        <w:tc>
          <w:tcPr>
            <w:tcW w:type="dxa" w:w="36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Resilient MEP; central plant; EV/fiber readiness</w:t>
            </w:r>
          </w:p>
        </w:tc>
      </w:tr>
      <w:tr>
        <w:tc>
          <w:tcPr>
            <w:tcW w:type="dxa" w:w="235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Traffic Engineer</w:t>
            </w:r>
          </w:p>
        </w:tc>
        <w:tc>
          <w:tcPr>
            <w:tcW w:type="dxa" w:w="1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center"/>
            </w:pPr>
            <w:r>
              <w:rPr>
                <w:b/>
                <w:bCs/>
                <w:color w:val="9C2B2B"/>
                <w:sz w:val="18"/>
                <w:szCs w:val="18"/>
              </w:rPr>
              <w:t xml:space="preserve">Engage now</w:t>
            </w:r>
          </w:p>
        </w:tc>
        <w:tc>
          <w:tcPr>
            <w:tcW w:type="dxa" w:w="185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Now</w:t>
            </w:r>
          </w:p>
        </w:tc>
        <w:tc>
          <w:tcPr>
            <w:tcW w:type="dxa" w:w="36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Traffic study; access/queuing (OQ-05)</w:t>
            </w:r>
          </w:p>
        </w:tc>
      </w:tr>
      <w:tr>
        <w:tc>
          <w:tcPr>
            <w:tcW w:type="dxa" w:w="23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Parking Consultant</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center"/>
            </w:pPr>
            <w:r>
              <w:rPr>
                <w:b/>
                <w:bCs/>
                <w:color w:val="9C2B2B"/>
                <w:sz w:val="18"/>
                <w:szCs w:val="18"/>
              </w:rPr>
              <w:t xml:space="preserve">Engage now</w:t>
            </w:r>
          </w:p>
        </w:tc>
        <w:tc>
          <w:tcPr>
            <w:tcW w:type="dxa" w:w="18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Now</w:t>
            </w:r>
          </w:p>
        </w:tc>
        <w:tc>
          <w:tcPr>
            <w:tcW w:type="dxa" w:w="36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Parking demand; shared-parking; test-fit (OQ-02)</w:t>
            </w:r>
          </w:p>
        </w:tc>
      </w:tr>
      <w:tr>
        <w:tc>
          <w:tcPr>
            <w:tcW w:type="dxa" w:w="235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Healthcare Leasing Broker</w:t>
            </w:r>
          </w:p>
        </w:tc>
        <w:tc>
          <w:tcPr>
            <w:tcW w:type="dxa" w:w="1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center"/>
            </w:pPr>
            <w:r>
              <w:rPr>
                <w:b/>
                <w:bCs/>
                <w:color w:val="BF8F00"/>
                <w:sz w:val="18"/>
                <w:szCs w:val="18"/>
              </w:rPr>
              <w:t xml:space="preserve">Near-term</w:t>
            </w:r>
          </w:p>
        </w:tc>
        <w:tc>
          <w:tcPr>
            <w:tcW w:type="dxa" w:w="185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Pre-design</w:t>
            </w:r>
          </w:p>
        </w:tc>
        <w:tc>
          <w:tcPr>
            <w:tcW w:type="dxa" w:w="36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Co-working LOI; tenant strategy (OQ-08)</w:t>
            </w:r>
          </w:p>
        </w:tc>
      </w:tr>
      <w:tr>
        <w:tc>
          <w:tcPr>
            <w:tcW w:type="dxa" w:w="23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Environmental Consultant</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center"/>
            </w:pPr>
            <w:r>
              <w:rPr>
                <w:b/>
                <w:bCs/>
                <w:color w:val="BF8F00"/>
                <w:sz w:val="18"/>
                <w:szCs w:val="18"/>
              </w:rPr>
              <w:t xml:space="preserve">Near-term</w:t>
            </w:r>
          </w:p>
        </w:tc>
        <w:tc>
          <w:tcPr>
            <w:tcW w:type="dxa" w:w="18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Due diligence</w:t>
            </w:r>
          </w:p>
        </w:tc>
        <w:tc>
          <w:tcPr>
            <w:tcW w:type="dxa" w:w="36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Phase I ESA (OQ-13)</w:t>
            </w:r>
          </w:p>
        </w:tc>
      </w:tr>
      <w:tr>
        <w:tc>
          <w:tcPr>
            <w:tcW w:type="dxa" w:w="235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Land Use Attorney</w:t>
            </w:r>
          </w:p>
        </w:tc>
        <w:tc>
          <w:tcPr>
            <w:tcW w:type="dxa" w:w="1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center"/>
            </w:pPr>
            <w:r>
              <w:rPr>
                <w:b/>
                <w:bCs/>
                <w:color w:val="9C2B2B"/>
                <w:sz w:val="18"/>
                <w:szCs w:val="18"/>
              </w:rPr>
              <w:t xml:space="preserve">Engage now</w:t>
            </w:r>
          </w:p>
        </w:tc>
        <w:tc>
          <w:tcPr>
            <w:tcW w:type="dxa" w:w="185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Now</w:t>
            </w:r>
          </w:p>
        </w:tc>
        <w:tc>
          <w:tcPr>
            <w:tcW w:type="dxa" w:w="36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Zoning; Live Local; entitlements (OQ-03)</w:t>
            </w:r>
          </w:p>
        </w:tc>
      </w:tr>
      <w:tr>
        <w:tc>
          <w:tcPr>
            <w:tcW w:type="dxa" w:w="23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General Contractor</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center"/>
            </w:pPr>
            <w:r>
              <w:rPr>
                <w:b/>
                <w:bCs/>
                <w:color w:val="548235"/>
                <w:sz w:val="18"/>
                <w:szCs w:val="18"/>
              </w:rPr>
              <w:t xml:space="preserve">Later phase</w:t>
            </w:r>
          </w:p>
        </w:tc>
        <w:tc>
          <w:tcPr>
            <w:tcW w:type="dxa" w:w="18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Pre-GMP</w:t>
            </w:r>
          </w:p>
        </w:tc>
        <w:tc>
          <w:tcPr>
            <w:tcW w:type="dxa" w:w="36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Pricing; just-in-time logistics; GMP</w:t>
            </w:r>
          </w:p>
        </w:tc>
      </w:tr>
      <w:tr>
        <w:tc>
          <w:tcPr>
            <w:tcW w:type="dxa" w:w="235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Cost Estimator</w:t>
            </w:r>
          </w:p>
        </w:tc>
        <w:tc>
          <w:tcPr>
            <w:tcW w:type="dxa" w:w="1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center"/>
            </w:pPr>
            <w:r>
              <w:rPr>
                <w:b/>
                <w:bCs/>
                <w:color w:val="BF8F00"/>
                <w:sz w:val="18"/>
                <w:szCs w:val="18"/>
              </w:rPr>
              <w:t xml:space="preserve">Near-term</w:t>
            </w:r>
          </w:p>
        </w:tc>
        <w:tc>
          <w:tcPr>
            <w:tcW w:type="dxa" w:w="185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SD</w:t>
            </w:r>
          </w:p>
        </w:tc>
        <w:tc>
          <w:tcPr>
            <w:tcW w:type="dxa" w:w="36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Convertibility premium; cost plans (OQ-10)</w:t>
            </w:r>
          </w:p>
        </w:tc>
      </w:tr>
      <w:tr>
        <w:tc>
          <w:tcPr>
            <w:tcW w:type="dxa" w:w="23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Surveyor</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center"/>
            </w:pPr>
            <w:r>
              <w:rPr>
                <w:b/>
                <w:bCs/>
                <w:color w:val="548235"/>
                <w:sz w:val="18"/>
                <w:szCs w:val="18"/>
              </w:rPr>
              <w:t xml:space="preserve">Active</w:t>
            </w:r>
          </w:p>
        </w:tc>
        <w:tc>
          <w:tcPr>
            <w:tcW w:type="dxa" w:w="18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Engaged</w:t>
            </w:r>
          </w:p>
        </w:tc>
        <w:tc>
          <w:tcPr>
            <w:tcW w:type="dxa" w:w="36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Boundary survey (complete); updates</w:t>
            </w:r>
          </w:p>
        </w:tc>
      </w:tr>
      <w:tr>
        <w:tc>
          <w:tcPr>
            <w:tcW w:type="dxa" w:w="235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Geotechnical Engineer</w:t>
            </w:r>
          </w:p>
        </w:tc>
        <w:tc>
          <w:tcPr>
            <w:tcW w:type="dxa" w:w="1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center"/>
            </w:pPr>
            <w:r>
              <w:rPr>
                <w:b/>
                <w:bCs/>
                <w:color w:val="9C2B2B"/>
                <w:sz w:val="18"/>
                <w:szCs w:val="18"/>
              </w:rPr>
              <w:t xml:space="preserve">Engage now</w:t>
            </w:r>
          </w:p>
        </w:tc>
        <w:tc>
          <w:tcPr>
            <w:tcW w:type="dxa" w:w="185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Now</w:t>
            </w:r>
          </w:p>
        </w:tc>
        <w:tc>
          <w:tcPr>
            <w:tcW w:type="dxa" w:w="36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Borings; foundation recommendations (OQ-07)</w:t>
            </w:r>
          </w:p>
        </w:tc>
      </w:tr>
      <w:tr>
        <w:tc>
          <w:tcPr>
            <w:tcW w:type="dxa" w:w="23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Utility Coordinator</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center"/>
            </w:pPr>
            <w:r>
              <w:rPr>
                <w:b/>
                <w:bCs/>
                <w:color w:val="BF8F00"/>
                <w:sz w:val="18"/>
                <w:szCs w:val="18"/>
              </w:rPr>
              <w:t xml:space="preserve">Near-term</w:t>
            </w:r>
          </w:p>
        </w:tc>
        <w:tc>
          <w:tcPr>
            <w:tcW w:type="dxa" w:w="18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Due diligence</w:t>
            </w:r>
          </w:p>
        </w:tc>
        <w:tc>
          <w:tcPr>
            <w:tcW w:type="dxa" w:w="36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FPL/water/sewer coordination (OQ-04)</w:t>
            </w:r>
          </w:p>
        </w:tc>
      </w:tr>
      <w:tr>
        <w:tc>
          <w:tcPr>
            <w:tcW w:type="dxa" w:w="235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Financial Advisor</w:t>
            </w:r>
          </w:p>
        </w:tc>
        <w:tc>
          <w:tcPr>
            <w:tcW w:type="dxa" w:w="1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center"/>
            </w:pPr>
            <w:r>
              <w:rPr>
                <w:b/>
                <w:bCs/>
                <w:color w:val="BF8F00"/>
                <w:sz w:val="18"/>
                <w:szCs w:val="18"/>
              </w:rPr>
              <w:t xml:space="preserve">Near-term</w:t>
            </w:r>
          </w:p>
        </w:tc>
        <w:tc>
          <w:tcPr>
            <w:tcW w:type="dxa" w:w="185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Pre-design</w:t>
            </w:r>
          </w:p>
        </w:tc>
        <w:tc>
          <w:tcPr>
            <w:tcW w:type="dxa" w:w="36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Institutional model; QOZ structuring</w:t>
            </w:r>
          </w:p>
        </w:tc>
      </w:tr>
      <w:tr>
        <w:tc>
          <w:tcPr>
            <w:tcW w:type="dxa" w:w="23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Lender</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center"/>
            </w:pPr>
            <w:r>
              <w:rPr>
                <w:b/>
                <w:bCs/>
                <w:color w:val="548235"/>
                <w:sz w:val="18"/>
                <w:szCs w:val="18"/>
              </w:rPr>
              <w:t xml:space="preserve">Later phase</w:t>
            </w:r>
          </w:p>
        </w:tc>
        <w:tc>
          <w:tcPr>
            <w:tcW w:type="dxa" w:w="18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Financing</w:t>
            </w:r>
          </w:p>
        </w:tc>
        <w:tc>
          <w:tcPr>
            <w:tcW w:type="dxa" w:w="36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Construction debt terms</w:t>
            </w:r>
          </w:p>
        </w:tc>
      </w:tr>
      <w:tr>
        <w:tc>
          <w:tcPr>
            <w:tcW w:type="dxa" w:w="235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Equity Partner</w:t>
            </w:r>
          </w:p>
        </w:tc>
        <w:tc>
          <w:tcPr>
            <w:tcW w:type="dxa" w:w="1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center"/>
            </w:pPr>
            <w:r>
              <w:rPr>
                <w:b/>
                <w:bCs/>
                <w:color w:val="548235"/>
                <w:sz w:val="18"/>
                <w:szCs w:val="18"/>
              </w:rPr>
              <w:t xml:space="preserve">Later phase</w:t>
            </w:r>
          </w:p>
        </w:tc>
        <w:tc>
          <w:tcPr>
            <w:tcW w:type="dxa" w:w="185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Financing</w:t>
            </w:r>
          </w:p>
        </w:tc>
        <w:tc>
          <w:tcPr>
            <w:tcW w:type="dxa" w:w="36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QOZ equity commitment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3864" w:val="clear"/>
            <w:tcMar>
              <w:top w:type="dxa" w:w="70"/>
              <w:left w:type="dxa" w:w="160"/>
              <w:bottom w:type="dxa" w:w="70"/>
              <w:right w:type="dxa" w:w="160"/>
            </w:tcMar>
          </w:tcPr>
          <w:p>
            <w:pPr>
              <w:spacing w:after="0"/>
            </w:pPr>
            <w:r>
              <w:rPr>
                <w:b/>
                <w:bCs/>
                <w:color w:val="FFFFFF"/>
                <w:sz w:val="22"/>
                <w:szCs w:val="22"/>
              </w:rPr>
              <w:t xml:space="preserve">8   ·   KEY PROJECT METRICS</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560"/>
        <w:gridCol w:w="1800"/>
      </w:tblGrid>
      <w:tr>
        <w:trPr>
          <w:tblHeader/>
        </w:trPr>
        <w:tc>
          <w:tcPr>
            <w:tcW w:type="dxa" w:w="30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line="240"/>
              <w:jc w:val="left"/>
            </w:pPr>
            <w:r>
              <w:rPr>
                <w:b/>
                <w:bCs/>
                <w:color w:val="FFFFFF"/>
                <w:sz w:val="18"/>
                <w:szCs w:val="18"/>
              </w:rPr>
              <w:t xml:space="preserve">Metric</w:t>
            </w:r>
          </w:p>
        </w:tc>
        <w:tc>
          <w:tcPr>
            <w:tcW w:type="dxa" w:w="45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line="240"/>
              <w:jc w:val="left"/>
            </w:pPr>
            <w:r>
              <w:rPr>
                <w:b/>
                <w:bCs/>
                <w:color w:val="FFFFFF"/>
                <w:sz w:val="18"/>
                <w:szCs w:val="18"/>
              </w:rPr>
              <w:t xml:space="preserve">Value</w:t>
            </w:r>
          </w:p>
        </w:tc>
        <w:tc>
          <w:tcPr>
            <w:tcW w:type="dxa" w:w="18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line="240"/>
              <w:jc w:val="left"/>
            </w:pPr>
            <w:r>
              <w:rPr>
                <w:b/>
                <w:bCs/>
                <w:color w:val="FFFFFF"/>
                <w:sz w:val="18"/>
                <w:szCs w:val="18"/>
              </w:rPr>
              <w:t xml:space="preserve">Tag</w:t>
            </w:r>
          </w:p>
        </w:tc>
      </w:tr>
      <w:tr>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Site Area</w:t>
            </w:r>
          </w:p>
        </w:tc>
        <w:tc>
          <w:tcPr>
            <w:tcW w:type="dxa" w:w="45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 0.88 acre (± 38,207 SF)</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bCs/>
                <w:color w:val="548235"/>
                <w:sz w:val="16"/>
                <w:szCs w:val="16"/>
              </w:rPr>
              <w:t xml:space="preserve">FACT</w:t>
            </w:r>
          </w:p>
        </w:tc>
      </w:tr>
      <w:tr>
        <w:tc>
          <w:tcPr>
            <w:tcW w:type="dxa" w:w="30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Height</w:t>
            </w:r>
          </w:p>
        </w:tc>
        <w:tc>
          <w:tcPr>
            <w:tcW w:type="dxa" w:w="45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Design to 110 ft by right; path to 150 ft</w:t>
            </w:r>
          </w:p>
        </w:tc>
        <w:tc>
          <w:tcPr>
            <w:tcW w:type="dxa" w:w="18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bCs/>
                <w:color w:val="548235"/>
                <w:sz w:val="16"/>
                <w:szCs w:val="16"/>
              </w:rPr>
              <w:t xml:space="preserve">FACT</w:t>
            </w:r>
          </w:p>
        </w:tc>
      </w:tr>
      <w:tr>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Parking Ratio (target)</w:t>
            </w:r>
          </w:p>
        </w:tc>
        <w:tc>
          <w:tcPr>
            <w:tcW w:type="dxa" w:w="45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4.0–5.0 spaces / 1,000 SF clinical (benchmark)</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bCs/>
                <w:color w:val="BF8F00"/>
                <w:sz w:val="16"/>
                <w:szCs w:val="16"/>
              </w:rPr>
              <w:t xml:space="preserve">ASSUMPTION</w:t>
            </w:r>
          </w:p>
        </w:tc>
      </w:tr>
      <w:tr>
        <w:tc>
          <w:tcPr>
            <w:tcW w:type="dxa" w:w="30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Achievable Stall Count</w:t>
            </w:r>
          </w:p>
        </w:tc>
        <w:tc>
          <w:tcPr>
            <w:tcW w:type="dxa" w:w="45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bCs/>
                <w:color w:val="595959"/>
                <w:sz w:val="18"/>
                <w:szCs w:val="18"/>
              </w:rPr>
              <w:t xml:space="preserve">TBD — Schematic Design</w:t>
            </w:r>
          </w:p>
        </w:tc>
        <w:tc>
          <w:tcPr>
            <w:tcW w:type="dxa" w:w="18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color w:val="595959"/>
                <w:sz w:val="16"/>
                <w:szCs w:val="16"/>
              </w:rPr>
              <w:t xml:space="preserve">pending test-fit</w:t>
            </w:r>
          </w:p>
        </w:tc>
      </w:tr>
      <w:tr>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Primary Market</w:t>
            </w:r>
          </w:p>
        </w:tc>
        <w:tc>
          <w:tcPr>
            <w:tcW w:type="dxa" w:w="45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Fort Lauderdale / Broward County medical</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bCs/>
                <w:color w:val="548235"/>
                <w:sz w:val="16"/>
                <w:szCs w:val="16"/>
              </w:rPr>
              <w:t xml:space="preserve">FACT</w:t>
            </w:r>
          </w:p>
        </w:tc>
      </w:tr>
      <w:tr>
        <w:tc>
          <w:tcPr>
            <w:tcW w:type="dxa" w:w="30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Healthcare District</w:t>
            </w:r>
          </w:p>
        </w:tc>
        <w:tc>
          <w:tcPr>
            <w:tcW w:type="dxa" w:w="45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Broward Health Medical Center (&lt; ½ mile)</w:t>
            </w:r>
          </w:p>
        </w:tc>
        <w:tc>
          <w:tcPr>
            <w:tcW w:type="dxa" w:w="18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bCs/>
                <w:color w:val="548235"/>
                <w:sz w:val="16"/>
                <w:szCs w:val="16"/>
              </w:rPr>
              <w:t xml:space="preserve">FACT</w:t>
            </w:r>
          </w:p>
        </w:tc>
      </w:tr>
      <w:tr>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Opportunity Zone</w:t>
            </w:r>
          </w:p>
        </w:tc>
        <w:tc>
          <w:tcPr>
            <w:tcW w:type="dxa" w:w="45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Yes — federal QOZ</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bCs/>
                <w:color w:val="548235"/>
                <w:sz w:val="16"/>
                <w:szCs w:val="16"/>
              </w:rPr>
              <w:t xml:space="preserve">FACT</w:t>
            </w:r>
          </w:p>
        </w:tc>
      </w:tr>
      <w:tr>
        <w:tc>
          <w:tcPr>
            <w:tcW w:type="dxa" w:w="30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Current Phase</w:t>
            </w:r>
          </w:p>
        </w:tc>
        <w:tc>
          <w:tcPr>
            <w:tcW w:type="dxa" w:w="45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Pre-Schematic (ODP issued)</w:t>
            </w:r>
          </w:p>
        </w:tc>
        <w:tc>
          <w:tcPr>
            <w:tcW w:type="dxa" w:w="18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bCs/>
                <w:color w:val="548235"/>
                <w:sz w:val="16"/>
                <w:szCs w:val="16"/>
              </w:rPr>
              <w:t xml:space="preserve">FACT</w:t>
            </w:r>
          </w:p>
        </w:tc>
      </w:tr>
      <w:tr>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Target Hold Period</w:t>
            </w:r>
          </w:p>
        </w:tc>
        <w:tc>
          <w:tcPr>
            <w:tcW w:type="dxa" w:w="45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 10 years (QOZ-aligned)</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bCs/>
                <w:color w:val="595959"/>
                <w:sz w:val="16"/>
                <w:szCs w:val="16"/>
              </w:rPr>
              <w:t xml:space="preserve">JUDGMENT</w:t>
            </w:r>
          </w:p>
        </w:tc>
      </w:tr>
      <w:tr>
        <w:tc>
          <w:tcPr>
            <w:tcW w:type="dxa" w:w="30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Primary Revenue Sources</w:t>
            </w:r>
          </w:p>
        </w:tc>
        <w:tc>
          <w:tcPr>
            <w:tcW w:type="dxa" w:w="45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Parking; medical co-working; medtail NNN; clinical</w:t>
            </w:r>
          </w:p>
        </w:tc>
        <w:tc>
          <w:tcPr>
            <w:tcW w:type="dxa" w:w="18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bCs/>
                <w:color w:val="548235"/>
                <w:sz w:val="16"/>
                <w:szCs w:val="16"/>
              </w:rPr>
              <w:t xml:space="preserve">FACT</w:t>
            </w:r>
          </w:p>
        </w:tc>
      </w:tr>
      <w:tr>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Primary Risks</w:t>
            </w:r>
          </w:p>
        </w:tc>
        <w:tc>
          <w:tcPr>
            <w:tcW w:type="dxa" w:w="45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Flood/Zone AE; FPL capacity; cost/rate escalation; site logistics</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bCs/>
                <w:color w:val="548235"/>
                <w:sz w:val="16"/>
                <w:szCs w:val="16"/>
              </w:rPr>
              <w:t xml:space="preserve">FACT</w:t>
            </w:r>
          </w:p>
        </w:tc>
      </w:tr>
      <w:tr>
        <w:tc>
          <w:tcPr>
            <w:tcW w:type="dxa" w:w="30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Primary Competitive Advantages</w:t>
            </w:r>
          </w:p>
        </w:tc>
        <w:tc>
          <w:tcPr>
            <w:tcW w:type="dxa" w:w="45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Co-working + surplus parking + convertibility + QOZ</w:t>
            </w:r>
          </w:p>
        </w:tc>
        <w:tc>
          <w:tcPr>
            <w:tcW w:type="dxa" w:w="18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bCs/>
                <w:color w:val="595959"/>
                <w:sz w:val="16"/>
                <w:szCs w:val="16"/>
              </w:rPr>
              <w:t xml:space="preserve">JUDGMENT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3864" w:val="clear"/>
            <w:tcMar>
              <w:top w:type="dxa" w:w="70"/>
              <w:left w:type="dxa" w:w="160"/>
              <w:bottom w:type="dxa" w:w="70"/>
              <w:right w:type="dxa" w:w="160"/>
            </w:tcMar>
          </w:tcPr>
          <w:p>
            <w:pPr>
              <w:spacing w:after="0"/>
            </w:pPr>
            <w:r>
              <w:rPr>
                <w:b/>
                <w:bCs/>
                <w:color w:val="FFFFFF"/>
                <w:sz w:val="22"/>
                <w:szCs w:val="22"/>
              </w:rPr>
              <w:t xml:space="preserve">9   ·   GOVERNING PRINCIPLES</w:t>
            </w:r>
          </w:p>
        </w:tc>
      </w:tr>
    </w:tbl>
    <w:p>
      <w:pPr>
        <w:spacing w:after="40"/>
      </w:pPr>
    </w:p>
    <w:p>
      <w:pPr>
        <w:spacing w:after="70"/>
      </w:pPr>
      <w:r>
        <w:rPr>
          <w:i/>
          <w:iCs/>
          <w:color w:val="595959"/>
          <w:sz w:val="19"/>
          <w:szCs w:val="19"/>
        </w:rPr>
        <w:t xml:space="preserve">The ten principles that govern every decision in this manual, distilled from the Project Constitution and ODP.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50"/>
        <w:gridCol w:w="6310"/>
      </w:tblGrid>
      <w:tr>
        <w:trPr>
          <w:tblHeader/>
        </w:trPr>
        <w:tc>
          <w:tcPr>
            <w:tcW w:type="dxa" w:w="305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line="240"/>
              <w:jc w:val="left"/>
            </w:pPr>
            <w:r>
              <w:rPr>
                <w:b/>
                <w:bCs/>
                <w:color w:val="FFFFFF"/>
                <w:sz w:val="18"/>
                <w:szCs w:val="18"/>
              </w:rPr>
              <w:t xml:space="preserve">Principle</w:t>
            </w:r>
          </w:p>
        </w:tc>
        <w:tc>
          <w:tcPr>
            <w:tcW w:type="dxa" w:w="631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line="240"/>
              <w:jc w:val="left"/>
            </w:pPr>
            <w:r>
              <w:rPr>
                <w:b/>
                <w:bCs/>
                <w:color w:val="FFFFFF"/>
                <w:sz w:val="18"/>
                <w:szCs w:val="18"/>
              </w:rPr>
              <w:t xml:space="preserve">What it means in practice</w:t>
            </w:r>
          </w:p>
        </w:tc>
      </w:tr>
      <w:tr>
        <w:tc>
          <w:tcPr>
            <w:tcW w:type="dxa" w:w="30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1. Healthcare First</w:t>
            </w:r>
          </w:p>
        </w:tc>
        <w:tc>
          <w:tcPr>
            <w:tcW w:type="dxa" w:w="631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Every major decision improves patient access, provider efficiency, or healthcare economics.</w:t>
            </w:r>
          </w:p>
        </w:tc>
      </w:tr>
      <w:tr>
        <w:tc>
          <w:tcPr>
            <w:tcW w:type="dxa" w:w="305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2. Evidence Before Assumption</w:t>
            </w:r>
          </w:p>
        </w:tc>
        <w:tc>
          <w:tcPr>
            <w:tcW w:type="dxa" w:w="631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Verified facts outrank assumptions; nothing engineering/zoning/financial is invented.</w:t>
            </w:r>
          </w:p>
        </w:tc>
      </w:tr>
      <w:tr>
        <w:tc>
          <w:tcPr>
            <w:tcW w:type="dxa" w:w="30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3. Parking Is Infrastructure</w:t>
            </w:r>
          </w:p>
        </w:tc>
        <w:tc>
          <w:tcPr>
            <w:tcW w:type="dxa" w:w="631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Parking enables healthcare, retail, and mobility — not merely a revenue line.</w:t>
            </w:r>
          </w:p>
        </w:tc>
      </w:tr>
      <w:tr>
        <w:tc>
          <w:tcPr>
            <w:tcW w:type="dxa" w:w="305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4. Flexibility Creates Value</w:t>
            </w:r>
          </w:p>
        </w:tc>
        <w:tc>
          <w:tcPr>
            <w:tcW w:type="dxa" w:w="631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Adaptable grids and convertible plates are preferred over single-use optimization.</w:t>
            </w:r>
          </w:p>
        </w:tc>
      </w:tr>
      <w:tr>
        <w:tc>
          <w:tcPr>
            <w:tcW w:type="dxa" w:w="30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5. Phase Innovation</w:t>
            </w:r>
          </w:p>
        </w:tc>
        <w:tc>
          <w:tcPr>
            <w:tcW w:type="dxa" w:w="631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Design for future capability; build for proven demand; no speculative day-one revenue.</w:t>
            </w:r>
          </w:p>
        </w:tc>
      </w:tr>
      <w:tr>
        <w:tc>
          <w:tcPr>
            <w:tcW w:type="dxa" w:w="305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6. Institutional Quality</w:t>
            </w:r>
          </w:p>
        </w:tc>
        <w:tc>
          <w:tcPr>
            <w:tcW w:type="dxa" w:w="631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Every output suits architects, engineers, lenders, investors, and public agencies.</w:t>
            </w:r>
          </w:p>
        </w:tc>
      </w:tr>
      <w:tr>
        <w:tc>
          <w:tcPr>
            <w:tcW w:type="dxa" w:w="30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7. Future-Proof the Structure</w:t>
            </w:r>
          </w:p>
        </w:tc>
        <w:tc>
          <w:tcPr>
            <w:tcW w:type="dxa" w:w="631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Oversize utility paths, plan roof capacity, preserve conversion optionality.</w:t>
            </w:r>
          </w:p>
        </w:tc>
      </w:tr>
      <w:tr>
        <w:tc>
          <w:tcPr>
            <w:tcW w:type="dxa" w:w="305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8. Financial Discipline</w:t>
            </w:r>
          </w:p>
        </w:tc>
        <w:tc>
          <w:tcPr>
            <w:tcW w:type="dxa" w:w="631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Lifecycle economics over first cost; institutional financeability throughout.</w:t>
            </w:r>
          </w:p>
        </w:tc>
      </w:tr>
      <w:tr>
        <w:tc>
          <w:tcPr>
            <w:tcW w:type="dxa" w:w="30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9. Transparency</w:t>
            </w:r>
          </w:p>
        </w:tc>
        <w:tc>
          <w:tcPr>
            <w:tcW w:type="dxa" w:w="631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Always separate verified fact, judgment, assumption, and future possibility.</w:t>
            </w:r>
          </w:p>
        </w:tc>
      </w:tr>
      <w:tr>
        <w:tc>
          <w:tcPr>
            <w:tcW w:type="dxa" w:w="305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10. Long-Term Durability</w:t>
            </w:r>
          </w:p>
        </w:tc>
        <w:tc>
          <w:tcPr>
            <w:tcW w:type="dxa" w:w="631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The most sustainable asset is one that stays useful for generations.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3864" w:val="clear"/>
            <w:tcMar>
              <w:top w:type="dxa" w:w="70"/>
              <w:left w:type="dxa" w:w="160"/>
              <w:bottom w:type="dxa" w:w="70"/>
              <w:right w:type="dxa" w:w="160"/>
            </w:tcMar>
          </w:tcPr>
          <w:p>
            <w:pPr>
              <w:spacing w:after="0"/>
            </w:pPr>
            <w:r>
              <w:rPr>
                <w:b/>
                <w:bCs/>
                <w:color w:val="FFFFFF"/>
                <w:sz w:val="22"/>
                <w:szCs w:val="22"/>
              </w:rPr>
              <w:t xml:space="preserve">10   ·   NEXT 90 DAYS — OWNER’S REPRESENTATIVE ACTION PLAN</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400"/>
        <w:gridCol w:w="3460"/>
      </w:tblGrid>
      <w:tr>
        <w:trPr>
          <w:tblHeader/>
        </w:trPr>
        <w:tc>
          <w:tcPr>
            <w:tcW w:type="dxa" w:w="15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line="240"/>
              <w:jc w:val="left"/>
            </w:pPr>
            <w:r>
              <w:rPr>
                <w:b/>
                <w:bCs/>
                <w:color w:val="FFFFFF"/>
                <w:sz w:val="18"/>
                <w:szCs w:val="18"/>
              </w:rPr>
              <w:t xml:space="preserve">Window</w:t>
            </w:r>
          </w:p>
        </w:tc>
        <w:tc>
          <w:tcPr>
            <w:tcW w:type="dxa" w:w="44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line="240"/>
              <w:jc w:val="left"/>
            </w:pPr>
            <w:r>
              <w:rPr>
                <w:b/>
                <w:bCs/>
                <w:color w:val="FFFFFF"/>
                <w:sz w:val="18"/>
                <w:szCs w:val="18"/>
              </w:rPr>
              <w:t xml:space="preserve">Actions</w:t>
            </w:r>
          </w:p>
        </w:tc>
        <w:tc>
          <w:tcPr>
            <w:tcW w:type="dxa" w:w="34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line="240"/>
              <w:jc w:val="left"/>
            </w:pPr>
            <w:r>
              <w:rPr>
                <w:b/>
                <w:bCs/>
                <w:color w:val="FFFFFF"/>
                <w:sz w:val="18"/>
                <w:szCs w:val="18"/>
              </w:rPr>
              <w:t xml:space="preserve">Owner / lead</w:t>
            </w:r>
          </w:p>
        </w:tc>
      </w:tr>
      <w:tr>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bCs/>
                <w:color w:val="1F3864"/>
                <w:sz w:val="18"/>
                <w:szCs w:val="18"/>
              </w:rPr>
              <w:t xml:space="preserve">Days 0–30</w:t>
            </w:r>
          </w:p>
        </w:tc>
        <w:tc>
          <w:tcPr>
            <w:tcW w:type="dxa" w:w="4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sz w:val="18"/>
                <w:szCs w:val="18"/>
              </w:rPr>
              <w:t xml:space="preserve">• Secure written ratification of the project thesis (OQ-01).</w:t>
            </w:r>
            <w:r>
              <w:rPr>
                <w:sz w:val="18"/>
                <w:szCs w:val="18"/>
              </w:rPr>
              <w:br/>
              <w:t xml:space="preserve">• Retain land-use counsel; request Zoning Verification Letter.</w:t>
            </w:r>
            <w:r>
              <w:rPr>
                <w:sz w:val="18"/>
                <w:szCs w:val="18"/>
              </w:rPr>
              <w:br/>
              <w:t xml:space="preserve">• Engage architect + parking consultant for test-fit (OQ-02).</w:t>
            </w:r>
            <w:r>
              <w:rPr>
                <w:sz w:val="18"/>
                <w:szCs w:val="18"/>
              </w:rPr>
              <w:br/>
              <w:t xml:space="preserve">• Commission traffic engineer and civil/stormwater (OQ-05/06).</w:t>
            </w:r>
          </w:p>
        </w:tc>
        <w:tc>
          <w:tcPr>
            <w:tcW w:type="dxa" w:w="34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Owner; OR; Counsel</w:t>
            </w:r>
          </w:p>
        </w:tc>
      </w:tr>
      <w:tr>
        <w:tc>
          <w:tcPr>
            <w:tcW w:type="dxa" w:w="1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bCs/>
                <w:color w:val="1F3864"/>
                <w:sz w:val="18"/>
                <w:szCs w:val="18"/>
              </w:rPr>
              <w:t xml:space="preserve">Days 31–60</w:t>
            </w:r>
          </w:p>
        </w:tc>
        <w:tc>
          <w:tcPr>
            <w:tcW w:type="dxa" w:w="44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sz w:val="18"/>
                <w:szCs w:val="18"/>
              </w:rPr>
              <w:t xml:space="preserve">• Hold City pre-application / DRC meeting (OQ-03).</w:t>
            </w:r>
            <w:r>
              <w:rPr>
                <w:sz w:val="18"/>
                <w:szCs w:val="18"/>
              </w:rPr>
              <w:br/>
              <w:t xml:space="preserve">• Order FPL load study, geotechnical borings, Phase I ESA (OQ-04/07/13).</w:t>
            </w:r>
            <w:r>
              <w:rPr>
                <w:sz w:val="18"/>
                <w:szCs w:val="18"/>
              </w:rPr>
              <w:br/>
              <w:t xml:space="preserve">• Open co-working operator LOI discussions (OQ-08).</w:t>
            </w:r>
            <w:r>
              <w:rPr>
                <w:sz w:val="18"/>
                <w:szCs w:val="18"/>
              </w:rPr>
              <w:br/>
              <w:t xml:space="preserve">• Stand up the financial model per Underwriting Standards.</w:t>
            </w:r>
          </w:p>
        </w:tc>
        <w:tc>
          <w:tcPr>
            <w:tcW w:type="dxa" w:w="34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OR; Dev. Mgr; Broker; Financial Advisor</w:t>
            </w:r>
          </w:p>
        </w:tc>
      </w:tr>
      <w:tr>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bCs/>
                <w:color w:val="1F3864"/>
                <w:sz w:val="18"/>
                <w:szCs w:val="18"/>
              </w:rPr>
              <w:t xml:space="preserve">Days 61–90</w:t>
            </w:r>
          </w:p>
        </w:tc>
        <w:tc>
          <w:tcPr>
            <w:tcW w:type="dxa" w:w="4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sz w:val="18"/>
                <w:szCs w:val="18"/>
              </w:rPr>
              <w:t xml:space="preserve">• Integrate test-fit + studies into a validated program.</w:t>
            </w:r>
            <w:r>
              <w:rPr>
                <w:sz w:val="18"/>
                <w:szCs w:val="18"/>
              </w:rPr>
              <w:br/>
              <w:t xml:space="preserve">• Price the convertibility premium with cost estimator (OQ-10).</w:t>
            </w:r>
            <w:r>
              <w:rPr>
                <w:sz w:val="18"/>
                <w:szCs w:val="18"/>
              </w:rPr>
              <w:br/>
              <w:t xml:space="preserve">• Decide final height scenario inside the model (OQ-11).</w:t>
            </w:r>
            <w:r>
              <w:rPr>
                <w:sz w:val="18"/>
                <w:szCs w:val="18"/>
              </w:rPr>
              <w:br/>
              <w:t xml:space="preserve">• Convene investment committee; authorize Schematic Design.</w:t>
            </w:r>
          </w:p>
        </w:tc>
        <w:tc>
          <w:tcPr>
            <w:tcW w:type="dxa" w:w="34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OR; Architect; Estimator; IC</w:t>
            </w:r>
          </w:p>
        </w:tc>
      </w:tr>
    </w:tbl>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F0F8" w:sz="1"/>
              <w:left w:val="single" w:color="1F3864" w:sz="24"/>
              <w:bottom w:val="single" w:color="EAF0F8" w:sz="1"/>
              <w:right w:val="single" w:color="EAF0F8" w:sz="1"/>
            </w:tcBorders>
            <w:shd w:fill="EAF0F8" w:val="clear"/>
            <w:tcMar>
              <w:top w:type="dxa" w:w="120"/>
              <w:left w:type="dxa" w:w="200"/>
              <w:bottom w:type="dxa" w:w="120"/>
              <w:right w:type="dxa" w:w="160"/>
            </w:tcMar>
          </w:tcPr>
          <w:p>
            <w:pPr>
              <w:spacing w:after="60"/>
            </w:pPr>
            <w:r>
              <w:rPr>
                <w:b/>
                <w:bCs/>
                <w:color w:val="1F3864"/>
                <w:sz w:val="19"/>
                <w:szCs w:val="19"/>
              </w:rPr>
              <w:t xml:space="preserve">Gate to Schematic Design</w:t>
            </w:r>
          </w:p>
          <w:p>
            <w:pPr>
              <w:spacing w:after="40" w:line="252"/>
            </w:pPr>
            <w:r>
              <w:t xml:space="preserve">Schematic Design should not be authorized until OQ-01 is ratified and the test-fit, zoning verification, and gating technical studies are in hand. The 90-day plan is sequenced to reach that gate.</w:t>
            </w:r>
          </w:p>
        </w:tc>
      </w:tr>
    </w:tbl>
    <w:p>
      <w:r>
        <w:br w:type="page"/>
      </w:r>
    </w:p>
    <w:p>
      <w:pPr>
        <w:pBdr>
          <w:bottom w:val="single" w:color="2E5496" w:sz="6" w:space="4"/>
        </w:pBdr>
        <w:spacing w:after="80"/>
      </w:pPr>
      <w:r>
        <w:rPr>
          <w:b/>
          <w:bCs/>
          <w:color w:val="2E5496"/>
          <w:sz w:val="20"/>
          <w:szCs w:val="20"/>
        </w:rPr>
        <w:t xml:space="preserve">End of Executive Dashboard — the full Owner’s Development Program follows.</w:t>
      </w:r>
    </w:p>
    <w:p>
      <w:r>
        <w:br w:type="page"/>
      </w:r>
    </w:p>
    <w:p>
      <w:pPr>
        <w:pStyle w:val="Heading1"/>
      </w:pPr>
      <w:r>
        <w:t xml:space="preserve">0. Governance, Scope &amp; How to Use This Manual</w:t>
      </w:r>
    </w:p>
    <w:p>
      <w:pPr>
        <w:spacing w:after="120" w:line="264"/>
      </w:pPr>
      <w:r>
        <w:rPr>
          <w:b/>
          <w:bCs/>
        </w:rPr>
        <w:t xml:space="preserve">Purpose. </w:t>
      </w:r>
      <w:r>
        <w:t xml:space="preserve">This Owner’s Development Program (ODP) is the single governing manual that translates the project’s completed research into decisions. It is written for architects, civil/structural/MEP/traffic engineers, construction managers, healthcare partners, investors, lenders, City staff, utility providers, and future AI sessions. Every deliverable produced after this document should reference it.</w:t>
      </w:r>
    </w:p>
    <w:p>
      <w:pPr>
        <w:spacing w:after="120" w:line="264"/>
      </w:pPr>
      <w:r>
        <w:rPr>
          <w:b/>
          <w:bCs/>
        </w:rPr>
        <w:t xml:space="preserve">What this document is — and is not. </w:t>
      </w:r>
      <w:r>
        <w:t xml:space="preserve">It interprets the research, resolves conflicts, sets priorities, and makes evidence-based decisions. It is </w:t>
      </w:r>
      <w:r>
        <w:rPr>
          <w:i/>
          <w:iCs/>
        </w:rPr>
        <w:t xml:space="preserve">not</w:t>
      </w:r>
      <w:r>
        <w:t xml:space="preserve"> a repeat of the feasibility study, a new market study, or a financial model. Where certainty does not exist, the uncertainty is named, the validation required is identified, and no engineering, zoning, utility, or financial fact is invented.</w:t>
      </w:r>
    </w:p>
    <w:p>
      <w:pPr>
        <w:pStyle w:val="Heading2"/>
      </w:pPr>
      <w:r>
        <w:t xml:space="preserve">0.1 Evidence Classification Convention</w:t>
      </w:r>
    </w:p>
    <w:p>
      <w:pPr>
        <w:spacing w:after="120" w:line="264"/>
      </w:pPr>
      <w:r>
        <w:t xml:space="preserve">Throughout this manual, material claims are tagged so readers can separate what is known from what is assumed: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line="240"/>
              <w:jc w:val="left"/>
            </w:pPr>
            <w:r>
              <w:rPr>
                <w:b/>
                <w:bCs/>
                <w:color w:val="FFFFFF"/>
                <w:sz w:val="18"/>
                <w:szCs w:val="18"/>
              </w:rPr>
              <w:t xml:space="preserve">Tag</w:t>
            </w:r>
          </w:p>
        </w:tc>
        <w:tc>
          <w:tcPr>
            <w:tcW w:type="dxa" w:w="76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line="240"/>
              <w:jc w:val="left"/>
            </w:pPr>
            <w:r>
              <w:rPr>
                <w:b/>
                <w:bCs/>
                <w:color w:val="FFFFFF"/>
                <w:sz w:val="18"/>
                <w:szCs w:val="18"/>
              </w:rPr>
              <w:t xml:space="preserve">Meaning</w:t>
            </w:r>
          </w:p>
        </w:tc>
      </w:tr>
      <w:tr>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bCs/>
                <w:color w:val="548235"/>
                <w:sz w:val="18"/>
                <w:szCs w:val="18"/>
              </w:rPr>
              <w:t xml:space="preserve">FACT</w:t>
            </w:r>
          </w:p>
        </w:tc>
        <w:tc>
          <w:tcPr>
            <w:tcW w:type="dxa" w:w="76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Verified in the Boundary Survey, an official record, or directly corroborated across multiple research reports.</w:t>
            </w:r>
          </w:p>
        </w:tc>
      </w:tr>
      <w:tr>
        <w:tc>
          <w:tcPr>
            <w:tcW w:type="dxa" w:w="17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bCs/>
                <w:color w:val="BF8F00"/>
                <w:sz w:val="18"/>
                <w:szCs w:val="18"/>
              </w:rPr>
              <w:t xml:space="preserve">ASSUMPTION</w:t>
            </w:r>
          </w:p>
        </w:tc>
        <w:tc>
          <w:tcPr>
            <w:tcW w:type="dxa" w:w="76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A reasonable planning premise that requires professional validation before it is relied upon for design or capital decisions.</w:t>
            </w:r>
          </w:p>
        </w:tc>
      </w:tr>
      <w:tr>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bCs/>
                <w:color w:val="2E5496"/>
                <w:sz w:val="18"/>
                <w:szCs w:val="18"/>
              </w:rPr>
              <w:t xml:space="preserve">FORECAST</w:t>
            </w:r>
          </w:p>
        </w:tc>
        <w:tc>
          <w:tcPr>
            <w:tcW w:type="dxa" w:w="76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A forward projection drawn from market research; directionally supported but inherently uncertain.</w:t>
            </w:r>
          </w:p>
        </w:tc>
      </w:tr>
      <w:tr>
        <w:tc>
          <w:tcPr>
            <w:tcW w:type="dxa" w:w="17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bCs/>
                <w:color w:val="595959"/>
                <w:sz w:val="18"/>
                <w:szCs w:val="18"/>
              </w:rPr>
              <w:t xml:space="preserve">JUDGMENT</w:t>
            </w:r>
          </w:p>
        </w:tc>
        <w:tc>
          <w:tcPr>
            <w:tcW w:type="dxa" w:w="76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The Owner’s Representative’s professional recommendation, offered to drive decisions rather than to assert fact.</w:t>
            </w:r>
          </w:p>
        </w:tc>
      </w:tr>
    </w:tbl>
    <w:p>
      <w:pPr>
        <w:spacing w:after="80"/>
      </w:pPr>
    </w:p>
    <w:p>
      <w:pPr>
        <w:pStyle w:val="Heading2"/>
      </w:pPr>
      <w:r>
        <w:t xml:space="preserve">0.2 Critical Governance Finding — Project Identity Conflict (must be ratified)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E9E7" w:sz="1"/>
              <w:left w:val="single" w:color="9C2B2B" w:sz="24"/>
              <w:bottom w:val="single" w:color="FBE9E7" w:sz="1"/>
              <w:right w:val="single" w:color="FBE9E7" w:sz="1"/>
            </w:tcBorders>
            <w:shd w:fill="FBE9E7" w:val="clear"/>
            <w:tcMar>
              <w:top w:type="dxa" w:w="120"/>
              <w:left w:type="dxa" w:w="200"/>
              <w:bottom w:type="dxa" w:w="120"/>
              <w:right w:type="dxa" w:w="160"/>
            </w:tcMar>
          </w:tcPr>
          <w:p>
            <w:pPr>
              <w:spacing w:after="60"/>
            </w:pPr>
            <w:r>
              <w:rPr>
                <w:b/>
                <w:bCs/>
                <w:color w:val="1F3864"/>
                <w:sz w:val="19"/>
                <w:szCs w:val="19"/>
              </w:rPr>
              <w:t xml:space="preserve">ACTION REQUIRED OF THE OWNER / INVESTMENT COMMITTEE</w:t>
            </w:r>
          </w:p>
          <w:p>
            <w:pPr>
              <w:spacing w:after="40" w:line="252"/>
            </w:pPr>
            <w:r>
              <w:rPr>
                <w:b/>
                <w:bCs/>
              </w:rPr>
              <w:t xml:space="preserve">Two competing project theses exist in the knowledge base. </w:t>
            </w:r>
            <w:r>
              <w:t xml:space="preserve">The Project Constitution, README, Decision Log, and all five research reports describe a </w:t>
            </w:r>
            <w:r>
              <w:rPr>
                <w:b/>
                <w:bCs/>
              </w:rPr>
              <w:t xml:space="preserve">healthcare-oriented mixed-use asset anchored by structured parking</w:t>
            </w:r>
            <w:r>
              <w:t xml:space="preserve"> (“South Andrews Clinical &amp; Mobility Center”). A separate context file (Andrews_Context.md) and certain session-level instructions describe an autonomous-vehicle / robotaxi “Mobility Nexus” in which AV fleet operations are the primary economic thesis.</w:t>
            </w:r>
          </w:p>
          <w:p>
            <w:pPr>
              <w:spacing w:after="40" w:line="252"/>
            </w:pPr>
            <w:r>
              <w:rPr>
                <w:b/>
                <w:bCs/>
              </w:rPr>
              <w:t xml:space="preserve">These conflict directly. </w:t>
            </w:r>
            <w:r>
              <w:t xml:space="preserve">Project Constitution Principle 5 (“Phase Innovation”) and </w:t>
            </w:r>
            <w:r>
              <w:rPr>
                <w:b/>
                <w:bCs/>
              </w:rPr>
              <w:t xml:space="preserve">Decision-003</w:t>
            </w:r>
            <w:r>
              <w:t xml:space="preserve"> prohibit relying on AV/edge infrastructure as primary day-one revenue. </w:t>
            </w:r>
            <w:r>
              <w:rPr>
                <w:b/>
                <w:bCs/>
              </w:rPr>
              <w:t xml:space="preserve">Decision-001</w:t>
            </w:r>
            <w:r>
              <w:t xml:space="preserve"> lists “Pure Mobility Nexus” among the alternatives that were </w:t>
            </w:r>
            <w:r>
              <w:rPr>
                <w:i/>
                <w:iCs/>
              </w:rPr>
              <w:t xml:space="preserve">considered and rejected</w:t>
            </w:r>
            <w:r>
              <w:t xml:space="preserve">.</w:t>
            </w:r>
          </w:p>
          <w:p>
            <w:pPr>
              <w:spacing w:after="40" w:line="252"/>
            </w:pPr>
            <w:r>
              <w:rPr>
                <w:b/>
                <w:bCs/>
              </w:rPr>
              <w:t xml:space="preserve">Resolution applied in this ODP. </w:t>
            </w:r>
            <w:r>
              <w:t xml:space="preserve">Per the precedence rules, the Constitution and active decisions control. This manual therefore governs the </w:t>
            </w:r>
            <w:r>
              <w:rPr>
                <w:b/>
                <w:bCs/>
              </w:rPr>
              <w:t xml:space="preserve">healthcare-anchored asset</w:t>
            </w:r>
            <w:r>
              <w:t xml:space="preserve"> and treats advanced mobility (AV staging, fleet servicing, expanded charging) as a </w:t>
            </w:r>
            <w:r>
              <w:rPr>
                <w:b/>
                <w:bCs/>
              </w:rPr>
              <w:t xml:space="preserve">preserved Phase 3+ optionality layer</w:t>
            </w:r>
            <w:r>
              <w:t xml:space="preserve">, not the core thesis. Adopting the Mobility-Nexus thesis as primary would be a Constitution-level change requiring a new logged decision with rationale. See Open Question OQ-01.</w:t>
            </w:r>
          </w:p>
        </w:tc>
      </w:tr>
    </w:tbl>
    <w:p>
      <w:pPr>
        <w:spacing w:after="80"/>
      </w:pPr>
    </w:p>
    <w:p>
      <w:pPr>
        <w:spacing w:after="120" w:line="264"/>
      </w:pPr>
      <w:r>
        <w:rPr>
          <w:b/>
          <w:bCs/>
        </w:rPr>
        <w:t xml:space="preserve">Appraisal caveat. </w:t>
      </w:r>
      <w:r>
        <w:t xml:space="preserve">The appraisal PDF in the library is branded “Agora Mediterranean Market.” Its site-specific data (FEMA AE zone, RAC-RPO zoning, ~0.88-acre assemblage, frontages) corroborates the other reports and is used here as </w:t>
      </w:r>
      <w:r>
        <w:rPr>
          <w:b/>
          <w:bCs/>
        </w:rPr>
        <w:t xml:space="preserve">background market context only</w:t>
      </w:r>
      <w:r>
        <w:t xml:space="preserve">, consistent with the precedence rule that the appraisal is never the sole authority for a planning decision. The branding mismatch is logged as OQ-12 for reconciliation.</w:t>
      </w:r>
    </w:p>
    <w:p>
      <w:pPr>
        <w:spacing w:after="60"/>
      </w:pPr>
    </w:p>
    <w:p>
      <w:pPr>
        <w:pBdr>
          <w:top w:val="single" w:color="2E5496" w:sz="6" w:space="4"/>
        </w:pBdr>
        <w:spacing w:after="80" w:before="80"/>
      </w:pPr>
      <w:r>
        <w:rPr>
          <w:b/>
          <w:bCs/>
          <w:color w:val="2E5496"/>
          <w:sz w:val="20"/>
          <w:szCs w:val="20"/>
        </w:rPr>
        <w:t xml:space="preserve">Chapter Close-Out</w:t>
      </w:r>
    </w:p>
    <w:p>
      <w:pPr>
        <w:spacing w:after="30" w:before="60"/>
      </w:pPr>
      <w:r>
        <w:rPr>
          <w:b/>
          <w:bCs/>
          <w:color w:val="1F3864"/>
          <w:sz w:val="18"/>
          <w:szCs w:val="18"/>
        </w:rPr>
        <w:t xml:space="preserve">Key Decisions</w:t>
      </w:r>
    </w:p>
    <w:p>
      <w:pPr>
        <w:pStyle w:val="ListParagraph"/>
        <w:numPr>
          <w:ilvl w:val="0"/>
          <w:numId w:val="2"/>
        </w:numPr>
        <w:spacing w:after="20" w:line="250"/>
      </w:pPr>
      <w:r>
        <w:rPr>
          <w:sz w:val="18"/>
          <w:szCs w:val="18"/>
        </w:rPr>
        <w:t xml:space="preserve">This ODP governs the healthcare-anchored Clinical &amp; Mobility Center; the Mobility-Nexus thesis is held as future optionality pending a Constitution-level ruling.</w:t>
      </w:r>
    </w:p>
    <w:p>
      <w:pPr>
        <w:pStyle w:val="ListParagraph"/>
        <w:numPr>
          <w:ilvl w:val="0"/>
          <w:numId w:val="2"/>
        </w:numPr>
        <w:spacing w:after="20" w:line="250"/>
      </w:pPr>
      <w:r>
        <w:rPr>
          <w:sz w:val="18"/>
          <w:szCs w:val="18"/>
        </w:rPr>
        <w:t xml:space="preserve">Evidence is tagged FACT / ASSUMPTION / FORECAST / JUDGMENT throughout.</w:t>
      </w:r>
    </w:p>
    <w:p>
      <w:pPr>
        <w:spacing w:after="30" w:before="60"/>
      </w:pPr>
      <w:r>
        <w:rPr>
          <w:b/>
          <w:bCs/>
          <w:color w:val="548235"/>
          <w:sz w:val="18"/>
          <w:szCs w:val="18"/>
        </w:rPr>
        <w:t xml:space="preserve">Supporting Evidence</w:t>
      </w:r>
    </w:p>
    <w:p>
      <w:pPr>
        <w:pStyle w:val="ListParagraph"/>
        <w:numPr>
          <w:ilvl w:val="0"/>
          <w:numId w:val="2"/>
        </w:numPr>
        <w:spacing w:after="20" w:line="250"/>
      </w:pPr>
      <w:r>
        <w:rPr>
          <w:sz w:val="18"/>
          <w:szCs w:val="18"/>
        </w:rPr>
        <w:t xml:space="preserve">Project Constitution § Core Principles 5; Project Decision Log Decisions 001–003; README § Document Hierarchy.</w:t>
      </w:r>
    </w:p>
    <w:p>
      <w:pPr>
        <w:spacing w:after="30" w:before="60"/>
      </w:pPr>
      <w:r>
        <w:rPr>
          <w:b/>
          <w:bCs/>
          <w:color w:val="BF8F00"/>
          <w:sz w:val="18"/>
          <w:szCs w:val="18"/>
        </w:rPr>
        <w:t xml:space="preserve">Remaining Unknowns</w:t>
      </w:r>
    </w:p>
    <w:p>
      <w:pPr>
        <w:pStyle w:val="ListParagraph"/>
        <w:numPr>
          <w:ilvl w:val="0"/>
          <w:numId w:val="2"/>
        </w:numPr>
        <w:spacing w:after="20" w:line="250"/>
      </w:pPr>
      <w:r>
        <w:rPr>
          <w:sz w:val="18"/>
          <w:szCs w:val="18"/>
        </w:rPr>
        <w:t xml:space="preserve">Whether the Owner intends to ratify the healthcare thesis or pivot to the AV-fleet thesis (OQ-01).</w:t>
      </w:r>
    </w:p>
    <w:p>
      <w:pPr>
        <w:pStyle w:val="ListParagraph"/>
        <w:numPr>
          <w:ilvl w:val="0"/>
          <w:numId w:val="2"/>
        </w:numPr>
        <w:spacing w:after="20" w:line="250"/>
      </w:pPr>
      <w:r>
        <w:rPr>
          <w:sz w:val="18"/>
          <w:szCs w:val="18"/>
        </w:rPr>
        <w:t xml:space="preserve">Appraisal document branding mismatch (OQ-12).</w:t>
      </w:r>
    </w:p>
    <w:p>
      <w:pPr>
        <w:spacing w:after="30" w:before="60"/>
      </w:pPr>
      <w:r>
        <w:rPr>
          <w:b/>
          <w:bCs/>
          <w:color w:val="2E5496"/>
          <w:sz w:val="18"/>
          <w:szCs w:val="18"/>
        </w:rPr>
        <w:t xml:space="preserve">Recommended Next Actions</w:t>
      </w:r>
    </w:p>
    <w:p>
      <w:pPr>
        <w:pStyle w:val="ListParagraph"/>
        <w:numPr>
          <w:ilvl w:val="0"/>
          <w:numId w:val="2"/>
        </w:numPr>
        <w:spacing w:after="20" w:line="250"/>
      </w:pPr>
      <w:r>
        <w:rPr>
          <w:sz w:val="18"/>
          <w:szCs w:val="18"/>
        </w:rPr>
        <w:t xml:space="preserve">Owner to ratify project thesis in writing and, if pivoting, open Decision-004 with rationale.</w:t>
      </w:r>
    </w:p>
    <w:p>
      <w:pPr>
        <w:pStyle w:val="ListParagraph"/>
        <w:numPr>
          <w:ilvl w:val="0"/>
          <w:numId w:val="2"/>
        </w:numPr>
        <w:spacing w:after="20" w:line="250"/>
      </w:pPr>
      <w:r>
        <w:rPr>
          <w:sz w:val="18"/>
          <w:szCs w:val="18"/>
        </w:rPr>
        <w:t xml:space="preserve">Confirm the canonical project name across all governing files.</w:t>
      </w:r>
    </w:p>
    <w:p>
      <w:r>
        <w:br w:type="page"/>
      </w:r>
    </w:p>
    <w:p>
      <w:pPr>
        <w:pStyle w:val="Heading1"/>
      </w:pPr>
      <w:r>
        <w:t xml:space="preserve">1. Executive Summary</w:t>
      </w:r>
    </w:p>
    <w:p>
      <w:pPr>
        <w:spacing w:after="120" w:line="264"/>
      </w:pPr>
      <w:r>
        <w:rPr>
          <w:b/>
          <w:bCs/>
        </w:rPr>
        <w:t xml:space="preserve">The recommendation. </w:t>
      </w:r>
      <w:r>
        <w:t xml:space="preserve">Develop an institutional-quality, healthcare-oriented mixed-use building on the 0.88-acre corner assemblage at 901–915 South Andrews Avenue, organized as a </w:t>
      </w:r>
      <w:r>
        <w:rPr>
          <w:b/>
          <w:bCs/>
        </w:rPr>
        <w:t xml:space="preserve">structured-parking podium with ground-floor medtail and upper-level flexible clinical / medical co-working space</w:t>
      </w:r>
      <w:r>
        <w:t xml:space="preserve">, engineered from day one for future adaptive conversion. This is the highest-and-best use identified by the market study and the synthesis the feasibility benchmarks support.</w:t>
      </w:r>
    </w:p>
    <w:p>
      <w:pPr>
        <w:spacing w:after="120" w:line="264"/>
      </w:pPr>
      <w:r>
        <w:t xml:space="preserve">The thesis rests on three durable, evidence-backed demand drivers in the immediate corridor: </w:t>
      </w:r>
      <w:r>
        <w:rPr>
          <w:b/>
          <w:bCs/>
        </w:rPr>
        <w:t xml:space="preserve">(</w:t>
      </w:r>
      <w:r>
        <w:rPr>
          <w:b/>
          <w:bCs/>
        </w:rPr>
        <w:t xml:space="preserve">i</w:t>
      </w:r>
      <w:r>
        <w:rPr>
          <w:b/>
          <w:bCs/>
        </w:rPr>
        <w:t xml:space="preserve">) </w:t>
      </w:r>
      <w:r>
        <w:t xml:space="preserve">an acute, hospital-driven parking deficit; </w:t>
      </w:r>
      <w:r>
        <w:rPr>
          <w:b/>
          <w:bCs/>
        </w:rPr>
        <w:t xml:space="preserve">(ii) </w:t>
      </w:r>
      <w:r>
        <w:t xml:space="preserve">spillover demand for independent clinical and medical co-working space displaced by Broward Health’s consolidation; and </w:t>
      </w:r>
      <w:r>
        <w:rPr>
          <w:b/>
          <w:bCs/>
        </w:rPr>
        <w:t xml:space="preserve">(iii) </w:t>
      </w:r>
      <w:r>
        <w:t xml:space="preserve">an underserved medtail niche (pharmacy, urgent care, DME, wellness) feeding off hospital and high-income residential foot traffic. The site’s federal Qualified Opportunity Zone status materially strengthens after-tax returns on a long-term hold.</w:t>
      </w:r>
    </w:p>
    <w:p>
      <w:pPr>
        <w:pStyle w:val="Heading2"/>
      </w:pPr>
      <w:r>
        <w:t xml:space="preserve">1.1 Decisions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50"/>
        <w:gridCol w:w="4250"/>
        <w:gridCol w:w="2560"/>
      </w:tblGrid>
      <w:tr>
        <w:trPr>
          <w:tblHeader/>
        </w:trPr>
        <w:tc>
          <w:tcPr>
            <w:tcW w:type="dxa" w:w="255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line="240"/>
              <w:jc w:val="left"/>
            </w:pPr>
            <w:r>
              <w:rPr>
                <w:b/>
                <w:bCs/>
                <w:color w:val="FFFFFF"/>
                <w:sz w:val="18"/>
                <w:szCs w:val="18"/>
              </w:rPr>
              <w:t xml:space="preserve">Decision Area</w:t>
            </w:r>
          </w:p>
        </w:tc>
        <w:tc>
          <w:tcPr>
            <w:tcW w:type="dxa" w:w="425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line="240"/>
              <w:jc w:val="left"/>
            </w:pPr>
            <w:r>
              <w:rPr>
                <w:b/>
                <w:bCs/>
                <w:color w:val="FFFFFF"/>
                <w:sz w:val="18"/>
                <w:szCs w:val="18"/>
              </w:rPr>
              <w:t xml:space="preserve">Recommendation</w:t>
            </w:r>
          </w:p>
        </w:tc>
        <w:tc>
          <w:tcPr>
            <w:tcW w:type="dxa" w:w="25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line="240"/>
              <w:jc w:val="left"/>
            </w:pPr>
            <w:r>
              <w:rPr>
                <w:b/>
                <w:bCs/>
                <w:color w:val="FFFFFF"/>
                <w:sz w:val="18"/>
                <w:szCs w:val="18"/>
              </w:rPr>
              <w:t xml:space="preserve">Primary Evidence</w:t>
            </w:r>
          </w:p>
        </w:tc>
      </w:tr>
      <w:tr>
        <w:tc>
          <w:tcPr>
            <w:tcW w:type="dxa" w:w="25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Development concept</w:t>
            </w:r>
          </w:p>
        </w:tc>
        <w:tc>
          <w:tcPr>
            <w:tcW w:type="dxa" w:w="42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Mixed-use clinical &amp; mobility asset: parking podium + ground-floor medtail + flexible clinical / co-working above</w:t>
            </w:r>
          </w:p>
        </w:tc>
        <w:tc>
          <w:tcPr>
            <w:tcW w:type="dxa" w:w="25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Market Study — HBU; Decision-001</w:t>
            </w:r>
          </w:p>
        </w:tc>
      </w:tr>
      <w:tr>
        <w:tc>
          <w:tcPr>
            <w:tcW w:type="dxa" w:w="255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Massing</w:t>
            </w:r>
          </w:p>
        </w:tc>
        <w:tc>
          <w:tcPr>
            <w:tcW w:type="dxa" w:w="425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Liner-wrapped podium with active street edge; clinical/office floors set on a universal grid above parking</w:t>
            </w:r>
          </w:p>
        </w:tc>
        <w:tc>
          <w:tcPr>
            <w:tcW w:type="dxa" w:w="25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Benchmark Study (12|12 Aventura; Lavin Pavilion)</w:t>
            </w:r>
          </w:p>
        </w:tc>
      </w:tr>
      <w:tr>
        <w:tc>
          <w:tcPr>
            <w:tcW w:type="dxa" w:w="25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Target height</w:t>
            </w:r>
          </w:p>
        </w:tc>
        <w:tc>
          <w:tcPr>
            <w:tcW w:type="dxa" w:w="42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Design to the 110 ft / ~10-story by-right envelope; preserve a path to 150 ft via bonuses</w:t>
            </w:r>
          </w:p>
        </w:tc>
        <w:tc>
          <w:tcPr>
            <w:tcW w:type="dxa" w:w="25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Site Intelligence — ULDR (RAC-RPO)</w:t>
            </w:r>
          </w:p>
        </w:tc>
      </w:tr>
      <w:tr>
        <w:tc>
          <w:tcPr>
            <w:tcW w:type="dxa" w:w="255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Structure</w:t>
            </w:r>
          </w:p>
        </w:tc>
        <w:tc>
          <w:tcPr>
            <w:tcW w:type="dxa" w:w="425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Convertible cast-in-place podium: flat plates, ~1–2% drainage slope, external removable speed ramps, 12 ft floor-to-floor, 100 psf design live load on convertible levels</w:t>
            </w:r>
          </w:p>
        </w:tc>
        <w:tc>
          <w:tcPr>
            <w:tcW w:type="dxa" w:w="25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Decision-002; FlexPark; 9th Ave Parkade</w:t>
            </w:r>
          </w:p>
        </w:tc>
      </w:tr>
      <w:tr>
        <w:tc>
          <w:tcPr>
            <w:tcW w:type="dxa" w:w="25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Parking</w:t>
            </w:r>
          </w:p>
        </w:tc>
        <w:tc>
          <w:tcPr>
            <w:tcW w:type="dxa" w:w="42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Shared-parking model; medical demand benchmarked at 4.0–5.0 / 1,000 SF; monetize off-peak public/commuter demand</w:t>
            </w:r>
          </w:p>
        </w:tc>
        <w:tc>
          <w:tcPr>
            <w:tcW w:type="dxa" w:w="25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Market Study; Moffitt/Apogee benchmark</w:t>
            </w:r>
          </w:p>
        </w:tc>
      </w:tr>
      <w:tr>
        <w:tc>
          <w:tcPr>
            <w:tcW w:type="dxa" w:w="255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Ground floor</w:t>
            </w:r>
          </w:p>
        </w:tc>
        <w:tc>
          <w:tcPr>
            <w:tcW w:type="dxa" w:w="425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Medtail: pharmacy, urgent care, DME, wellness/medspa, F&amp;B; flood-resilient</w:t>
            </w:r>
          </w:p>
        </w:tc>
        <w:tc>
          <w:tcPr>
            <w:tcW w:type="dxa" w:w="25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Market Study — Medical Retail; FTL Resiliency</w:t>
            </w:r>
          </w:p>
        </w:tc>
      </w:tr>
      <w:tr>
        <w:tc>
          <w:tcPr>
            <w:tcW w:type="dxa" w:w="25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Upper floors</w:t>
            </w:r>
          </w:p>
        </w:tc>
        <w:tc>
          <w:tcPr>
            <w:tcW w:type="dxa" w:w="42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Turnkey medical co-working + flexible outpatient suites (decoupled, non-inpatient)</w:t>
            </w:r>
          </w:p>
        </w:tc>
        <w:tc>
          <w:tcPr>
            <w:tcW w:type="dxa" w:w="25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Market Study; Hoag (decoupled outpatient)</w:t>
            </w:r>
          </w:p>
        </w:tc>
      </w:tr>
      <w:tr>
        <w:tc>
          <w:tcPr>
            <w:tcW w:type="dxa" w:w="255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Technology</w:t>
            </w:r>
          </w:p>
        </w:tc>
        <w:tc>
          <w:tcPr>
            <w:tcW w:type="dxa" w:w="425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Power-ready, fiber-ready, structurally AV-capable; no AV/edge day-one revenue assumed</w:t>
            </w:r>
          </w:p>
        </w:tc>
        <w:tc>
          <w:tcPr>
            <w:tcW w:type="dxa" w:w="25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Decision-003</w:t>
            </w:r>
          </w:p>
        </w:tc>
      </w:tr>
      <w:tr>
        <w:tc>
          <w:tcPr>
            <w:tcW w:type="dxa" w:w="25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Flood resilience</w:t>
            </w:r>
          </w:p>
        </w:tc>
        <w:tc>
          <w:tcPr>
            <w:tcW w:type="dxa" w:w="42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Elevate critical MEP above BFE; on-site retention/exfiltration per City resilient stormwater plan</w:t>
            </w:r>
          </w:p>
        </w:tc>
        <w:tc>
          <w:tcPr>
            <w:tcW w:type="dxa" w:w="25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Site Intelligence — FEMA AE; FACT</w:t>
            </w:r>
          </w:p>
        </w:tc>
      </w:tr>
      <w:tr>
        <w:tc>
          <w:tcPr>
            <w:tcW w:type="dxa" w:w="255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Capital strategy</w:t>
            </w:r>
          </w:p>
        </w:tc>
        <w:tc>
          <w:tcPr>
            <w:tcW w:type="dxa" w:w="425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QOZ-anchored long-term hold; pursue P3/MPO and TIF avenues for mobility components</w:t>
            </w:r>
          </w:p>
        </w:tc>
        <w:tc>
          <w:tcPr>
            <w:tcW w:type="dxa" w:w="25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Site Intelligence; Feasibility — Financing</w:t>
            </w:r>
          </w:p>
        </w:tc>
      </w:tr>
    </w:tbl>
    <w:p>
      <w:pPr>
        <w:spacing w:after="80"/>
      </w:pPr>
    </w:p>
    <w:p>
      <w:pPr>
        <w:pStyle w:val="Heading2"/>
      </w:pPr>
      <w:r>
        <w:t xml:space="preserve">1.2 The Five Things That Govern Everything Else</w:t>
      </w:r>
    </w:p>
    <w:p>
      <w:pPr>
        <w:pStyle w:val="ListParagraph"/>
        <w:numPr>
          <w:ilvl w:val="0"/>
          <w:numId w:val="3"/>
        </w:numPr>
        <w:spacing w:after="50" w:line="260"/>
      </w:pPr>
      <w:r>
        <w:rPr>
          <w:b/>
          <w:bCs/>
        </w:rPr>
        <w:t xml:space="preserve">Parking is enabling infrastructure, built first. </w:t>
      </w:r>
      <w:r>
        <w:t xml:space="preserve">It funds early cash flow, satisfies the clinical parking ratio above, and de-risks vertical phases.</w:t>
      </w:r>
    </w:p>
    <w:p>
      <w:pPr>
        <w:pStyle w:val="ListParagraph"/>
        <w:numPr>
          <w:ilvl w:val="0"/>
          <w:numId w:val="3"/>
        </w:numPr>
        <w:spacing w:after="50" w:line="260"/>
      </w:pPr>
      <w:r>
        <w:rPr>
          <w:b/>
          <w:bCs/>
        </w:rPr>
        <w:t xml:space="preserve">Convertibility is the core design discipline. </w:t>
      </w:r>
      <w:r>
        <w:t xml:space="preserve">Flat plates + removable ramps + generous floor-to-floor heights make the asset re-tenantable for decades as mobility demand shifts.</w:t>
      </w:r>
    </w:p>
    <w:p>
      <w:pPr>
        <w:pStyle w:val="ListParagraph"/>
        <w:numPr>
          <w:ilvl w:val="0"/>
          <w:numId w:val="3"/>
        </w:numPr>
        <w:spacing w:after="50" w:line="260"/>
      </w:pPr>
      <w:r>
        <w:rPr>
          <w:b/>
          <w:bCs/>
        </w:rPr>
        <w:t xml:space="preserve">Flood resilience is non-negotiable and entitlement-critical. </w:t>
      </w:r>
      <w:r>
        <w:t xml:space="preserve">The entire site sits in FEMA Zone AE; stormwater and MEP elevation strategy gate City approval.</w:t>
      </w:r>
    </w:p>
    <w:p>
      <w:pPr>
        <w:pStyle w:val="ListParagraph"/>
        <w:numPr>
          <w:ilvl w:val="0"/>
          <w:numId w:val="3"/>
        </w:numPr>
        <w:spacing w:after="50" w:line="260"/>
      </w:pPr>
      <w:r>
        <w:rPr>
          <w:b/>
          <w:bCs/>
        </w:rPr>
        <w:t xml:space="preserve">Differentiate from the hospital’s own MOB. </w:t>
      </w:r>
      <w:r>
        <w:t xml:space="preserve">Compete on flexibility (co-working, surplus parking), not on shell space the new 188,000 SF Broward Health MOB will deliver better.</w:t>
      </w:r>
    </w:p>
    <w:p>
      <w:pPr>
        <w:pStyle w:val="ListParagraph"/>
        <w:numPr>
          <w:ilvl w:val="0"/>
          <w:numId w:val="3"/>
        </w:numPr>
        <w:spacing w:after="50" w:line="260"/>
      </w:pPr>
      <w:r>
        <w:rPr>
          <w:b/>
          <w:bCs/>
        </w:rPr>
        <w:t xml:space="preserve">Preserve optionality without paying for speculation. </w:t>
      </w:r>
      <w:r>
        <w:t xml:space="preserve">Pre-install conduit and capacity; defer chargers, AV systems, and edge build-out until demand is demonstrated.</w:t>
      </w:r>
    </w:p>
    <w:p>
      <w:pPr>
        <w:spacing w:after="60"/>
      </w:pPr>
    </w:p>
    <w:p>
      <w:pPr>
        <w:pBdr>
          <w:top w:val="single" w:color="2E5496" w:sz="6" w:space="4"/>
        </w:pBdr>
        <w:spacing w:after="80" w:before="80"/>
      </w:pPr>
      <w:r>
        <w:rPr>
          <w:b/>
          <w:bCs/>
          <w:color w:val="2E5496"/>
          <w:sz w:val="20"/>
          <w:szCs w:val="20"/>
        </w:rPr>
        <w:t xml:space="preserve">Chapter Close-Out</w:t>
      </w:r>
    </w:p>
    <w:p>
      <w:pPr>
        <w:spacing w:after="30" w:before="60"/>
      </w:pPr>
      <w:r>
        <w:rPr>
          <w:b/>
          <w:bCs/>
          <w:color w:val="1F3864"/>
          <w:sz w:val="18"/>
          <w:szCs w:val="18"/>
        </w:rPr>
        <w:t xml:space="preserve">Key Decisions</w:t>
      </w:r>
    </w:p>
    <w:p>
      <w:pPr>
        <w:pStyle w:val="ListParagraph"/>
        <w:numPr>
          <w:ilvl w:val="0"/>
          <w:numId w:val="2"/>
        </w:numPr>
        <w:spacing w:after="20" w:line="250"/>
      </w:pPr>
      <w:r>
        <w:rPr>
          <w:sz w:val="18"/>
          <w:szCs w:val="18"/>
        </w:rPr>
        <w:t xml:space="preserve">Adopt the mixed-use clinical &amp; mobility concept as the governing development program (ratifies Decision-001).</w:t>
      </w:r>
    </w:p>
    <w:p>
      <w:pPr>
        <w:pStyle w:val="ListParagraph"/>
        <w:numPr>
          <w:ilvl w:val="0"/>
          <w:numId w:val="2"/>
        </w:numPr>
        <w:spacing w:after="20" w:line="250"/>
      </w:pPr>
      <w:r>
        <w:rPr>
          <w:sz w:val="18"/>
          <w:szCs w:val="18"/>
        </w:rPr>
        <w:t xml:space="preserve">Build parking and medtail first; stack flexible clinical/co-working above on a universal grid.</w:t>
      </w:r>
    </w:p>
    <w:p>
      <w:pPr>
        <w:spacing w:after="30" w:before="60"/>
      </w:pPr>
      <w:r>
        <w:rPr>
          <w:b/>
          <w:bCs/>
          <w:color w:val="548235"/>
          <w:sz w:val="18"/>
          <w:szCs w:val="18"/>
        </w:rPr>
        <w:t xml:space="preserve">Supporting Evidence</w:t>
      </w:r>
    </w:p>
    <w:p>
      <w:pPr>
        <w:pStyle w:val="ListParagraph"/>
        <w:numPr>
          <w:ilvl w:val="0"/>
          <w:numId w:val="2"/>
        </w:numPr>
        <w:spacing w:after="20" w:line="250"/>
      </w:pPr>
      <w:r>
        <w:rPr>
          <w:sz w:val="18"/>
          <w:szCs w:val="18"/>
        </w:rPr>
        <w:t xml:space="preserve">Market Study final recommendation (Mixed-Use Clinical &amp; Mobility Asset, “Highest” rating); Feasibility Study phasing and benchmarks; Decision Log 001–003.</w:t>
      </w:r>
    </w:p>
    <w:p>
      <w:pPr>
        <w:spacing w:after="30" w:before="60"/>
      </w:pPr>
      <w:r>
        <w:rPr>
          <w:b/>
          <w:bCs/>
          <w:color w:val="BF8F00"/>
          <w:sz w:val="18"/>
          <w:szCs w:val="18"/>
        </w:rPr>
        <w:t xml:space="preserve">Remaining Unknowns</w:t>
      </w:r>
    </w:p>
    <w:p>
      <w:pPr>
        <w:pStyle w:val="ListParagraph"/>
        <w:numPr>
          <w:ilvl w:val="0"/>
          <w:numId w:val="2"/>
        </w:numPr>
        <w:spacing w:after="20" w:line="250"/>
      </w:pPr>
      <w:r>
        <w:rPr>
          <w:sz w:val="18"/>
          <w:szCs w:val="18"/>
        </w:rPr>
        <w:t xml:space="preserve">Exact achievable parking count and unit economics (pending test-fit and traffic study).</w:t>
      </w:r>
    </w:p>
    <w:p>
      <w:pPr>
        <w:pStyle w:val="ListParagraph"/>
        <w:numPr>
          <w:ilvl w:val="0"/>
          <w:numId w:val="2"/>
        </w:numPr>
        <w:spacing w:after="20" w:line="250"/>
      </w:pPr>
      <w:r>
        <w:rPr>
          <w:sz w:val="18"/>
          <w:szCs w:val="18"/>
        </w:rPr>
        <w:t xml:space="preserve">Whether height beyond 110 ft is warranted by the pro forma.</w:t>
      </w:r>
    </w:p>
    <w:p>
      <w:pPr>
        <w:spacing w:after="30" w:before="60"/>
      </w:pPr>
      <w:r>
        <w:rPr>
          <w:b/>
          <w:bCs/>
          <w:color w:val="2E5496"/>
          <w:sz w:val="18"/>
          <w:szCs w:val="18"/>
        </w:rPr>
        <w:t xml:space="preserve">Recommended Next Actions</w:t>
      </w:r>
    </w:p>
    <w:p>
      <w:pPr>
        <w:pStyle w:val="ListParagraph"/>
        <w:numPr>
          <w:ilvl w:val="0"/>
          <w:numId w:val="2"/>
        </w:numPr>
        <w:spacing w:after="20" w:line="250"/>
      </w:pPr>
      <w:r>
        <w:rPr>
          <w:sz w:val="18"/>
          <w:szCs w:val="18"/>
        </w:rPr>
        <w:t xml:space="preserve">Commission a parking/traffic test-fit and an institutional financial model to size the program.</w:t>
      </w:r>
    </w:p>
    <w:p>
      <w:pPr>
        <w:pStyle w:val="ListParagraph"/>
        <w:numPr>
          <w:ilvl w:val="0"/>
          <w:numId w:val="2"/>
        </w:numPr>
        <w:spacing w:after="20" w:line="250"/>
      </w:pPr>
      <w:r>
        <w:rPr>
          <w:sz w:val="18"/>
          <w:szCs w:val="18"/>
        </w:rPr>
        <w:t xml:space="preserve">Initiate City pre-application and utility capacity verification.</w:t>
      </w:r>
    </w:p>
    <w:p>
      <w:r>
        <w:br w:type="page"/>
      </w:r>
    </w:p>
    <w:p>
      <w:pPr>
        <w:pStyle w:val="Heading1"/>
      </w:pPr>
      <w:r>
        <w:t xml:space="preserve">2. Project Philosophy &amp; Alignment with Governing Documents</w:t>
      </w:r>
    </w:p>
    <w:p>
      <w:pPr>
        <w:spacing w:after="120" w:line="264"/>
      </w:pPr>
      <w:r>
        <w:rPr>
          <w:b/>
          <w:bCs/>
        </w:rPr>
        <w:t xml:space="preserve">Confirmed philosophy. </w:t>
      </w:r>
      <w:r>
        <w:t xml:space="preserve">The project remains a </w:t>
      </w:r>
      <w:r>
        <w:rPr>
          <w:b/>
          <w:bCs/>
        </w:rPr>
        <w:t xml:space="preserve">healthcare-oriented mixed-use development anchored by structured parking</w:t>
      </w:r>
      <w:r>
        <w:t xml:space="preserve">, with supporting uses spanning ground-floor medtail, flexible outpatient space, medical co-working, shared parking, EV infrastructure, mobility infrastructure, and future-technology readiness. The completed research does not justify modifying this philosophy; it reinforces it.</w:t>
      </w:r>
    </w:p>
    <w:p>
      <w:pPr>
        <w:pStyle w:val="Heading2"/>
      </w:pPr>
      <w:r>
        <w:t xml:space="preserve">2.1 Why the Philosophy Holds</w:t>
      </w:r>
    </w:p>
    <w:p>
      <w:pPr>
        <w:pStyle w:val="ListParagraph"/>
        <w:numPr>
          <w:ilvl w:val="0"/>
          <w:numId w:val="2"/>
        </w:numPr>
        <w:spacing w:after="50" w:line="260"/>
      </w:pPr>
      <w:r>
        <w:rPr>
          <w:b/>
          <w:bCs/>
        </w:rPr>
        <w:t xml:space="preserve">Demand is inelastic and local. </w:t>
      </w:r>
      <w:r>
        <w:t xml:space="preserve">Healthcare demand near Broward Health is structural, not cyclical, and is amplified by hospital consolidation displacing independent practices.</w:t>
      </w:r>
    </w:p>
    <w:p>
      <w:pPr>
        <w:pStyle w:val="ListParagraph"/>
        <w:numPr>
          <w:ilvl w:val="0"/>
          <w:numId w:val="2"/>
        </w:numPr>
        <w:spacing w:after="50" w:line="260"/>
      </w:pPr>
      <w:r>
        <w:rPr>
          <w:b/>
          <w:bCs/>
        </w:rPr>
        <w:t xml:space="preserve">Parking is a real, monetizable deficit today. </w:t>
      </w:r>
      <w:r>
        <w:t xml:space="preserve">Hospital, commuter-rail, and district demand exceed nearby supply — a cash-flowing use that does not depend on speculative technology.</w:t>
      </w:r>
    </w:p>
    <w:p>
      <w:pPr>
        <w:pStyle w:val="ListParagraph"/>
        <w:numPr>
          <w:ilvl w:val="0"/>
          <w:numId w:val="2"/>
        </w:numPr>
        <w:spacing w:after="50" w:line="260"/>
      </w:pPr>
      <w:r>
        <w:rPr>
          <w:b/>
          <w:bCs/>
        </w:rPr>
        <w:t xml:space="preserve">Flexibility is the hedge. </w:t>
      </w:r>
      <w:r>
        <w:t xml:space="preserve">A convertible structure lets the same asset serve parking now and clinical/residential/lab use later, directly serving the Constitution’s “Flexibility Creates Value” principle.</w:t>
      </w:r>
    </w:p>
    <w:p>
      <w:pPr>
        <w:spacing w:after="80"/>
      </w:pPr>
    </w:p>
    <w:p>
      <w:pPr>
        <w:pStyle w:val="Heading2"/>
      </w:pPr>
      <w:r>
        <w:t xml:space="preserve">2.2 Preserving Optionality While Remaining Financeable Today</w:t>
      </w:r>
    </w:p>
    <w:p>
      <w:pPr>
        <w:spacing w:after="120" w:line="264"/>
      </w:pPr>
      <w:r>
        <w:t xml:space="preserve">The Constitution’s Principle 5 is the operative instruction: </w:t>
      </w:r>
      <w:r>
        <w:rPr>
          <w:i/>
          <w:iCs/>
        </w:rPr>
        <w:t xml:space="preserve">design for future capabilities, build for today’s proven demand.</w:t>
      </w:r>
      <w:r>
        <w:t xml:space="preserve"> In practice: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line="240"/>
              <w:jc w:val="left"/>
            </w:pPr>
            <w:r>
              <w:rPr>
                <w:b/>
                <w:bCs/>
                <w:color w:val="FFFFFF"/>
                <w:sz w:val="18"/>
                <w:szCs w:val="18"/>
              </w:rPr>
              <w:t xml:space="preserve">Build today (financeable now)</w:t>
            </w:r>
          </w:p>
        </w:tc>
        <w:tc>
          <w:tcPr>
            <w:tcW w:type="dxa" w:w="63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line="240"/>
              <w:jc w:val="left"/>
            </w:pPr>
            <w:r>
              <w:rPr>
                <w:b/>
                <w:bCs/>
                <w:color w:val="FFFFFF"/>
                <w:sz w:val="18"/>
                <w:szCs w:val="18"/>
              </w:rPr>
              <w:t xml:space="preserve">Preserve for tomorrow (optionality, low cost now)</w:t>
            </w:r>
          </w:p>
        </w:tc>
      </w:tr>
      <w:tr>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Structured parking sized to real hospital/commuter demand</w:t>
            </w:r>
          </w:p>
        </w:tc>
        <w:tc>
          <w:tcPr>
            <w:tcW w:type="dxa" w:w="63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Flat plates + removable ramps enabling conversion to clinical/office/residential</w:t>
            </w:r>
          </w:p>
        </w:tc>
      </w:tr>
      <w:tr>
        <w:tc>
          <w:tcPr>
            <w:tcW w:type="dxa" w:w="30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Ground-floor medtail on NNN leases</w:t>
            </w:r>
          </w:p>
        </w:tc>
        <w:tc>
          <w:tcPr>
            <w:tcW w:type="dxa" w:w="63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Conduit to 100% of stalls; only 10–20% chargers energized initially</w:t>
            </w:r>
          </w:p>
        </w:tc>
      </w:tr>
      <w:tr>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Turnkey medical co-working on flexible terms</w:t>
            </w:r>
          </w:p>
        </w:tc>
        <w:tc>
          <w:tcPr>
            <w:tcW w:type="dxa" w:w="63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Switchgear room and riser capacity sized for future EV/AV/edge loads</w:t>
            </w:r>
          </w:p>
        </w:tc>
      </w:tr>
      <w:tr>
        <w:tc>
          <w:tcPr>
            <w:tcW w:type="dxa" w:w="30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Resilient, code-compliant MEP above BFE</w:t>
            </w:r>
          </w:p>
        </w:tc>
        <w:tc>
          <w:tcPr>
            <w:tcW w:type="dxa" w:w="63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Structural and power readiness for AV staging / fleet servicing if demand emerges</w:t>
            </w:r>
          </w:p>
        </w:tc>
      </w:tr>
    </w:tbl>
    <w:p>
      <w:pPr>
        <w:spacing w:after="80"/>
      </w:pPr>
    </w:p>
    <w:p>
      <w:pPr>
        <w:pStyle w:val="Heading2"/>
      </w:pPr>
      <w:r>
        <w:t xml:space="preserve">2.3 Consistency Audit Against the Constitution’s Decision Framework</w:t>
      </w:r>
    </w:p>
    <w:p>
      <w:pPr>
        <w:spacing w:after="120" w:line="264"/>
      </w:pPr>
      <w:r>
        <w:t xml:space="preserve">Each governing recommendation was tested against the Constitution’s eight decision questions. Summary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1320"/>
        <w:gridCol w:w="2640"/>
      </w:tblGrid>
      <w:tr>
        <w:trPr>
          <w:tblHeader/>
        </w:trPr>
        <w:tc>
          <w:tcPr>
            <w:tcW w:type="dxa" w:w="54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line="240"/>
              <w:jc w:val="left"/>
            </w:pPr>
            <w:r>
              <w:rPr>
                <w:b/>
                <w:bCs/>
                <w:color w:val="FFFFFF"/>
                <w:sz w:val="18"/>
                <w:szCs w:val="18"/>
              </w:rPr>
              <w:t xml:space="preserve">Constitution decision question</w:t>
            </w:r>
          </w:p>
        </w:tc>
        <w:tc>
          <w:tcPr>
            <w:tcW w:type="dxa" w:w="132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line="240"/>
              <w:jc w:val="left"/>
            </w:pPr>
            <w:r>
              <w:rPr>
                <w:b/>
                <w:bCs/>
                <w:color w:val="FFFFFF"/>
                <w:sz w:val="18"/>
                <w:szCs w:val="18"/>
              </w:rPr>
              <w:t xml:space="preserve">Result</w:t>
            </w:r>
          </w:p>
        </w:tc>
        <w:tc>
          <w:tcPr>
            <w:tcW w:type="dxa" w:w="264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line="240"/>
              <w:jc w:val="left"/>
            </w:pPr>
            <w:r>
              <w:rPr>
                <w:b/>
                <w:bCs/>
                <w:color w:val="FFFFFF"/>
                <w:sz w:val="18"/>
                <w:szCs w:val="18"/>
              </w:rPr>
              <w:t xml:space="preserve">Basis</w:t>
            </w:r>
          </w:p>
        </w:tc>
      </w:tr>
      <w:tr>
        <w:tc>
          <w:tcPr>
            <w:tcW w:type="dxa" w:w="5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Improves long-term asset value?</w:t>
            </w:r>
          </w:p>
        </w:tc>
        <w:tc>
          <w:tcPr>
            <w:tcW w:type="dxa" w:w="132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bCs/>
                <w:color w:val="548235"/>
                <w:sz w:val="18"/>
                <w:szCs w:val="18"/>
              </w:rPr>
              <w:t xml:space="preserve">Yes</w:t>
            </w:r>
          </w:p>
        </w:tc>
        <w:tc>
          <w:tcPr>
            <w:tcW w:type="dxa" w:w="264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Convertibility + QOZ hold</w:t>
            </w:r>
          </w:p>
        </w:tc>
      </w:tr>
      <w:tr>
        <w:tc>
          <w:tcPr>
            <w:tcW w:type="dxa" w:w="54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Improves patient / tenant experience?</w:t>
            </w:r>
          </w:p>
        </w:tc>
        <w:tc>
          <w:tcPr>
            <w:tcW w:type="dxa" w:w="132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bCs/>
                <w:color w:val="548235"/>
                <w:sz w:val="18"/>
                <w:szCs w:val="18"/>
              </w:rPr>
              <w:t xml:space="preserve">Yes</w:t>
            </w:r>
          </w:p>
        </w:tc>
        <w:tc>
          <w:tcPr>
            <w:tcW w:type="dxa" w:w="264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Parking surplus, medtail access</w:t>
            </w:r>
          </w:p>
        </w:tc>
      </w:tr>
      <w:tr>
        <w:tc>
          <w:tcPr>
            <w:tcW w:type="dxa" w:w="5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Increases flexibility?</w:t>
            </w:r>
          </w:p>
        </w:tc>
        <w:tc>
          <w:tcPr>
            <w:tcW w:type="dxa" w:w="132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bCs/>
                <w:color w:val="548235"/>
                <w:sz w:val="18"/>
                <w:szCs w:val="18"/>
              </w:rPr>
              <w:t xml:space="preserve">Yes</w:t>
            </w:r>
          </w:p>
        </w:tc>
        <w:tc>
          <w:tcPr>
            <w:tcW w:type="dxa" w:w="264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FlexPark structure, co-working</w:t>
            </w:r>
          </w:p>
        </w:tc>
      </w:tr>
      <w:tr>
        <w:tc>
          <w:tcPr>
            <w:tcW w:type="dxa" w:w="54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Improves operational efficiency?</w:t>
            </w:r>
          </w:p>
        </w:tc>
        <w:tc>
          <w:tcPr>
            <w:tcW w:type="dxa" w:w="132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bCs/>
                <w:color w:val="548235"/>
                <w:sz w:val="18"/>
                <w:szCs w:val="18"/>
              </w:rPr>
              <w:t xml:space="preserve">Yes</w:t>
            </w:r>
          </w:p>
        </w:tc>
        <w:tc>
          <w:tcPr>
            <w:tcW w:type="dxa" w:w="264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Shared parking, gateless LPR</w:t>
            </w:r>
          </w:p>
        </w:tc>
      </w:tr>
      <w:tr>
        <w:tc>
          <w:tcPr>
            <w:tcW w:type="dxa" w:w="5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Improves institutional financeability?</w:t>
            </w:r>
          </w:p>
        </w:tc>
        <w:tc>
          <w:tcPr>
            <w:tcW w:type="dxa" w:w="132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bCs/>
                <w:color w:val="548235"/>
                <w:sz w:val="18"/>
                <w:szCs w:val="18"/>
              </w:rPr>
              <w:t xml:space="preserve">Yes</w:t>
            </w:r>
          </w:p>
        </w:tc>
        <w:tc>
          <w:tcPr>
            <w:tcW w:type="dxa" w:w="264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Stable parking + NNN + QOZ</w:t>
            </w:r>
          </w:p>
        </w:tc>
      </w:tr>
      <w:tr>
        <w:tc>
          <w:tcPr>
            <w:tcW w:type="dxa" w:w="54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Strengthens the healthcare district?</w:t>
            </w:r>
          </w:p>
        </w:tc>
        <w:tc>
          <w:tcPr>
            <w:tcW w:type="dxa" w:w="132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bCs/>
                <w:color w:val="548235"/>
                <w:sz w:val="18"/>
                <w:szCs w:val="18"/>
              </w:rPr>
              <w:t xml:space="preserve">Yes</w:t>
            </w:r>
          </w:p>
        </w:tc>
        <w:tc>
          <w:tcPr>
            <w:tcW w:type="dxa" w:w="264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Absorbs hospital spillover</w:t>
            </w:r>
          </w:p>
        </w:tc>
      </w:tr>
      <w:tr>
        <w:tc>
          <w:tcPr>
            <w:tcW w:type="dxa" w:w="5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Preserves future development options?</w:t>
            </w:r>
          </w:p>
        </w:tc>
        <w:tc>
          <w:tcPr>
            <w:tcW w:type="dxa" w:w="132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bCs/>
                <w:color w:val="548235"/>
                <w:sz w:val="18"/>
                <w:szCs w:val="18"/>
              </w:rPr>
              <w:t xml:space="preserve">Yes</w:t>
            </w:r>
          </w:p>
        </w:tc>
        <w:tc>
          <w:tcPr>
            <w:tcW w:type="dxa" w:w="264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Phase 3 optionality layer</w:t>
            </w:r>
          </w:p>
        </w:tc>
      </w:tr>
      <w:tr>
        <w:tc>
          <w:tcPr>
            <w:tcW w:type="dxa" w:w="54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Supported by evidence?</w:t>
            </w:r>
          </w:p>
        </w:tc>
        <w:tc>
          <w:tcPr>
            <w:tcW w:type="dxa" w:w="132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bCs/>
                <w:color w:val="548235"/>
                <w:sz w:val="18"/>
                <w:szCs w:val="18"/>
              </w:rPr>
              <w:t xml:space="preserve">Yes</w:t>
            </w:r>
          </w:p>
        </w:tc>
        <w:tc>
          <w:tcPr>
            <w:tcW w:type="dxa" w:w="264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Two research reports + benchmarks</w:t>
            </w:r>
          </w:p>
        </w:tc>
      </w:tr>
    </w:tbl>
    <w:p>
      <w:pPr>
        <w:spacing w:after="60"/>
      </w:pPr>
    </w:p>
    <w:p>
      <w:pPr>
        <w:pBdr>
          <w:top w:val="single" w:color="2E5496" w:sz="6" w:space="4"/>
        </w:pBdr>
        <w:spacing w:after="80" w:before="80"/>
      </w:pPr>
      <w:r>
        <w:rPr>
          <w:b/>
          <w:bCs/>
          <w:color w:val="2E5496"/>
          <w:sz w:val="20"/>
          <w:szCs w:val="20"/>
        </w:rPr>
        <w:t xml:space="preserve">Chapter Close-Out</w:t>
      </w:r>
    </w:p>
    <w:p>
      <w:pPr>
        <w:spacing w:after="30" w:before="60"/>
      </w:pPr>
      <w:r>
        <w:rPr>
          <w:b/>
          <w:bCs/>
          <w:color w:val="1F3864"/>
          <w:sz w:val="18"/>
          <w:szCs w:val="18"/>
        </w:rPr>
        <w:t xml:space="preserve">Key Decisions</w:t>
      </w:r>
    </w:p>
    <w:p>
      <w:pPr>
        <w:pStyle w:val="ListParagraph"/>
        <w:numPr>
          <w:ilvl w:val="0"/>
          <w:numId w:val="2"/>
        </w:numPr>
        <w:spacing w:after="20" w:line="250"/>
      </w:pPr>
      <w:r>
        <w:rPr>
          <w:sz w:val="18"/>
          <w:szCs w:val="18"/>
        </w:rPr>
        <w:t xml:space="preserve">Retain the healthcare-anchored, parking-enabled philosophy without modification.</w:t>
      </w:r>
    </w:p>
    <w:p>
      <w:pPr>
        <w:pStyle w:val="ListParagraph"/>
        <w:numPr>
          <w:ilvl w:val="0"/>
          <w:numId w:val="2"/>
        </w:numPr>
        <w:spacing w:after="20" w:line="250"/>
      </w:pPr>
      <w:r>
        <w:rPr>
          <w:sz w:val="18"/>
          <w:szCs w:val="18"/>
        </w:rPr>
        <w:t xml:space="preserve">Operationalize Constitution Principle 5 via the “build today / preserve tomorrow” split above.</w:t>
      </w:r>
    </w:p>
    <w:p>
      <w:pPr>
        <w:spacing w:after="30" w:before="60"/>
      </w:pPr>
      <w:r>
        <w:rPr>
          <w:b/>
          <w:bCs/>
          <w:color w:val="548235"/>
          <w:sz w:val="18"/>
          <w:szCs w:val="18"/>
        </w:rPr>
        <w:t xml:space="preserve">Supporting Evidence</w:t>
      </w:r>
    </w:p>
    <w:p>
      <w:pPr>
        <w:pStyle w:val="ListParagraph"/>
        <w:numPr>
          <w:ilvl w:val="0"/>
          <w:numId w:val="2"/>
        </w:numPr>
        <w:spacing w:after="20" w:line="250"/>
      </w:pPr>
      <w:r>
        <w:rPr>
          <w:sz w:val="18"/>
          <w:szCs w:val="18"/>
        </w:rPr>
        <w:t xml:space="preserve">Project Constitution §§ Mission, Core Principles 1–12, Decision Framework; Market Study HBU; Decision-001/002/003.</w:t>
      </w:r>
    </w:p>
    <w:p>
      <w:pPr>
        <w:spacing w:after="30" w:before="60"/>
      </w:pPr>
      <w:r>
        <w:rPr>
          <w:b/>
          <w:bCs/>
          <w:color w:val="BF8F00"/>
          <w:sz w:val="18"/>
          <w:szCs w:val="18"/>
        </w:rPr>
        <w:t xml:space="preserve">Remaining Unknowns</w:t>
      </w:r>
    </w:p>
    <w:p>
      <w:pPr>
        <w:pStyle w:val="ListParagraph"/>
        <w:numPr>
          <w:ilvl w:val="0"/>
          <w:numId w:val="2"/>
        </w:numPr>
        <w:spacing w:after="20" w:line="250"/>
      </w:pPr>
      <w:r>
        <w:rPr>
          <w:sz w:val="18"/>
          <w:szCs w:val="18"/>
        </w:rPr>
        <w:t xml:space="preserve">The point at which preserved optionality should convert to funded build-out (demand triggers, see Ch. 9).</w:t>
      </w:r>
    </w:p>
    <w:p>
      <w:pPr>
        <w:spacing w:after="30" w:before="60"/>
      </w:pPr>
      <w:r>
        <w:rPr>
          <w:b/>
          <w:bCs/>
          <w:color w:val="2E5496"/>
          <w:sz w:val="18"/>
          <w:szCs w:val="18"/>
        </w:rPr>
        <w:t xml:space="preserve">Recommended Next Actions</w:t>
      </w:r>
    </w:p>
    <w:p>
      <w:pPr>
        <w:pStyle w:val="ListParagraph"/>
        <w:numPr>
          <w:ilvl w:val="0"/>
          <w:numId w:val="2"/>
        </w:numPr>
        <w:spacing w:after="20" w:line="250"/>
      </w:pPr>
      <w:r>
        <w:rPr>
          <w:sz w:val="18"/>
          <w:szCs w:val="18"/>
        </w:rPr>
        <w:t xml:space="preserve">Adopt the optionality split as a design directive issued to all consultants at kickoff.</w:t>
      </w:r>
    </w:p>
    <w:p>
      <w:r>
        <w:br w:type="page"/>
      </w:r>
    </w:p>
    <w:p>
      <w:pPr>
        <w:pStyle w:val="Heading1"/>
      </w:pPr>
      <w:r>
        <w:t xml:space="preserve">3. Site &amp; Regulatory Basis of Design</w:t>
      </w:r>
    </w:p>
    <w:p>
      <w:pPr>
        <w:spacing w:after="120" w:line="264"/>
      </w:pPr>
      <w:r>
        <w:t xml:space="preserve">This chapter consolidates the verified and assumed site facts that constrain every downstream decision. Parcel geometry is governed by the Boundary Survey; zoning by the ULDR as reported in the Site Intelligence Report and to be confirmed with the City; infrastructure by official utility records to be obtained.</w:t>
      </w:r>
    </w:p>
    <w:p>
      <w:pPr>
        <w:pStyle w:val="Heading2"/>
      </w:pPr>
      <w:r>
        <w:t xml:space="preserve">3.1 Site Facts of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360"/>
        <w:gridCol w:w="1800"/>
      </w:tblGrid>
      <w:tr>
        <w:trPr>
          <w:tblHeader/>
        </w:trPr>
        <w:tc>
          <w:tcPr>
            <w:tcW w:type="dxa" w:w="32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line="240"/>
              <w:jc w:val="left"/>
            </w:pPr>
            <w:r>
              <w:rPr>
                <w:b/>
                <w:bCs/>
                <w:color w:val="FFFFFF"/>
                <w:sz w:val="18"/>
                <w:szCs w:val="18"/>
              </w:rPr>
              <w:t xml:space="preserve">Attribute</w:t>
            </w:r>
          </w:p>
        </w:tc>
        <w:tc>
          <w:tcPr>
            <w:tcW w:type="dxa" w:w="43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line="240"/>
              <w:jc w:val="left"/>
            </w:pPr>
            <w:r>
              <w:rPr>
                <w:b/>
                <w:bCs/>
                <w:color w:val="FFFFFF"/>
                <w:sz w:val="18"/>
                <w:szCs w:val="18"/>
              </w:rPr>
              <w:t xml:space="preserve">Value / Status</w:t>
            </w:r>
          </w:p>
        </w:tc>
        <w:tc>
          <w:tcPr>
            <w:tcW w:type="dxa" w:w="18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line="240"/>
              <w:jc w:val="left"/>
            </w:pPr>
            <w:r>
              <w:rPr>
                <w:b/>
                <w:bCs/>
                <w:color w:val="FFFFFF"/>
                <w:sz w:val="18"/>
                <w:szCs w:val="18"/>
              </w:rPr>
              <w:t xml:space="preserve">Source &amp; Tag</w:t>
            </w:r>
          </w:p>
        </w:tc>
      </w:tr>
      <w:tr>
        <w:tc>
          <w:tcPr>
            <w:tcW w:type="dxa" w:w="3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Address</w:t>
            </w:r>
          </w:p>
        </w:tc>
        <w:tc>
          <w:tcPr>
            <w:tcW w:type="dxa" w:w="43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901–915 S. Andrews Ave, Fort Lauderdale, FL 33316</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sz w:val="18"/>
                <w:szCs w:val="18"/>
              </w:rPr>
              <w:t xml:space="preserve">README / Survey </w:t>
            </w:r>
            <w:r>
              <w:rPr>
                <w:b/>
                <w:bCs/>
                <w:color w:val="548235"/>
                <w:sz w:val="16"/>
                <w:szCs w:val="16"/>
              </w:rPr>
              <w:t xml:space="preserve">FACT</w:t>
            </w:r>
          </w:p>
        </w:tc>
      </w:tr>
      <w:tr>
        <w:tc>
          <w:tcPr>
            <w:tcW w:type="dxa" w:w="32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Assemblage size</w:t>
            </w:r>
          </w:p>
        </w:tc>
        <w:tc>
          <w:tcPr>
            <w:tcW w:type="dxa" w:w="43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 0.88 acre (± 38,207 SF footprint), 100% usable</w:t>
            </w:r>
          </w:p>
        </w:tc>
        <w:tc>
          <w:tcPr>
            <w:tcW w:type="dxa" w:w="18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sz w:val="18"/>
                <w:szCs w:val="18"/>
              </w:rPr>
              <w:t xml:space="preserve">Site Intel </w:t>
            </w:r>
            <w:r>
              <w:rPr>
                <w:b/>
                <w:bCs/>
                <w:color w:val="548235"/>
                <w:sz w:val="16"/>
                <w:szCs w:val="16"/>
              </w:rPr>
              <w:t xml:space="preserve">FACT</w:t>
            </w:r>
          </w:p>
        </w:tc>
      </w:tr>
      <w:tr>
        <w:tc>
          <w:tcPr>
            <w:tcW w:type="dxa" w:w="3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Shape / corner</w:t>
            </w:r>
          </w:p>
        </w:tc>
        <w:tc>
          <w:tcPr>
            <w:tcW w:type="dxa" w:w="43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Irregular corner parcel; primary frontage S. Andrews Ave, secondary SW 9th St</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sz w:val="18"/>
                <w:szCs w:val="18"/>
              </w:rPr>
              <w:t xml:space="preserve">Appraisal/Survey </w:t>
            </w:r>
            <w:r>
              <w:rPr>
                <w:b/>
                <w:bCs/>
                <w:color w:val="548235"/>
                <w:sz w:val="16"/>
                <w:szCs w:val="16"/>
              </w:rPr>
              <w:t xml:space="preserve">FACT</w:t>
            </w:r>
          </w:p>
        </w:tc>
      </w:tr>
      <w:tr>
        <w:tc>
          <w:tcPr>
            <w:tcW w:type="dxa" w:w="32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Frontage</w:t>
            </w:r>
          </w:p>
        </w:tc>
        <w:tc>
          <w:tcPr>
            <w:tcW w:type="dxa" w:w="43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 275 ft primary; ± 170 ft secondary</w:t>
            </w:r>
          </w:p>
        </w:tc>
        <w:tc>
          <w:tcPr>
            <w:tcW w:type="dxa" w:w="18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sz w:val="18"/>
                <w:szCs w:val="18"/>
              </w:rPr>
              <w:t xml:space="preserve">Appraisal </w:t>
            </w:r>
            <w:r>
              <w:rPr>
                <w:b/>
                <w:bCs/>
                <w:color w:val="548235"/>
                <w:sz w:val="16"/>
                <w:szCs w:val="16"/>
              </w:rPr>
              <w:t xml:space="preserve">FACT</w:t>
            </w:r>
          </w:p>
        </w:tc>
      </w:tr>
      <w:tr>
        <w:tc>
          <w:tcPr>
            <w:tcW w:type="dxa" w:w="3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Topography / soils</w:t>
            </w:r>
          </w:p>
        </w:tc>
        <w:tc>
          <w:tcPr>
            <w:tcW w:type="dxa" w:w="43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Moderate slopes; soils reported typical and adequate to support development</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sz w:val="18"/>
                <w:szCs w:val="18"/>
              </w:rPr>
              <w:t xml:space="preserve">Appraisal </w:t>
            </w:r>
            <w:r>
              <w:rPr>
                <w:b/>
                <w:bCs/>
                <w:color w:val="BF8F00"/>
                <w:sz w:val="16"/>
                <w:szCs w:val="16"/>
              </w:rPr>
              <w:t xml:space="preserve">ASSUMPTION</w:t>
            </w:r>
          </w:p>
        </w:tc>
      </w:tr>
      <w:tr>
        <w:tc>
          <w:tcPr>
            <w:tcW w:type="dxa" w:w="32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Flood zone</w:t>
            </w:r>
          </w:p>
        </w:tc>
        <w:tc>
          <w:tcPr>
            <w:tcW w:type="dxa" w:w="43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FEMA Zone AE (BFE ≈ 5 ft); ~38,207 SF in floodplain</w:t>
            </w:r>
          </w:p>
        </w:tc>
        <w:tc>
          <w:tcPr>
            <w:tcW w:type="dxa" w:w="18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sz w:val="18"/>
                <w:szCs w:val="18"/>
              </w:rPr>
              <w:t xml:space="preserve">Site Intel/Appraisal </w:t>
            </w:r>
            <w:r>
              <w:rPr>
                <w:b/>
                <w:bCs/>
                <w:color w:val="548235"/>
                <w:sz w:val="16"/>
                <w:szCs w:val="16"/>
              </w:rPr>
              <w:t xml:space="preserve">FACT</w:t>
            </w:r>
          </w:p>
        </w:tc>
      </w:tr>
      <w:tr>
        <w:tc>
          <w:tcPr>
            <w:tcW w:type="dxa" w:w="3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Seismic</w:t>
            </w:r>
          </w:p>
        </w:tc>
        <w:tc>
          <w:tcPr>
            <w:tcW w:type="dxa" w:w="43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Not in earthquake zone; risk very low</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sz w:val="18"/>
                <w:szCs w:val="18"/>
              </w:rPr>
              <w:t xml:space="preserve">Appraisal </w:t>
            </w:r>
            <w:r>
              <w:rPr>
                <w:b/>
                <w:bCs/>
                <w:color w:val="548235"/>
                <w:sz w:val="16"/>
                <w:szCs w:val="16"/>
              </w:rPr>
              <w:t xml:space="preserve">FACT</w:t>
            </w:r>
          </w:p>
        </w:tc>
      </w:tr>
      <w:tr>
        <w:tc>
          <w:tcPr>
            <w:tcW w:type="dxa" w:w="32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Encumbrances</w:t>
            </w:r>
          </w:p>
        </w:tc>
        <w:tc>
          <w:tcPr>
            <w:tcW w:type="dxa" w:w="43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No known adverse encumbrances/easements reported (title work required)</w:t>
            </w:r>
          </w:p>
        </w:tc>
        <w:tc>
          <w:tcPr>
            <w:tcW w:type="dxa" w:w="18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sz w:val="18"/>
                <w:szCs w:val="18"/>
              </w:rPr>
              <w:t xml:space="preserve">Appraisal </w:t>
            </w:r>
            <w:r>
              <w:rPr>
                <w:b/>
                <w:bCs/>
                <w:color w:val="BF8F00"/>
                <w:sz w:val="16"/>
                <w:szCs w:val="16"/>
              </w:rPr>
              <w:t xml:space="preserve">ASSUMPTION</w:t>
            </w:r>
          </w:p>
        </w:tc>
      </w:tr>
      <w:tr>
        <w:tc>
          <w:tcPr>
            <w:tcW w:type="dxa" w:w="3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Context</w:t>
            </w:r>
          </w:p>
        </w:tc>
        <w:tc>
          <w:tcPr>
            <w:tcW w:type="dxa" w:w="43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Immediately S. of Hardy Park; &lt;½ mile N. of Broward Health; within SRAC; QOZ</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sz w:val="18"/>
                <w:szCs w:val="18"/>
              </w:rPr>
              <w:t xml:space="preserve">Site Intel </w:t>
            </w:r>
            <w:r>
              <w:rPr>
                <w:b/>
                <w:bCs/>
                <w:color w:val="548235"/>
                <w:sz w:val="16"/>
                <w:szCs w:val="16"/>
              </w:rPr>
              <w:t xml:space="preserve">FACT</w:t>
            </w:r>
          </w:p>
        </w:tc>
      </w:tr>
    </w:tbl>
    <w:p>
      <w:pPr>
        <w:spacing w:after="80"/>
      </w:pPr>
    </w:p>
    <w:p>
      <w:pPr>
        <w:pStyle w:val="Heading2"/>
      </w:pPr>
      <w:r>
        <w:t xml:space="preserve">3.2 Zoning &amp; Entitlement Envelope (RAC-RPO / SRAC)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560"/>
        <w:gridCol w:w="1800"/>
      </w:tblGrid>
      <w:tr>
        <w:trPr>
          <w:tblHeader/>
        </w:trPr>
        <w:tc>
          <w:tcPr>
            <w:tcW w:type="dxa" w:w="30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line="240"/>
              <w:jc w:val="left"/>
            </w:pPr>
            <w:r>
              <w:rPr>
                <w:b/>
                <w:bCs/>
                <w:color w:val="FFFFFF"/>
                <w:sz w:val="18"/>
                <w:szCs w:val="18"/>
              </w:rPr>
              <w:t xml:space="preserve">Zoning attribute</w:t>
            </w:r>
          </w:p>
        </w:tc>
        <w:tc>
          <w:tcPr>
            <w:tcW w:type="dxa" w:w="45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line="240"/>
              <w:jc w:val="left"/>
            </w:pPr>
            <w:r>
              <w:rPr>
                <w:b/>
                <w:bCs/>
                <w:color w:val="FFFFFF"/>
                <w:sz w:val="18"/>
                <w:szCs w:val="18"/>
              </w:rPr>
              <w:t xml:space="preserve">Regulation / status</w:t>
            </w:r>
          </w:p>
        </w:tc>
        <w:tc>
          <w:tcPr>
            <w:tcW w:type="dxa" w:w="18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line="240"/>
              <w:jc w:val="left"/>
            </w:pPr>
            <w:r>
              <w:rPr>
                <w:b/>
                <w:bCs/>
                <w:color w:val="FFFFFF"/>
                <w:sz w:val="18"/>
                <w:szCs w:val="18"/>
              </w:rPr>
              <w:t xml:space="preserve">Source &amp; Tag</w:t>
            </w:r>
          </w:p>
        </w:tc>
      </w:tr>
      <w:tr>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District</w:t>
            </w:r>
          </w:p>
        </w:tc>
        <w:tc>
          <w:tcPr>
            <w:tcW w:type="dxa" w:w="45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RAC-RPO (Regional Activity Center – Residential &amp; Professional Office)</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sz w:val="18"/>
                <w:szCs w:val="18"/>
              </w:rPr>
              <w:t xml:space="preserve">Site Intel </w:t>
            </w:r>
            <w:r>
              <w:rPr>
                <w:b/>
                <w:bCs/>
                <w:color w:val="548235"/>
                <w:sz w:val="16"/>
                <w:szCs w:val="16"/>
              </w:rPr>
              <w:t xml:space="preserve">FACT</w:t>
            </w:r>
          </w:p>
        </w:tc>
      </w:tr>
      <w:tr>
        <w:tc>
          <w:tcPr>
            <w:tcW w:type="dxa" w:w="30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Future land use</w:t>
            </w:r>
          </w:p>
        </w:tc>
        <w:tc>
          <w:tcPr>
            <w:tcW w:type="dxa" w:w="45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South Regional Activity Center (SRAC)</w:t>
            </w:r>
          </w:p>
        </w:tc>
        <w:tc>
          <w:tcPr>
            <w:tcW w:type="dxa" w:w="18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sz w:val="18"/>
                <w:szCs w:val="18"/>
              </w:rPr>
              <w:t xml:space="preserve">Site Intel </w:t>
            </w:r>
            <w:r>
              <w:rPr>
                <w:b/>
                <w:bCs/>
                <w:color w:val="548235"/>
                <w:sz w:val="16"/>
                <w:szCs w:val="16"/>
              </w:rPr>
              <w:t xml:space="preserve">FACT</w:t>
            </w:r>
          </w:p>
        </w:tc>
      </w:tr>
      <w:tr>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Max density</w:t>
            </w:r>
          </w:p>
        </w:tc>
        <w:tc>
          <w:tcPr>
            <w:tcW w:type="dxa" w:w="45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50 du/net acre (~44 units by right on 0.88 ac)</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sz w:val="18"/>
                <w:szCs w:val="18"/>
              </w:rPr>
              <w:t xml:space="preserve">Site Intel </w:t>
            </w:r>
            <w:r>
              <w:rPr>
                <w:b/>
                <w:bCs/>
                <w:color w:val="548235"/>
                <w:sz w:val="16"/>
                <w:szCs w:val="16"/>
              </w:rPr>
              <w:t xml:space="preserve">FACT</w:t>
            </w:r>
          </w:p>
        </w:tc>
      </w:tr>
      <w:tr>
        <w:tc>
          <w:tcPr>
            <w:tcW w:type="dxa" w:w="30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Max height</w:t>
            </w:r>
          </w:p>
        </w:tc>
        <w:tc>
          <w:tcPr>
            <w:tcW w:type="dxa" w:w="45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110 ft (~10 stories) base; up to 150 ft via Conditional Use, TDRs, or affordable-housing bonus</w:t>
            </w:r>
          </w:p>
        </w:tc>
        <w:tc>
          <w:tcPr>
            <w:tcW w:type="dxa" w:w="18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sz w:val="18"/>
                <w:szCs w:val="18"/>
              </w:rPr>
              <w:t xml:space="preserve">Site Intel </w:t>
            </w:r>
            <w:r>
              <w:rPr>
                <w:b/>
                <w:bCs/>
                <w:color w:val="548235"/>
                <w:sz w:val="16"/>
                <w:szCs w:val="16"/>
              </w:rPr>
              <w:t xml:space="preserve">FACT</w:t>
            </w:r>
          </w:p>
        </w:tc>
      </w:tr>
      <w:tr>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FAR</w:t>
            </w:r>
          </w:p>
        </w:tc>
        <w:tc>
          <w:tcPr>
            <w:tcW w:type="dxa" w:w="45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No maximum FAR; massing constrained by setbacks, parking, and height</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sz w:val="18"/>
                <w:szCs w:val="18"/>
              </w:rPr>
              <w:t xml:space="preserve">Site Intel </w:t>
            </w:r>
            <w:r>
              <w:rPr>
                <w:b/>
                <w:bCs/>
                <w:color w:val="548235"/>
                <w:sz w:val="16"/>
                <w:szCs w:val="16"/>
              </w:rPr>
              <w:t xml:space="preserve">FACT</w:t>
            </w:r>
          </w:p>
        </w:tc>
      </w:tr>
      <w:tr>
        <w:tc>
          <w:tcPr>
            <w:tcW w:type="dxa" w:w="30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Front setback</w:t>
            </w:r>
          </w:p>
        </w:tc>
        <w:tc>
          <w:tcPr>
            <w:tcW w:type="dxa" w:w="45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0 ft max build-to line (activated streetscape)</w:t>
            </w:r>
          </w:p>
        </w:tc>
        <w:tc>
          <w:tcPr>
            <w:tcW w:type="dxa" w:w="18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sz w:val="18"/>
                <w:szCs w:val="18"/>
              </w:rPr>
              <w:t xml:space="preserve">Site Intel </w:t>
            </w:r>
            <w:r>
              <w:rPr>
                <w:b/>
                <w:bCs/>
                <w:color w:val="548235"/>
                <w:sz w:val="16"/>
                <w:szCs w:val="16"/>
              </w:rPr>
              <w:t xml:space="preserve">FACT</w:t>
            </w:r>
          </w:p>
        </w:tc>
      </w:tr>
      <w:tr>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Side/rear setback</w:t>
            </w:r>
          </w:p>
        </w:tc>
        <w:tc>
          <w:tcPr>
            <w:tcW w:type="dxa" w:w="45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10 ft minimum only when abutting residential</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sz w:val="18"/>
                <w:szCs w:val="18"/>
              </w:rPr>
              <w:t xml:space="preserve">Site Intel </w:t>
            </w:r>
            <w:r>
              <w:rPr>
                <w:b/>
                <w:bCs/>
                <w:color w:val="548235"/>
                <w:sz w:val="16"/>
                <w:szCs w:val="16"/>
              </w:rPr>
              <w:t xml:space="preserve">FACT</w:t>
            </w:r>
          </w:p>
        </w:tc>
      </w:tr>
      <w:tr>
        <w:tc>
          <w:tcPr>
            <w:tcW w:type="dxa" w:w="30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Parking requirement</w:t>
            </w:r>
          </w:p>
        </w:tc>
        <w:tc>
          <w:tcPr>
            <w:tcW w:type="dxa" w:w="45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Office/Retail: 1 space / 250 SF GFA (subject is legally conforming)</w:t>
            </w:r>
          </w:p>
        </w:tc>
        <w:tc>
          <w:tcPr>
            <w:tcW w:type="dxa" w:w="18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sz w:val="18"/>
                <w:szCs w:val="18"/>
              </w:rPr>
              <w:t xml:space="preserve">Site Intel/Appraisal </w:t>
            </w:r>
            <w:r>
              <w:rPr>
                <w:b/>
                <w:bCs/>
                <w:color w:val="548235"/>
                <w:sz w:val="16"/>
                <w:szCs w:val="16"/>
              </w:rPr>
              <w:t xml:space="preserve">FACT</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8E1" w:sz="1"/>
              <w:left w:val="single" w:color="BF8F00" w:sz="24"/>
              <w:bottom w:val="single" w:color="FFF8E1" w:sz="1"/>
              <w:right w:val="single" w:color="FFF8E1" w:sz="1"/>
            </w:tcBorders>
            <w:shd w:fill="FFF8E1" w:val="clear"/>
            <w:tcMar>
              <w:top w:type="dxa" w:w="120"/>
              <w:left w:type="dxa" w:w="200"/>
              <w:bottom w:type="dxa" w:w="120"/>
              <w:right w:type="dxa" w:w="160"/>
            </w:tcMar>
          </w:tcPr>
          <w:p>
            <w:pPr>
              <w:spacing w:after="40" w:line="252"/>
            </w:pPr>
            <w:r>
              <w:rPr>
                <w:b/>
                <w:bCs/>
              </w:rPr>
              <w:t xml:space="preserve">Validation note: </w:t>
            </w:r>
            <w:r>
              <w:t xml:space="preserve">All zoning figures originate from research reports, not a direct City determination. Before schematic design, obtain a written Zoning Verification Letter and a pre-application Development Review meeting to confirm height path, parking method (including shared-parking acceptance), and any Live Local Act preemption opportunities. Logged as OQ-03.</w:t>
            </w:r>
          </w:p>
        </w:tc>
      </w:tr>
    </w:tbl>
    <w:p>
      <w:pPr>
        <w:spacing w:after="80"/>
      </w:pPr>
    </w:p>
    <w:p>
      <w:pPr>
        <w:pStyle w:val="Heading2"/>
      </w:pPr>
      <w:r>
        <w:t xml:space="preserve">3.3 Utility &amp; Infrastructure Basis</w:t>
      </w:r>
    </w:p>
    <w:p>
      <w:pPr>
        <w:pStyle w:val="ListParagraph"/>
        <w:numPr>
          <w:ilvl w:val="0"/>
          <w:numId w:val="2"/>
        </w:numPr>
        <w:spacing w:after="50" w:line="260"/>
      </w:pPr>
      <w:r>
        <w:rPr>
          <w:b/>
          <w:bCs/>
        </w:rPr>
        <w:t xml:space="preserve">Electrical (FPL). </w:t>
      </w:r>
      <w:r>
        <w:rPr>
          <w:b/>
          <w:bCs/>
          <w:color w:val="548235"/>
        </w:rPr>
        <w:t xml:space="preserve">FACT</w:t>
      </w:r>
      <w:r>
        <w:t xml:space="preserve">: Primary service by Florida Power &amp; Light, with proximity to major distribution nodes. </w:t>
      </w:r>
      <w:r>
        <w:rPr>
          <w:b/>
          <w:bCs/>
          <w:color w:val="BF8F00"/>
        </w:rPr>
        <w:t xml:space="preserve">ASSUMPTION</w:t>
      </w:r>
      <w:r>
        <w:t xml:space="preserve">: local transformer capacity for medical imaging (MRI/CT) and dense EV banks is </w:t>
      </w:r>
      <w:r>
        <w:rPr>
          <w:i/>
          <w:iCs/>
        </w:rPr>
        <w:t xml:space="preserve">unverified</w:t>
      </w:r>
      <w:r>
        <w:t xml:space="preserve"> and must be confirmed via an FPL capacity/will-serve study. Historical grid vulnerability (2020 Sistrunk substation fire) argues for on-site redundancy. (OQ-04)</w:t>
      </w:r>
    </w:p>
    <w:p>
      <w:pPr>
        <w:pStyle w:val="ListParagraph"/>
        <w:numPr>
          <w:ilvl w:val="0"/>
          <w:numId w:val="2"/>
        </w:numPr>
        <w:spacing w:after="50" w:line="260"/>
      </w:pPr>
      <w:r>
        <w:rPr>
          <w:b/>
          <w:bCs/>
        </w:rPr>
        <w:t xml:space="preserve">Water / sewer. </w:t>
      </w:r>
      <w:r>
        <w:rPr>
          <w:b/>
          <w:bCs/>
          <w:color w:val="548235"/>
        </w:rPr>
        <w:t xml:space="preserve">FACT</w:t>
      </w:r>
      <w:r>
        <w:t xml:space="preserve">: City potable water and sanitary sewer reported adequate for typical mixed-use operations; connection sizing to be confirmed at schematic design.</w:t>
      </w:r>
    </w:p>
    <w:p>
      <w:pPr>
        <w:pStyle w:val="ListParagraph"/>
        <w:numPr>
          <w:ilvl w:val="0"/>
          <w:numId w:val="2"/>
        </w:numPr>
        <w:spacing w:after="50" w:line="260"/>
      </w:pPr>
      <w:r>
        <w:rPr>
          <w:b/>
          <w:bCs/>
        </w:rPr>
        <w:t xml:space="preserve">Stormwater. </w:t>
      </w:r>
      <w:r>
        <w:rPr>
          <w:b/>
          <w:bCs/>
          <w:color w:val="548235"/>
        </w:rPr>
        <w:t xml:space="preserve">FACT</w:t>
      </w:r>
      <w:r>
        <w:t xml:space="preserve">: Because the entire site is in Zone AE, on-site retention vaults, exfiltration trenches, and conformance with the City’s resilient stormwater master plan are a </w:t>
      </w:r>
      <w:r>
        <w:rPr>
          <w:b/>
          <w:bCs/>
        </w:rPr>
        <w:t xml:space="preserve">non-negotiable entitlement requirement</w:t>
      </w:r>
      <w:r>
        <w:t xml:space="preserve">. This is the most critical utility-engineering challenge on the site.</w:t>
      </w:r>
    </w:p>
    <w:p>
      <w:pPr>
        <w:pStyle w:val="ListParagraph"/>
        <w:numPr>
          <w:ilvl w:val="0"/>
          <w:numId w:val="2"/>
        </w:numPr>
        <w:spacing w:after="50" w:line="260"/>
      </w:pPr>
      <w:r>
        <w:rPr>
          <w:b/>
          <w:bCs/>
        </w:rPr>
        <w:t xml:space="preserve">Telecom / fiber. </w:t>
      </w:r>
      <w:r>
        <w:rPr>
          <w:b/>
          <w:bCs/>
          <w:color w:val="548235"/>
        </w:rPr>
        <w:t xml:space="preserve">FACT</w:t>
      </w:r>
      <w:r>
        <w:t xml:space="preserve">: Tier-1 connectivity (Hotwire/Fision 10 Gbps symmetrical, AT&amp;T, Lumen, Crown Castle) is more than adequate for digital health, telemedicine, and smart-building operations — supporting fiber-readiness at low marginal cost.</w:t>
      </w:r>
    </w:p>
    <w:p>
      <w:pPr>
        <w:spacing w:after="80"/>
      </w:pPr>
    </w:p>
    <w:p>
      <w:pPr>
        <w:pStyle w:val="Heading2"/>
      </w:pPr>
      <w:r>
        <w:t xml:space="preserve">3.4 Site Constraints Map (conceptual)</w:t>
      </w:r>
    </w:p>
    <w:p>
      <w:pPr>
        <w:spacing w:after="120"/>
      </w:pPr>
      <w:r>
        <w:rPr>
          <w:rFonts w:ascii="Consolas" w:cs="Consolas" w:eastAsia="Consolas" w:hAnsi="Consolas"/>
          <w:color w:val="595959"/>
          <w:sz w:val="15"/>
          <w:szCs w:val="15"/>
        </w:rPr>
        <w:t xml:space="preserve">        SW 9th Street  (secondary frontage ≈ 170 ft)
   ┌────────────────────────────────┐
   │  [SERVICE / LOADING + RAMP ZONE — rear]   │   ← 10 ft setback only if
   │                                          │      abutting residential
   │   PARKING PODIUM (flat plates, conv.)    │
   │   ----------------------------------     │  N ↑  (protected views to
   │   GROUND FLOOR: MEDTAIL @ build-to line  │         Hardy Park, north)
   │   [Ride-share + patient drop-off]        │
   └────────────────────────────────┘
        S. Andrews Avenue (primary frontage ≈ 275 ft, 0 ft build-to)
        Entire parcel within FEMA Zone AE — elevate critical MEP above BFE</w:t>
      </w:r>
    </w:p>
    <w:p>
      <w:pPr>
        <w:spacing w:after="60"/>
      </w:pPr>
    </w:p>
    <w:p>
      <w:pPr>
        <w:pBdr>
          <w:top w:val="single" w:color="2E5496" w:sz="6" w:space="4"/>
        </w:pBdr>
        <w:spacing w:after="80" w:before="80"/>
      </w:pPr>
      <w:r>
        <w:rPr>
          <w:b/>
          <w:bCs/>
          <w:color w:val="2E5496"/>
          <w:sz w:val="20"/>
          <w:szCs w:val="20"/>
        </w:rPr>
        <w:t xml:space="preserve">Chapter Close-Out</w:t>
      </w:r>
    </w:p>
    <w:p>
      <w:pPr>
        <w:spacing w:after="30" w:before="60"/>
      </w:pPr>
      <w:r>
        <w:rPr>
          <w:b/>
          <w:bCs/>
          <w:color w:val="1F3864"/>
          <w:sz w:val="18"/>
          <w:szCs w:val="18"/>
        </w:rPr>
        <w:t xml:space="preserve">Key Decisions</w:t>
      </w:r>
    </w:p>
    <w:p>
      <w:pPr>
        <w:pStyle w:val="ListParagraph"/>
        <w:numPr>
          <w:ilvl w:val="0"/>
          <w:numId w:val="2"/>
        </w:numPr>
        <w:spacing w:after="20" w:line="250"/>
      </w:pPr>
      <w:r>
        <w:rPr>
          <w:sz w:val="18"/>
          <w:szCs w:val="18"/>
        </w:rPr>
        <w:t xml:space="preserve">Adopt the site and zoning figures above as the provisional Basis of Design, explicitly flagged for City/utility confirmation.</w:t>
      </w:r>
    </w:p>
    <w:p>
      <w:pPr>
        <w:pStyle w:val="ListParagraph"/>
        <w:numPr>
          <w:ilvl w:val="0"/>
          <w:numId w:val="2"/>
        </w:numPr>
        <w:spacing w:after="20" w:line="250"/>
      </w:pPr>
      <w:r>
        <w:rPr>
          <w:sz w:val="18"/>
          <w:szCs w:val="18"/>
        </w:rPr>
        <w:t xml:space="preserve">Treat Zone AE stormwater compliance and MEP elevation as gating design constraints.</w:t>
      </w:r>
    </w:p>
    <w:p>
      <w:pPr>
        <w:spacing w:after="30" w:before="60"/>
      </w:pPr>
      <w:r>
        <w:rPr>
          <w:b/>
          <w:bCs/>
          <w:color w:val="548235"/>
          <w:sz w:val="18"/>
          <w:szCs w:val="18"/>
        </w:rPr>
        <w:t xml:space="preserve">Supporting Evidence</w:t>
      </w:r>
    </w:p>
    <w:p>
      <w:pPr>
        <w:pStyle w:val="ListParagraph"/>
        <w:numPr>
          <w:ilvl w:val="0"/>
          <w:numId w:val="2"/>
        </w:numPr>
        <w:spacing w:after="20" w:line="250"/>
      </w:pPr>
      <w:r>
        <w:rPr>
          <w:sz w:val="18"/>
          <w:szCs w:val="18"/>
        </w:rPr>
        <w:t xml:space="preserve">Boundary Survey; Site Intelligence Report (ULDR table, utilities); Appraisal (site characteristics, hazards) as background.</w:t>
      </w:r>
    </w:p>
    <w:p>
      <w:pPr>
        <w:spacing w:after="30" w:before="60"/>
      </w:pPr>
      <w:r>
        <w:rPr>
          <w:b/>
          <w:bCs/>
          <w:color w:val="BF8F00"/>
          <w:sz w:val="18"/>
          <w:szCs w:val="18"/>
        </w:rPr>
        <w:t xml:space="preserve">Remaining Unknowns</w:t>
      </w:r>
    </w:p>
    <w:p>
      <w:pPr>
        <w:pStyle w:val="ListParagraph"/>
        <w:numPr>
          <w:ilvl w:val="0"/>
          <w:numId w:val="2"/>
        </w:numPr>
        <w:spacing w:after="20" w:line="250"/>
      </w:pPr>
      <w:r>
        <w:rPr>
          <w:sz w:val="18"/>
          <w:szCs w:val="18"/>
        </w:rPr>
        <w:t xml:space="preserve">City zoning verification; FPL transformer capacity; geotechnical confirmation of soils; title/easement confirmation.</w:t>
      </w:r>
    </w:p>
    <w:p>
      <w:pPr>
        <w:spacing w:after="30" w:before="60"/>
      </w:pPr>
      <w:r>
        <w:rPr>
          <w:b/>
          <w:bCs/>
          <w:color w:val="2E5496"/>
          <w:sz w:val="18"/>
          <w:szCs w:val="18"/>
        </w:rPr>
        <w:t xml:space="preserve">Recommended Next Actions</w:t>
      </w:r>
    </w:p>
    <w:p>
      <w:pPr>
        <w:pStyle w:val="ListParagraph"/>
        <w:numPr>
          <w:ilvl w:val="0"/>
          <w:numId w:val="2"/>
        </w:numPr>
        <w:spacing w:after="20" w:line="250"/>
      </w:pPr>
      <w:r>
        <w:rPr>
          <w:sz w:val="18"/>
          <w:szCs w:val="18"/>
        </w:rPr>
        <w:t xml:space="preserve">Order Zoning Verification Letter, FPL will-serve study, Phase I ESA, geotechnical borings, and updated title commitment.</w:t>
      </w:r>
    </w:p>
    <w:p>
      <w:r>
        <w:br w:type="page"/>
      </w:r>
    </w:p>
    <w:p>
      <w:pPr>
        <w:pStyle w:val="Heading1"/>
      </w:pPr>
      <w:r>
        <w:t xml:space="preserve">4. Building Program (Architectural Programming)</w:t>
      </w:r>
    </w:p>
    <w:p>
      <w:pPr>
        <w:spacing w:after="120" w:line="264"/>
      </w:pPr>
      <w:r>
        <w:rPr>
          <w:b/>
          <w:bCs/>
        </w:rPr>
        <w:t xml:space="preserve">Intent. </w:t>
      </w:r>
      <w:r>
        <w:t xml:space="preserve">This chapter defines program, users, and functional relationships — not drawings. It establishes what the building must do so that architects can test fits against the envelope in Chapter 3.</w:t>
      </w:r>
    </w:p>
    <w:p>
      <w:pPr>
        <w:pStyle w:val="Heading2"/>
      </w:pPr>
      <w:r>
        <w:t xml:space="preserve">4.1 Building Purpose &amp; Primary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line="240"/>
              <w:jc w:val="left"/>
            </w:pPr>
            <w:r>
              <w:rPr>
                <w:b/>
                <w:bCs/>
                <w:color w:val="FFFFFF"/>
                <w:sz w:val="18"/>
                <w:szCs w:val="18"/>
              </w:rPr>
              <w:t xml:space="preserve">User group</w:t>
            </w:r>
          </w:p>
        </w:tc>
        <w:tc>
          <w:tcPr>
            <w:tcW w:type="dxa" w:w="67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line="240"/>
              <w:jc w:val="left"/>
            </w:pPr>
            <w:r>
              <w:rPr>
                <w:b/>
                <w:bCs/>
                <w:color w:val="FFFFFF"/>
                <w:sz w:val="18"/>
                <w:szCs w:val="18"/>
              </w:rPr>
              <w:t xml:space="preserve">Needs the building must serve</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Patients &amp; visitors</w:t>
            </w:r>
          </w:p>
        </w:tc>
        <w:tc>
          <w:tcPr>
            <w:tcW w:type="dxa" w:w="67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Intuitive arrival, abundant convenient parking, short walk to ground-floor care, weather-protected drop-off</w:t>
            </w:r>
          </w:p>
        </w:tc>
      </w:tr>
      <w:tr>
        <w:tc>
          <w:tcPr>
            <w:tcW w:type="dxa" w:w="26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Independent physicians / specialists</w:t>
            </w:r>
          </w:p>
        </w:tc>
        <w:tc>
          <w:tcPr>
            <w:tcW w:type="dxa" w:w="67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Turnkey, HIPAA-compliant suites on flexible terms; no large capex; reliable parking for high patient volumes</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Retail / medtail operators</w:t>
            </w:r>
          </w:p>
        </w:tc>
        <w:tc>
          <w:tcPr>
            <w:tcW w:type="dxa" w:w="67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Visible, activated street frontage; pharmacy/urgent-care/DME adjacencies to patient flow</w:t>
            </w:r>
          </w:p>
        </w:tc>
      </w:tr>
      <w:tr>
        <w:tc>
          <w:tcPr>
            <w:tcW w:type="dxa" w:w="26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Daily / commuter parkers</w:t>
            </w:r>
          </w:p>
        </w:tc>
        <w:tc>
          <w:tcPr>
            <w:tcW w:type="dxa" w:w="67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Off-peak and weekend access to surplus parking near the future BCR South station</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Building operations</w:t>
            </w:r>
          </w:p>
        </w:tc>
        <w:tc>
          <w:tcPr>
            <w:tcW w:type="dxa" w:w="67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Efficient service circulation, resilient MEP, low-staff gateless parking operations</w:t>
            </w:r>
          </w:p>
        </w:tc>
      </w:tr>
      <w:tr>
        <w:tc>
          <w:tcPr>
            <w:tcW w:type="dxa" w:w="26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Future tenants (2040+)</w:t>
            </w:r>
          </w:p>
        </w:tc>
        <w:tc>
          <w:tcPr>
            <w:tcW w:type="dxa" w:w="67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Convertible floor plates that can become office, lab, residential, or mobility uses</w:t>
            </w:r>
          </w:p>
        </w:tc>
      </w:tr>
    </w:tbl>
    <w:p>
      <w:pPr>
        <w:spacing w:after="80"/>
      </w:pPr>
    </w:p>
    <w:p>
      <w:pPr>
        <w:pStyle w:val="Heading2"/>
      </w:pPr>
      <w:r>
        <w:t xml:space="preserve">4.2 Indicative Program Stack (to be sized by test-fit)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8E1" w:sz="1"/>
              <w:left w:val="single" w:color="BF8F00" w:sz="24"/>
              <w:bottom w:val="single" w:color="FFF8E1" w:sz="1"/>
              <w:right w:val="single" w:color="FFF8E1" w:sz="1"/>
            </w:tcBorders>
            <w:shd w:fill="FFF8E1" w:val="clear"/>
            <w:tcMar>
              <w:top w:type="dxa" w:w="120"/>
              <w:left w:type="dxa" w:w="200"/>
              <w:bottom w:type="dxa" w:w="120"/>
              <w:right w:type="dxa" w:w="160"/>
            </w:tcMar>
          </w:tcPr>
          <w:p>
            <w:pPr>
              <w:spacing w:after="40" w:line="252"/>
            </w:pPr>
            <w:r>
              <w:rPr>
                <w:b/>
                <w:bCs/>
              </w:rPr>
              <w:t xml:space="preserve">Note: </w:t>
            </w:r>
            <w:r>
              <w:t xml:space="preserve">Areas below are </w:t>
            </w:r>
            <w:r>
              <w:rPr>
                <w:i/>
                <w:iCs/>
              </w:rPr>
              <w:t xml:space="preserve">planning placeholders</w:t>
            </w:r>
            <w:r>
              <w:t xml:space="preserve"> expressed as relationships and ratios, not committed quantities. Final areas depend on the parking/traffic test-fit, the financial model, and the chosen height. Tagged </w:t>
            </w:r>
            <w:r>
              <w:rPr>
                <w:b/>
                <w:bCs/>
                <w:color w:val="BF8F00"/>
              </w:rPr>
              <w:t xml:space="preserve">ASSUMPTION</w:t>
            </w:r>
            <w:r>
              <w:t xml:space="preserve">.</w:t>
            </w:r>
          </w:p>
        </w:tc>
      </w:tr>
    </w:tbl>
    <w:p>
      <w:pPr>
        <w:spacing w:after="120"/>
      </w:pPr>
      <w:r>
        <w:rPr>
          <w:rFonts w:ascii="Consolas" w:cs="Consolas" w:eastAsia="Consolas" w:hAnsi="Consolas"/>
          <w:color w:val="595959"/>
          <w:sz w:val="15"/>
          <w:szCs w:val="15"/>
        </w:rPr>
        <w:t xml:space="preserve">  ROOF      │ Amenity terrace / PV-ready / mechanical / future equipment
  UPPER     │ Flexible outpatient + medical co-working (decoupled, non-inpatient)
  FLOORS    │   └ universal grid aligned to parking below
  ─────────┼─────────────────────────────────────────
  PODIUM    │ Convertible structured parking (flat plates, ext. ramps)
  (PARKING) │   └ shared-parking: medical by day / public-commuter off-peak
  ─────────┼─────────────────────────────────────────
  GROUND    │ Medtail liner @ build-to line | lobby | drop-off | loading
            │ Critical MEP ELEVATED above BFE (Zone AE)</w:t>
      </w:r>
    </w:p>
    <w:p>
      <w:pPr>
        <w:pStyle w:val="Heading2"/>
      </w:pPr>
      <w:r>
        <w:t xml:space="preserve">4.3 Functional Relationships (adjacency logic)</w:t>
      </w:r>
    </w:p>
    <w:p>
      <w:pPr>
        <w:pStyle w:val="ListParagraph"/>
        <w:numPr>
          <w:ilvl w:val="0"/>
          <w:numId w:val="2"/>
        </w:numPr>
        <w:spacing w:after="50" w:line="260"/>
      </w:pPr>
      <w:r>
        <w:rPr>
          <w:b/>
          <w:bCs/>
        </w:rPr>
        <w:t xml:space="preserve">Vertical separation of conflict. </w:t>
      </w:r>
      <w:r>
        <w:t xml:space="preserve">Patients and vehicles separated by level; an elevated pedestrian connection is preferred where a bridge to adjacent uses is feasible (per Lennar Foundation benchmark).</w:t>
      </w:r>
    </w:p>
    <w:p>
      <w:pPr>
        <w:pStyle w:val="ListParagraph"/>
        <w:numPr>
          <w:ilvl w:val="0"/>
          <w:numId w:val="2"/>
        </w:numPr>
        <w:spacing w:after="50" w:line="260"/>
      </w:pPr>
      <w:r>
        <w:rPr>
          <w:b/>
          <w:bCs/>
        </w:rPr>
        <w:t xml:space="preserve">Parking-to-clinical alignment. </w:t>
      </w:r>
      <w:r>
        <w:t xml:space="preserve">A universal structural grid lets clinical floors sit directly on parking without costly transfer structures (Lavin Family Pavilion).</w:t>
      </w:r>
    </w:p>
    <w:p>
      <w:pPr>
        <w:pStyle w:val="ListParagraph"/>
        <w:numPr>
          <w:ilvl w:val="0"/>
          <w:numId w:val="2"/>
        </w:numPr>
        <w:spacing w:after="50" w:line="260"/>
      </w:pPr>
      <w:r>
        <w:rPr>
          <w:b/>
          <w:bCs/>
        </w:rPr>
        <w:t xml:space="preserve">Retail at the street, service at the rear. </w:t>
      </w:r>
      <w:r>
        <w:t xml:space="preserve">Medtail occupies the build-to frontage for visibility; loading and ramps are pushed to the secondary/rear edge.</w:t>
      </w:r>
    </w:p>
    <w:p>
      <w:pPr>
        <w:pStyle w:val="ListParagraph"/>
        <w:numPr>
          <w:ilvl w:val="0"/>
          <w:numId w:val="2"/>
        </w:numPr>
        <w:spacing w:after="50" w:line="260"/>
      </w:pPr>
      <w:r>
        <w:rPr>
          <w:b/>
          <w:bCs/>
        </w:rPr>
        <w:t xml:space="preserve">Co-working as a single master tenant. </w:t>
      </w:r>
      <w:r>
        <w:t xml:space="preserve">Leasing upper floors to a medical co-working operator insulates the owner from managing dozens of micro-leases while capturing independent-practitioner demand.</w:t>
      </w:r>
    </w:p>
    <w:p>
      <w:pPr>
        <w:spacing w:after="60"/>
      </w:pPr>
    </w:p>
    <w:p>
      <w:pPr>
        <w:pBdr>
          <w:top w:val="single" w:color="2E5496" w:sz="6" w:space="4"/>
        </w:pBdr>
        <w:spacing w:after="80" w:before="80"/>
      </w:pPr>
      <w:r>
        <w:rPr>
          <w:b/>
          <w:bCs/>
          <w:color w:val="2E5496"/>
          <w:sz w:val="20"/>
          <w:szCs w:val="20"/>
        </w:rPr>
        <w:t xml:space="preserve">Chapter Close-Out</w:t>
      </w:r>
    </w:p>
    <w:p>
      <w:pPr>
        <w:spacing w:after="30" w:before="60"/>
      </w:pPr>
      <w:r>
        <w:rPr>
          <w:b/>
          <w:bCs/>
          <w:color w:val="1F3864"/>
          <w:sz w:val="18"/>
          <w:szCs w:val="18"/>
        </w:rPr>
        <w:t xml:space="preserve">Key Decisions</w:t>
      </w:r>
    </w:p>
    <w:p>
      <w:pPr>
        <w:pStyle w:val="ListParagraph"/>
        <w:numPr>
          <w:ilvl w:val="0"/>
          <w:numId w:val="2"/>
        </w:numPr>
        <w:spacing w:after="20" w:line="250"/>
      </w:pPr>
      <w:r>
        <w:rPr>
          <w:sz w:val="18"/>
          <w:szCs w:val="18"/>
        </w:rPr>
        <w:t xml:space="preserve">Program the building as medtail ground floor + convertible parking podium + flexible clinical/co-working above, organized on one universal grid.</w:t>
      </w:r>
    </w:p>
    <w:p>
      <w:pPr>
        <w:pStyle w:val="ListParagraph"/>
        <w:numPr>
          <w:ilvl w:val="0"/>
          <w:numId w:val="2"/>
        </w:numPr>
        <w:spacing w:after="20" w:line="250"/>
      </w:pPr>
      <w:r>
        <w:rPr>
          <w:sz w:val="18"/>
          <w:szCs w:val="18"/>
        </w:rPr>
        <w:t xml:space="preserve">Treat all areas as placeholders pending test-fit.</w:t>
      </w:r>
    </w:p>
    <w:p>
      <w:pPr>
        <w:spacing w:after="30" w:before="60"/>
      </w:pPr>
      <w:r>
        <w:rPr>
          <w:b/>
          <w:bCs/>
          <w:color w:val="548235"/>
          <w:sz w:val="18"/>
          <w:szCs w:val="18"/>
        </w:rPr>
        <w:t xml:space="preserve">Supporting Evidence</w:t>
      </w:r>
    </w:p>
    <w:p>
      <w:pPr>
        <w:pStyle w:val="ListParagraph"/>
        <w:numPr>
          <w:ilvl w:val="0"/>
          <w:numId w:val="2"/>
        </w:numPr>
        <w:spacing w:after="20" w:line="250"/>
      </w:pPr>
      <w:r>
        <w:rPr>
          <w:sz w:val="18"/>
          <w:szCs w:val="18"/>
        </w:rPr>
        <w:t xml:space="preserve">Market Study (medtail, co-working, parking ratios); Benchmark Study (Lavin, Lennar, Hoag, Moffitt).</w:t>
      </w:r>
    </w:p>
    <w:p>
      <w:pPr>
        <w:spacing w:after="30" w:before="60"/>
      </w:pPr>
      <w:r>
        <w:rPr>
          <w:b/>
          <w:bCs/>
          <w:color w:val="BF8F00"/>
          <w:sz w:val="18"/>
          <w:szCs w:val="18"/>
        </w:rPr>
        <w:t xml:space="preserve">Remaining Unknowns</w:t>
      </w:r>
    </w:p>
    <w:p>
      <w:pPr>
        <w:pStyle w:val="ListParagraph"/>
        <w:numPr>
          <w:ilvl w:val="0"/>
          <w:numId w:val="2"/>
        </w:numPr>
        <w:spacing w:after="20" w:line="250"/>
      </w:pPr>
      <w:r>
        <w:rPr>
          <w:sz w:val="18"/>
          <w:szCs w:val="18"/>
        </w:rPr>
        <w:t xml:space="preserve">Final area split among parking, clinical, co-working, and retail; achievable stall count.</w:t>
      </w:r>
    </w:p>
    <w:p>
      <w:pPr>
        <w:spacing w:after="30" w:before="60"/>
      </w:pPr>
      <w:r>
        <w:rPr>
          <w:b/>
          <w:bCs/>
          <w:color w:val="2E5496"/>
          <w:sz w:val="18"/>
          <w:szCs w:val="18"/>
        </w:rPr>
        <w:t xml:space="preserve">Recommended Next Actions</w:t>
      </w:r>
    </w:p>
    <w:p>
      <w:pPr>
        <w:pStyle w:val="ListParagraph"/>
        <w:numPr>
          <w:ilvl w:val="0"/>
          <w:numId w:val="2"/>
        </w:numPr>
        <w:spacing w:after="20" w:line="250"/>
      </w:pPr>
      <w:r>
        <w:rPr>
          <w:sz w:val="18"/>
          <w:szCs w:val="18"/>
        </w:rPr>
        <w:t xml:space="preserve">Commission architect-led test-fits at 110 ft and at a bonus-height scenario for the financial model to compare.</w:t>
      </w:r>
    </w:p>
    <w:p>
      <w:r>
        <w:br w:type="page"/>
      </w:r>
    </w:p>
    <w:p>
      <w:pPr>
        <w:pStyle w:val="Heading1"/>
      </w:pPr>
      <w:r>
        <w:t xml:space="preserve">5. Structural Philosophy</w:t>
      </w:r>
    </w:p>
    <w:p>
      <w:pPr>
        <w:spacing w:after="120" w:line="264"/>
      </w:pPr>
      <w:r>
        <w:t xml:space="preserve">The structural strategy is the project’s primary instrument of long-term value. It directly executes </w:t>
      </w:r>
      <w:r>
        <w:rPr>
          <w:b/>
          <w:bCs/>
        </w:rPr>
        <w:t xml:space="preserve">Decision-002</w:t>
      </w:r>
      <w:r>
        <w:t xml:space="preserve"> (convertible parking) and Constitution Principle 8 (future-proof the structure).</w:t>
      </w:r>
    </w:p>
    <w:p>
      <w:pPr>
        <w:pStyle w:val="Heading2"/>
      </w:pPr>
      <w:r>
        <w:t xml:space="preserve">5.1 Recommended System &amp;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560"/>
        <w:gridCol w:w="1800"/>
      </w:tblGrid>
      <w:tr>
        <w:trPr>
          <w:tblHeader/>
        </w:trPr>
        <w:tc>
          <w:tcPr>
            <w:tcW w:type="dxa" w:w="30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line="240"/>
              <w:jc w:val="left"/>
            </w:pPr>
            <w:r>
              <w:rPr>
                <w:b/>
                <w:bCs/>
                <w:color w:val="FFFFFF"/>
                <w:sz w:val="18"/>
                <w:szCs w:val="18"/>
              </w:rPr>
              <w:t xml:space="preserve">Parameter</w:t>
            </w:r>
          </w:p>
        </w:tc>
        <w:tc>
          <w:tcPr>
            <w:tcW w:type="dxa" w:w="45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line="240"/>
              <w:jc w:val="left"/>
            </w:pPr>
            <w:r>
              <w:rPr>
                <w:b/>
                <w:bCs/>
                <w:color w:val="FFFFFF"/>
                <w:sz w:val="18"/>
                <w:szCs w:val="18"/>
              </w:rPr>
              <w:t xml:space="preserve">Recommendation</w:t>
            </w:r>
          </w:p>
        </w:tc>
        <w:tc>
          <w:tcPr>
            <w:tcW w:type="dxa" w:w="18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line="240"/>
              <w:jc w:val="left"/>
            </w:pPr>
            <w:r>
              <w:rPr>
                <w:b/>
                <w:bCs/>
                <w:color w:val="FFFFFF"/>
                <w:sz w:val="18"/>
                <w:szCs w:val="18"/>
              </w:rPr>
              <w:t xml:space="preserve">Evidence &amp; Tag</w:t>
            </w:r>
          </w:p>
        </w:tc>
      </w:tr>
      <w:tr>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Structural system</w:t>
            </w:r>
          </w:p>
        </w:tc>
        <w:tc>
          <w:tcPr>
            <w:tcW w:type="dxa" w:w="45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Cast-in-place concrete (durability + flat-plate convertibility in a marine/flood environment)</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sz w:val="18"/>
                <w:szCs w:val="18"/>
              </w:rPr>
              <w:t xml:space="preserve">Benchmark </w:t>
            </w:r>
            <w:r>
              <w:rPr>
                <w:b/>
                <w:bCs/>
                <w:color w:val="595959"/>
                <w:sz w:val="16"/>
                <w:szCs w:val="16"/>
              </w:rPr>
              <w:t xml:space="preserve">JUDGMENT</w:t>
            </w:r>
          </w:p>
        </w:tc>
      </w:tr>
      <w:tr>
        <w:tc>
          <w:tcPr>
            <w:tcW w:type="dxa" w:w="30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Floor configuration</w:t>
            </w:r>
          </w:p>
        </w:tc>
        <w:tc>
          <w:tcPr>
            <w:tcW w:type="dxa" w:w="45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Flat plates at ≈1–2% drainage gradient (not sloped parked-on ramps)</w:t>
            </w:r>
          </w:p>
        </w:tc>
        <w:tc>
          <w:tcPr>
            <w:tcW w:type="dxa" w:w="18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sz w:val="18"/>
                <w:szCs w:val="18"/>
              </w:rPr>
              <w:t xml:space="preserve">9th Ave Parkade; FlexPark </w:t>
            </w:r>
            <w:r>
              <w:rPr>
                <w:b/>
                <w:bCs/>
                <w:color w:val="548235"/>
                <w:sz w:val="16"/>
                <w:szCs w:val="16"/>
              </w:rPr>
              <w:t xml:space="preserve">FACT</w:t>
            </w:r>
          </w:p>
        </w:tc>
      </w:tr>
      <w:tr>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Ramps</w:t>
            </w:r>
          </w:p>
        </w:tc>
        <w:tc>
          <w:tcPr>
            <w:tcW w:type="dxa" w:w="45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External / localized speed ramps, independently demolishable</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sz w:val="18"/>
                <w:szCs w:val="18"/>
              </w:rPr>
              <w:t xml:space="preserve">WGI design params </w:t>
            </w:r>
            <w:r>
              <w:rPr>
                <w:b/>
                <w:bCs/>
                <w:color w:val="548235"/>
                <w:sz w:val="16"/>
                <w:szCs w:val="16"/>
              </w:rPr>
              <w:t xml:space="preserve">FACT</w:t>
            </w:r>
          </w:p>
        </w:tc>
      </w:tr>
      <w:tr>
        <w:tc>
          <w:tcPr>
            <w:tcW w:type="dxa" w:w="30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Grid</w:t>
            </w:r>
          </w:p>
        </w:tc>
        <w:tc>
          <w:tcPr>
            <w:tcW w:type="dxa" w:w="45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Universal grid sized for both parking bays and clinical layouts</w:t>
            </w:r>
          </w:p>
        </w:tc>
        <w:tc>
          <w:tcPr>
            <w:tcW w:type="dxa" w:w="18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sz w:val="18"/>
                <w:szCs w:val="18"/>
              </w:rPr>
              <w:t xml:space="preserve">Lavin Pavilion </w:t>
            </w:r>
            <w:r>
              <w:rPr>
                <w:b/>
                <w:bCs/>
                <w:color w:val="548235"/>
                <w:sz w:val="16"/>
                <w:szCs w:val="16"/>
              </w:rPr>
              <w:t xml:space="preserve">FACT</w:t>
            </w:r>
          </w:p>
        </w:tc>
      </w:tr>
      <w:tr>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Floor-to-floor</w:t>
            </w:r>
          </w:p>
        </w:tc>
        <w:tc>
          <w:tcPr>
            <w:tcW w:type="dxa" w:w="45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12 ft minimum on convertible levels (HVAC/ceiling adaptability)</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sz w:val="18"/>
                <w:szCs w:val="18"/>
              </w:rPr>
              <w:t xml:space="preserve">ULI Adaptable Garage </w:t>
            </w:r>
            <w:r>
              <w:rPr>
                <w:b/>
                <w:bCs/>
                <w:color w:val="548235"/>
                <w:sz w:val="16"/>
                <w:szCs w:val="16"/>
              </w:rPr>
              <w:t xml:space="preserve">FACT</w:t>
            </w:r>
          </w:p>
        </w:tc>
      </w:tr>
      <w:tr>
        <w:tc>
          <w:tcPr>
            <w:tcW w:type="dxa" w:w="30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Design live load</w:t>
            </w:r>
          </w:p>
        </w:tc>
        <w:tc>
          <w:tcPr>
            <w:tcW w:type="dxa" w:w="45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50–100 psf on convertible levels (vs. 40 psf typical parking) — target 100 psf where conversion is intended</w:t>
            </w:r>
          </w:p>
        </w:tc>
        <w:tc>
          <w:tcPr>
            <w:tcW w:type="dxa" w:w="18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sz w:val="18"/>
                <w:szCs w:val="18"/>
              </w:rPr>
              <w:t xml:space="preserve">FlexPark/WGI </w:t>
            </w:r>
            <w:r>
              <w:rPr>
                <w:b/>
                <w:bCs/>
                <w:color w:val="548235"/>
                <w:sz w:val="16"/>
                <w:szCs w:val="16"/>
              </w:rPr>
              <w:t xml:space="preserve">FACT</w:t>
            </w:r>
          </w:p>
        </w:tc>
      </w:tr>
      <w:tr>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Utility chases</w:t>
            </w:r>
          </w:p>
        </w:tc>
        <w:tc>
          <w:tcPr>
            <w:tcW w:type="dxa" w:w="45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Oversized vertical chases for future medical equipment retrofit</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sz w:val="18"/>
                <w:szCs w:val="18"/>
              </w:rPr>
              <w:t xml:space="preserve">CannonDesign std </w:t>
            </w:r>
            <w:r>
              <w:rPr>
                <w:b/>
                <w:bCs/>
                <w:color w:val="548235"/>
                <w:sz w:val="16"/>
                <w:szCs w:val="16"/>
              </w:rPr>
              <w:t xml:space="preserve">FACT</w:t>
            </w:r>
          </w:p>
        </w:tc>
      </w:tr>
      <w:tr>
        <w:tc>
          <w:tcPr>
            <w:tcW w:type="dxa" w:w="30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Roof</w:t>
            </w:r>
          </w:p>
        </w:tc>
        <w:tc>
          <w:tcPr>
            <w:tcW w:type="dxa" w:w="45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Capacity for PV, mechanical, and future equipment</w:t>
            </w:r>
          </w:p>
        </w:tc>
        <w:tc>
          <w:tcPr>
            <w:tcW w:type="dxa" w:w="18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sz w:val="18"/>
                <w:szCs w:val="18"/>
              </w:rPr>
              <w:t xml:space="preserve">Constitution P8 </w:t>
            </w:r>
            <w:r>
              <w:rPr>
                <w:b/>
                <w:bCs/>
                <w:color w:val="595959"/>
                <w:sz w:val="16"/>
                <w:szCs w:val="16"/>
              </w:rPr>
              <w:t xml:space="preserve">JUDGMENT</w:t>
            </w:r>
          </w:p>
        </w:tc>
      </w:tr>
      <w:tr>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Foundations</w:t>
            </w:r>
          </w:p>
        </w:tc>
        <w:tc>
          <w:tcPr>
            <w:tcW w:type="dxa" w:w="45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Confirm via geotechnical; note SoLé Mia used deep soil compaction on difficult ground</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sz w:val="18"/>
                <w:szCs w:val="18"/>
              </w:rPr>
              <w:t xml:space="preserve">Benchmark </w:t>
            </w:r>
            <w:r>
              <w:rPr>
                <w:b/>
                <w:bCs/>
                <w:color w:val="BF8F00"/>
                <w:sz w:val="16"/>
                <w:szCs w:val="16"/>
              </w:rPr>
              <w:t xml:space="preserve">ASSUMPTION</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F0F8" w:sz="1"/>
              <w:left w:val="single" w:color="2E5496" w:sz="24"/>
              <w:bottom w:val="single" w:color="EAF0F8" w:sz="1"/>
              <w:right w:val="single" w:color="EAF0F8" w:sz="1"/>
            </w:tcBorders>
            <w:shd w:fill="EAF0F8" w:val="clear"/>
            <w:tcMar>
              <w:top w:type="dxa" w:w="120"/>
              <w:left w:type="dxa" w:w="200"/>
              <w:bottom w:type="dxa" w:w="120"/>
              <w:right w:type="dxa" w:w="160"/>
            </w:tcMar>
          </w:tcPr>
          <w:p>
            <w:pPr>
              <w:spacing w:after="60"/>
            </w:pPr>
            <w:r>
              <w:rPr>
                <w:b/>
                <w:bCs/>
                <w:color w:val="1F3864"/>
                <w:sz w:val="19"/>
                <w:szCs w:val="19"/>
              </w:rPr>
              <w:t xml:space="preserve">Cost-of-convertibility — stated plainly</w:t>
            </w:r>
          </w:p>
          <w:p>
            <w:pPr>
              <w:spacing w:after="40" w:line="252"/>
            </w:pPr>
            <w:r>
              <w:t xml:space="preserve">Designing for future conversion adds an initial premium of roughly </w:t>
            </w:r>
            <w:r>
              <w:rPr>
                <w:b/>
                <w:bCs/>
              </w:rPr>
              <w:t xml:space="preserve">10–15% </w:t>
            </w:r>
            <w:r>
              <w:t xml:space="preserve">(up to ~32% for full convertibility features), per the feasibility benchmarks. </w:t>
            </w:r>
            <w:r>
              <w:rPr>
                <w:b/>
                <w:bCs/>
                <w:color w:val="548235"/>
              </w:rPr>
              <w:t xml:space="preserve">FACT</w:t>
            </w:r>
            <w:r>
              <w:t xml:space="preserve">.</w:t>
            </w:r>
          </w:p>
          <w:p>
            <w:pPr>
              <w:spacing w:after="40" w:line="252"/>
            </w:pPr>
            <w:r>
              <w:t xml:space="preserve">The Owner’s Representative recommends accepting the </w:t>
            </w:r>
            <w:r>
              <w:rPr>
                <w:b/>
                <w:bCs/>
              </w:rPr>
              <w:t xml:space="preserve">lower-to-mid premium</w:t>
            </w:r>
            <w:r>
              <w:t xml:space="preserve"> (flat plates, external ramps, 12 ft heights, selective 100 psf bays) rather than full convertibility everywhere — capturing most optionality value while limiting cost. </w:t>
            </w:r>
            <w:r>
              <w:rPr>
                <w:b/>
                <w:bCs/>
                <w:color w:val="595959"/>
              </w:rPr>
              <w:t xml:space="preserve">JUDGMENT</w:t>
            </w:r>
            <w:r>
              <w:t xml:space="preserve">. Final premium to be priced by the GC and tested in the model.</w:t>
            </w:r>
          </w:p>
        </w:tc>
      </w:tr>
    </w:tbl>
    <w:p>
      <w:pPr>
        <w:spacing w:after="80"/>
      </w:pPr>
    </w:p>
    <w:p>
      <w:pPr>
        <w:pStyle w:val="Heading2"/>
      </w:pPr>
      <w:r>
        <w:t xml:space="preserve">5.2 Construction Methodology &amp; Sequencing</w:t>
      </w:r>
    </w:p>
    <w:p>
      <w:pPr>
        <w:pStyle w:val="ListParagraph"/>
        <w:numPr>
          <w:ilvl w:val="0"/>
          <w:numId w:val="2"/>
        </w:numPr>
        <w:spacing w:after="50" w:line="260"/>
      </w:pPr>
      <w:r>
        <w:rPr>
          <w:b/>
          <w:bCs/>
        </w:rPr>
        <w:t xml:space="preserve">Just-in-time delivery. </w:t>
      </w:r>
      <w:r>
        <w:t xml:space="preserve">The 0.88-acre site has </w:t>
      </w:r>
      <w:r>
        <w:rPr>
          <w:b/>
          <w:bCs/>
        </w:rPr>
        <w:t xml:space="preserve">no laydown yard</w:t>
      </w:r>
      <w:r>
        <w:t xml:space="preserve">; precast/steel/CIP members must arrive on a just-in-time schedule with meticulous staging.</w:t>
      </w:r>
    </w:p>
    <w:p>
      <w:pPr>
        <w:pStyle w:val="ListParagraph"/>
        <w:numPr>
          <w:ilvl w:val="0"/>
          <w:numId w:val="2"/>
        </w:numPr>
        <w:spacing w:after="50" w:line="260"/>
      </w:pPr>
      <w:r>
        <w:rPr>
          <w:b/>
          <w:bCs/>
        </w:rPr>
        <w:t xml:space="preserve">Hold-points &amp; third-party inspection. </w:t>
      </w:r>
      <w:r>
        <w:t xml:space="preserve">Mandate hold-points where the Structural Engineer of Record signs off on every grouted column base and welded connection before subsequent loads are applied; require independent special inspections. This is a direct response to the CHOP garage-collapse failure case.</w:t>
      </w:r>
    </w:p>
    <w:p>
      <w:pPr>
        <w:pStyle w:val="ListParagraph"/>
        <w:numPr>
          <w:ilvl w:val="0"/>
          <w:numId w:val="2"/>
        </w:numPr>
        <w:spacing w:after="50" w:line="260"/>
      </w:pPr>
      <w:r>
        <w:rPr>
          <w:b/>
          <w:bCs/>
        </w:rPr>
        <w:t xml:space="preserve">Mass timber — evaluate, don’t assume. </w:t>
      </w:r>
      <w:r>
        <w:t xml:space="preserve">CLT/glulam can cut embodied carbon ~50% and aids disassembly, but carries a ~14–19% premium and a 6-story code ceiling for parking. Treat as an </w:t>
      </w:r>
      <w:r>
        <w:rPr>
          <w:i/>
          <w:iCs/>
        </w:rPr>
        <w:t xml:space="preserve">alternate</w:t>
      </w:r>
      <w:r>
        <w:t xml:space="preserve"> for upper floors only, subject to flood/durability review. </w:t>
      </w:r>
      <w:r>
        <w:rPr>
          <w:b/>
          <w:bCs/>
          <w:color w:val="595959"/>
        </w:rPr>
        <w:t xml:space="preserve">JUDGMENT</w:t>
      </w:r>
      <w:r>
        <w:t xml:space="preserve">.</w:t>
      </w:r>
    </w:p>
    <w:p>
      <w:pPr>
        <w:spacing w:after="60"/>
      </w:pPr>
    </w:p>
    <w:p>
      <w:pPr>
        <w:pBdr>
          <w:top w:val="single" w:color="2E5496" w:sz="6" w:space="4"/>
        </w:pBdr>
        <w:spacing w:after="80" w:before="80"/>
      </w:pPr>
      <w:r>
        <w:rPr>
          <w:b/>
          <w:bCs/>
          <w:color w:val="2E5496"/>
          <w:sz w:val="20"/>
          <w:szCs w:val="20"/>
        </w:rPr>
        <w:t xml:space="preserve">Chapter Close-Out</w:t>
      </w:r>
    </w:p>
    <w:p>
      <w:pPr>
        <w:spacing w:after="30" w:before="60"/>
      </w:pPr>
      <w:r>
        <w:rPr>
          <w:b/>
          <w:bCs/>
          <w:color w:val="1F3864"/>
          <w:sz w:val="18"/>
          <w:szCs w:val="18"/>
        </w:rPr>
        <w:t xml:space="preserve">Key Decisions</w:t>
      </w:r>
    </w:p>
    <w:p>
      <w:pPr>
        <w:pStyle w:val="ListParagraph"/>
        <w:numPr>
          <w:ilvl w:val="0"/>
          <w:numId w:val="2"/>
        </w:numPr>
        <w:spacing w:after="20" w:line="250"/>
      </w:pPr>
      <w:r>
        <w:rPr>
          <w:sz w:val="18"/>
          <w:szCs w:val="18"/>
        </w:rPr>
        <w:t xml:space="preserve">Adopt cast-in-place flat-plate convertible podium with external removable ramps, 12 ft floor-to-floor, universal grid, and selective 100 psf design loads (executes Decision-002).</w:t>
      </w:r>
    </w:p>
    <w:p>
      <w:pPr>
        <w:pStyle w:val="ListParagraph"/>
        <w:numPr>
          <w:ilvl w:val="0"/>
          <w:numId w:val="2"/>
        </w:numPr>
        <w:spacing w:after="20" w:line="250"/>
      </w:pPr>
      <w:r>
        <w:rPr>
          <w:sz w:val="18"/>
          <w:szCs w:val="18"/>
        </w:rPr>
        <w:t xml:space="preserve">Mandate SEOR hold-points and third-party special inspections.</w:t>
      </w:r>
    </w:p>
    <w:p>
      <w:pPr>
        <w:spacing w:after="30" w:before="60"/>
      </w:pPr>
      <w:r>
        <w:rPr>
          <w:b/>
          <w:bCs/>
          <w:color w:val="548235"/>
          <w:sz w:val="18"/>
          <w:szCs w:val="18"/>
        </w:rPr>
        <w:t xml:space="preserve">Supporting Evidence</w:t>
      </w:r>
    </w:p>
    <w:p>
      <w:pPr>
        <w:pStyle w:val="ListParagraph"/>
        <w:numPr>
          <w:ilvl w:val="0"/>
          <w:numId w:val="2"/>
        </w:numPr>
        <w:spacing w:after="20" w:line="250"/>
      </w:pPr>
      <w:r>
        <w:rPr>
          <w:sz w:val="18"/>
          <w:szCs w:val="18"/>
        </w:rPr>
        <w:t xml:space="preserve">Decision-002; 9th Avenue Parkade; FlexPark/WGI; ULI Adaptable Garage Standards; Lavin Pavilion; CHOP failure case.</w:t>
      </w:r>
    </w:p>
    <w:p>
      <w:pPr>
        <w:spacing w:after="30" w:before="60"/>
      </w:pPr>
      <w:r>
        <w:rPr>
          <w:b/>
          <w:bCs/>
          <w:color w:val="BF8F00"/>
          <w:sz w:val="18"/>
          <w:szCs w:val="18"/>
        </w:rPr>
        <w:t xml:space="preserve">Remaining Unknowns</w:t>
      </w:r>
    </w:p>
    <w:p>
      <w:pPr>
        <w:pStyle w:val="ListParagraph"/>
        <w:numPr>
          <w:ilvl w:val="0"/>
          <w:numId w:val="2"/>
        </w:numPr>
        <w:spacing w:after="20" w:line="250"/>
      </w:pPr>
      <w:r>
        <w:rPr>
          <w:sz w:val="18"/>
          <w:szCs w:val="18"/>
        </w:rPr>
        <w:t xml:space="preserve">Geotechnical foundation design; final convertibility premium; whether mass timber clears flood/durability review.</w:t>
      </w:r>
    </w:p>
    <w:p>
      <w:pPr>
        <w:spacing w:after="30" w:before="60"/>
      </w:pPr>
      <w:r>
        <w:rPr>
          <w:b/>
          <w:bCs/>
          <w:color w:val="2E5496"/>
          <w:sz w:val="18"/>
          <w:szCs w:val="18"/>
        </w:rPr>
        <w:t xml:space="preserve">Recommended Next Actions</w:t>
      </w:r>
    </w:p>
    <w:p>
      <w:pPr>
        <w:pStyle w:val="ListParagraph"/>
        <w:numPr>
          <w:ilvl w:val="0"/>
          <w:numId w:val="2"/>
        </w:numPr>
        <w:spacing w:after="20" w:line="250"/>
      </w:pPr>
      <w:r>
        <w:rPr>
          <w:sz w:val="18"/>
          <w:szCs w:val="18"/>
        </w:rPr>
        <w:t xml:space="preserve">Engage structural engineer to set the grid and price the convertibility premium; complete geotechnical program.</w:t>
      </w:r>
    </w:p>
    <w:p>
      <w:r>
        <w:br w:type="page"/>
      </w:r>
    </w:p>
    <w:p>
      <w:pPr>
        <w:pStyle w:val="Heading1"/>
      </w:pPr>
      <w:r>
        <w:t xml:space="preserve">6. Site Planning Principles</w:t>
      </w:r>
    </w:p>
    <w:p>
      <w:pPr>
        <w:spacing w:after="120" w:line="264"/>
      </w:pPr>
      <w:r>
        <w:t xml:space="preserve">Guiding principles for circulation and the public realm on a tight corner parcel with a 0 ft build-to line and protected northern views toward Hardy Park.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360"/>
        <w:gridCol w:w="1800"/>
      </w:tblGrid>
      <w:tr>
        <w:trPr>
          <w:tblHeader/>
        </w:trPr>
        <w:tc>
          <w:tcPr>
            <w:tcW w:type="dxa" w:w="22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line="240"/>
              <w:jc w:val="left"/>
            </w:pPr>
            <w:r>
              <w:rPr>
                <w:b/>
                <w:bCs/>
                <w:color w:val="FFFFFF"/>
                <w:sz w:val="18"/>
                <w:szCs w:val="18"/>
              </w:rPr>
              <w:t xml:space="preserve">Element</w:t>
            </w:r>
          </w:p>
        </w:tc>
        <w:tc>
          <w:tcPr>
            <w:tcW w:type="dxa" w:w="53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line="240"/>
              <w:jc w:val="left"/>
            </w:pPr>
            <w:r>
              <w:rPr>
                <w:b/>
                <w:bCs/>
                <w:color w:val="FFFFFF"/>
                <w:sz w:val="18"/>
                <w:szCs w:val="18"/>
              </w:rPr>
              <w:t xml:space="preserve">Guiding principle</w:t>
            </w:r>
          </w:p>
        </w:tc>
        <w:tc>
          <w:tcPr>
            <w:tcW w:type="dxa" w:w="18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line="240"/>
              <w:jc w:val="left"/>
            </w:pPr>
            <w:r>
              <w:rPr>
                <w:b/>
                <w:bCs/>
                <w:color w:val="FFFFFF"/>
                <w:sz w:val="18"/>
                <w:szCs w:val="18"/>
              </w:rPr>
              <w:t xml:space="preserve">Rationale &amp; Tag</w:t>
            </w:r>
          </w:p>
        </w:tc>
      </w:tr>
      <w:tr>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Ingress / egress</w:t>
            </w:r>
          </w:p>
        </w:tc>
        <w:tc>
          <w:tcPr>
            <w:tcW w:type="dxa" w:w="53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Primary vehicular access from the secondary street (SW 9th) to keep the Andrews Ave frontage pedestrian-active</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Activated streetscape goal — </w:t>
            </w:r>
          </w:p>
        </w:tc>
      </w:tr>
      <w:tr>
        <w:tc>
          <w:tcPr>
            <w:tcW w:type="dxa" w:w="22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Pedestrian circulation</w:t>
            </w:r>
          </w:p>
        </w:tc>
        <w:tc>
          <w:tcPr>
            <w:tcW w:type="dxa" w:w="53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Continuous, weather-protected path from drop-off to ground-floor care; separate from vehicle paths</w:t>
            </w:r>
          </w:p>
        </w:tc>
        <w:tc>
          <w:tcPr>
            <w:tcW w:type="dxa" w:w="18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Patient experience; Lennar bridge precedent</w:t>
            </w:r>
          </w:p>
        </w:tc>
      </w:tr>
      <w:tr>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Ride-share / drop-off</w:t>
            </w:r>
          </w:p>
        </w:tc>
        <w:tc>
          <w:tcPr>
            <w:tcW w:type="dxa" w:w="53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Dedicated ride-share and patient drop-off zone, sized for shifting transit preferences</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Market Study (mobility shift); FlexPark AV</w:t>
            </w:r>
          </w:p>
        </w:tc>
      </w:tr>
      <w:tr>
        <w:tc>
          <w:tcPr>
            <w:tcW w:type="dxa" w:w="22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Loading / service</w:t>
            </w:r>
          </w:p>
        </w:tc>
        <w:tc>
          <w:tcPr>
            <w:tcW w:type="dxa" w:w="53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Rear/secondary-edge loading, screened from the primary frontage</w:t>
            </w:r>
          </w:p>
        </w:tc>
        <w:tc>
          <w:tcPr>
            <w:tcW w:type="dxa" w:w="18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Operational separation</w:t>
            </w:r>
          </w:p>
        </w:tc>
      </w:tr>
      <w:tr>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Emergency access</w:t>
            </w:r>
          </w:p>
        </w:tc>
        <w:tc>
          <w:tcPr>
            <w:tcW w:type="dxa" w:w="53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Maintain fire-apparatus access and clear emergency routing per code; coordinate with City</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Life-safety — confirm at DRC</w:t>
            </w:r>
          </w:p>
        </w:tc>
      </w:tr>
      <w:tr>
        <w:tc>
          <w:tcPr>
            <w:tcW w:type="dxa" w:w="22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Landscape</w:t>
            </w:r>
          </w:p>
        </w:tc>
        <w:tc>
          <w:tcPr>
            <w:tcW w:type="dxa" w:w="53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Streetscape landscaping that meets City standards and supports stormwater goals</w:t>
            </w:r>
          </w:p>
        </w:tc>
        <w:tc>
          <w:tcPr>
            <w:tcW w:type="dxa" w:w="18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Currently minimal on site (Appraisal)</w:t>
            </w:r>
          </w:p>
        </w:tc>
      </w:tr>
      <w:tr>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Street activation</w:t>
            </w:r>
          </w:p>
        </w:tc>
        <w:tc>
          <w:tcPr>
            <w:tcW w:type="dxa" w:w="53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Medtail and transparent frontage at the build-to line on Andrews Ave</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ULDR 0 ft setback; medtail demand</w:t>
            </w:r>
          </w:p>
        </w:tc>
      </w:tr>
      <w:tr>
        <w:tc>
          <w:tcPr>
            <w:tcW w:type="dxa" w:w="22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Wayfinding</w:t>
            </w:r>
          </w:p>
        </w:tc>
        <w:tc>
          <w:tcPr>
            <w:tcW w:type="dxa" w:w="53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Clear signage hierarchy for parking entry, drop-off, clinical lobby, and retail</w:t>
            </w:r>
          </w:p>
        </w:tc>
        <w:tc>
          <w:tcPr>
            <w:tcW w:type="dxa" w:w="18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Operational clarity</w:t>
            </w:r>
          </w:p>
        </w:tc>
      </w:tr>
      <w:tr>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Visibility</w:t>
            </w:r>
          </w:p>
        </w:tc>
        <w:tc>
          <w:tcPr>
            <w:tcW w:type="dxa" w:w="53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Leverage corner prominence and protected north views for identity</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Site Intel (Hardy Park views)</w:t>
            </w:r>
          </w:p>
        </w:tc>
      </w:tr>
      <w:tr>
        <w:tc>
          <w:tcPr>
            <w:tcW w:type="dxa" w:w="22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Public space</w:t>
            </w:r>
          </w:p>
        </w:tc>
        <w:tc>
          <w:tcPr>
            <w:tcW w:type="dxa" w:w="53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A modest plaza / pedestrian zone aligns with City mobility-hub and public-realm goals</w:t>
            </w:r>
          </w:p>
        </w:tc>
        <w:tc>
          <w:tcPr>
            <w:tcW w:type="dxa" w:w="18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MPO mobility-hub alignment</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8E1" w:sz="1"/>
              <w:left w:val="single" w:color="BF8F00" w:sz="24"/>
              <w:bottom w:val="single" w:color="FFF8E1" w:sz="1"/>
              <w:right w:val="single" w:color="FFF8E1" w:sz="1"/>
            </w:tcBorders>
            <w:shd w:fill="FFF8E1" w:val="clear"/>
            <w:tcMar>
              <w:top w:type="dxa" w:w="120"/>
              <w:left w:type="dxa" w:w="200"/>
              <w:bottom w:type="dxa" w:w="120"/>
              <w:right w:type="dxa" w:w="160"/>
            </w:tcMar>
          </w:tcPr>
          <w:p>
            <w:pPr>
              <w:spacing w:after="40" w:line="252"/>
            </w:pPr>
            <w:r>
              <w:rPr>
                <w:b/>
                <w:bCs/>
              </w:rPr>
              <w:t xml:space="preserve">Validation: </w:t>
            </w:r>
            <w:r>
              <w:t xml:space="preserve">Ingress/egress geometry, queuing, and trip generation must be confirmed by a traffic study and City Development Review; the principles above are design intent, not approvals. (OQ-05)</w:t>
            </w:r>
          </w:p>
        </w:tc>
      </w:tr>
    </w:tbl>
    <w:p>
      <w:pPr>
        <w:spacing w:after="60"/>
      </w:pPr>
    </w:p>
    <w:p>
      <w:pPr>
        <w:pBdr>
          <w:top w:val="single" w:color="2E5496" w:sz="6" w:space="4"/>
        </w:pBdr>
        <w:spacing w:after="80" w:before="80"/>
      </w:pPr>
      <w:r>
        <w:rPr>
          <w:b/>
          <w:bCs/>
          <w:color w:val="2E5496"/>
          <w:sz w:val="20"/>
          <w:szCs w:val="20"/>
        </w:rPr>
        <w:t xml:space="preserve">Chapter Close-Out</w:t>
      </w:r>
    </w:p>
    <w:p>
      <w:pPr>
        <w:spacing w:after="30" w:before="60"/>
      </w:pPr>
      <w:r>
        <w:rPr>
          <w:b/>
          <w:bCs/>
          <w:color w:val="1F3864"/>
          <w:sz w:val="18"/>
          <w:szCs w:val="18"/>
        </w:rPr>
        <w:t xml:space="preserve">Key Decisions</w:t>
      </w:r>
    </w:p>
    <w:p>
      <w:pPr>
        <w:pStyle w:val="ListParagraph"/>
        <w:numPr>
          <w:ilvl w:val="0"/>
          <w:numId w:val="2"/>
        </w:numPr>
        <w:spacing w:after="20" w:line="250"/>
      </w:pPr>
      <w:r>
        <w:rPr>
          <w:sz w:val="18"/>
          <w:szCs w:val="18"/>
        </w:rPr>
        <w:t xml:space="preserve">Push vehicles/service to the secondary and rear edges; reserve the Andrews Ave frontage for active medtail and pedestrians.</w:t>
      </w:r>
    </w:p>
    <w:p>
      <w:pPr>
        <w:pStyle w:val="ListParagraph"/>
        <w:numPr>
          <w:ilvl w:val="0"/>
          <w:numId w:val="2"/>
        </w:numPr>
        <w:spacing w:after="20" w:line="250"/>
      </w:pPr>
      <w:r>
        <w:rPr>
          <w:sz w:val="18"/>
          <w:szCs w:val="18"/>
        </w:rPr>
        <w:t xml:space="preserve">Provide a dedicated ride-share/drop-off zone and a modest public plaza.</w:t>
      </w:r>
    </w:p>
    <w:p>
      <w:pPr>
        <w:spacing w:after="30" w:before="60"/>
      </w:pPr>
      <w:r>
        <w:rPr>
          <w:b/>
          <w:bCs/>
          <w:color w:val="548235"/>
          <w:sz w:val="18"/>
          <w:szCs w:val="18"/>
        </w:rPr>
        <w:t xml:space="preserve">Supporting Evidence</w:t>
      </w:r>
    </w:p>
    <w:p>
      <w:pPr>
        <w:pStyle w:val="ListParagraph"/>
        <w:numPr>
          <w:ilvl w:val="0"/>
          <w:numId w:val="2"/>
        </w:numPr>
        <w:spacing w:after="20" w:line="250"/>
      </w:pPr>
      <w:r>
        <w:rPr>
          <w:sz w:val="18"/>
          <w:szCs w:val="18"/>
        </w:rPr>
        <w:t xml:space="preserve">Site Intelligence (ULDR build-to, views, mobility-hub funding); Benchmark Study (Lennar bridge; ride-share zones).</w:t>
      </w:r>
    </w:p>
    <w:p>
      <w:pPr>
        <w:spacing w:after="30" w:before="60"/>
      </w:pPr>
      <w:r>
        <w:rPr>
          <w:b/>
          <w:bCs/>
          <w:color w:val="BF8F00"/>
          <w:sz w:val="18"/>
          <w:szCs w:val="18"/>
        </w:rPr>
        <w:t xml:space="preserve">Remaining Unknowns</w:t>
      </w:r>
    </w:p>
    <w:p>
      <w:pPr>
        <w:pStyle w:val="ListParagraph"/>
        <w:numPr>
          <w:ilvl w:val="0"/>
          <w:numId w:val="2"/>
        </w:numPr>
        <w:spacing w:after="20" w:line="250"/>
      </w:pPr>
      <w:r>
        <w:rPr>
          <w:sz w:val="18"/>
          <w:szCs w:val="18"/>
        </w:rPr>
        <w:t xml:space="preserve">Traffic study results; emergency-access routing; final curb-cut locations subject to City approval.</w:t>
      </w:r>
    </w:p>
    <w:p>
      <w:pPr>
        <w:spacing w:after="30" w:before="60"/>
      </w:pPr>
      <w:r>
        <w:rPr>
          <w:b/>
          <w:bCs/>
          <w:color w:val="2E5496"/>
          <w:sz w:val="18"/>
          <w:szCs w:val="18"/>
        </w:rPr>
        <w:t xml:space="preserve">Recommended Next Actions</w:t>
      </w:r>
    </w:p>
    <w:p>
      <w:pPr>
        <w:pStyle w:val="ListParagraph"/>
        <w:numPr>
          <w:ilvl w:val="0"/>
          <w:numId w:val="2"/>
        </w:numPr>
        <w:spacing w:after="20" w:line="250"/>
      </w:pPr>
      <w:r>
        <w:rPr>
          <w:sz w:val="18"/>
          <w:szCs w:val="18"/>
        </w:rPr>
        <w:t xml:space="preserve">Commission the traffic study early; pre-coordinate curb cuts and access with City Engineering.</w:t>
      </w:r>
    </w:p>
    <w:p>
      <w:r>
        <w:br w:type="page"/>
      </w:r>
    </w:p>
    <w:p>
      <w:pPr>
        <w:pStyle w:val="Heading1"/>
      </w:pPr>
      <w:r>
        <w:t xml:space="preserve">7. Tenant &amp; Healthcare Partnership Strategy</w:t>
      </w:r>
    </w:p>
    <w:p>
      <w:pPr>
        <w:spacing w:after="120" w:line="264"/>
      </w:pPr>
      <w:r>
        <w:t xml:space="preserve">The leasing strategy deliberately </w:t>
      </w:r>
      <w:r>
        <w:rPr>
          <w:b/>
          <w:bCs/>
        </w:rPr>
        <w:t xml:space="preserve">avoids competing head-to-head with Broward Health’s new 188,000 SF MOB</w:t>
      </w:r>
      <w:r>
        <w:t xml:space="preserve"> for large physician groups. Instead it captures the demand that hospital cannot serve: independent practitioners, medtail, and surplus parking.</w:t>
      </w:r>
    </w:p>
    <w:p>
      <w:pPr>
        <w:pStyle w:val="Heading2"/>
      </w:pPr>
      <w:r>
        <w:t xml:space="preserve">7.1 Recommended Tenant Mix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60"/>
        <w:gridCol w:w="2600"/>
      </w:tblGrid>
      <w:tr>
        <w:trPr>
          <w:tblHeader/>
        </w:trPr>
        <w:tc>
          <w:tcPr>
            <w:tcW w:type="dxa" w:w="24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line="240"/>
              <w:jc w:val="left"/>
            </w:pPr>
            <w:r>
              <w:rPr>
                <w:b/>
                <w:bCs/>
                <w:color w:val="FFFFFF"/>
                <w:sz w:val="18"/>
                <w:szCs w:val="18"/>
              </w:rPr>
              <w:t xml:space="preserve">Tenant / use</w:t>
            </w:r>
          </w:p>
        </w:tc>
        <w:tc>
          <w:tcPr>
            <w:tcW w:type="dxa" w:w="43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line="240"/>
              <w:jc w:val="left"/>
            </w:pPr>
            <w:r>
              <w:rPr>
                <w:b/>
                <w:bCs/>
                <w:color w:val="FFFFFF"/>
                <w:sz w:val="18"/>
                <w:szCs w:val="18"/>
              </w:rPr>
              <w:t xml:space="preserve">Role in the asset</w:t>
            </w:r>
          </w:p>
        </w:tc>
        <w:tc>
          <w:tcPr>
            <w:tcW w:type="dxa" w:w="26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line="240"/>
              <w:jc w:val="left"/>
            </w:pPr>
            <w:r>
              <w:rPr>
                <w:b/>
                <w:bCs/>
                <w:color w:val="FFFFFF"/>
                <w:sz w:val="18"/>
                <w:szCs w:val="18"/>
              </w:rPr>
              <w:t xml:space="preserve">Why it reinforces the thesis</w:t>
            </w:r>
          </w:p>
        </w:tc>
      </w:tr>
      <w:tr>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Medical co-working operator (anchor)</w:t>
            </w:r>
          </w:p>
        </w:tc>
        <w:tc>
          <w:tcPr>
            <w:tcW w:type="dxa" w:w="43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Master-leases upper floors; subleases turnkey HIPAA-compliant suites</w:t>
            </w:r>
          </w:p>
        </w:tc>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Captures displaced independents; single credit relationship; hedges telehealth footprint risk</w:t>
            </w:r>
          </w:p>
        </w:tc>
      </w:tr>
      <w:tr>
        <w:tc>
          <w:tcPr>
            <w:tcW w:type="dxa" w:w="24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Flexible outpatient suites</w:t>
            </w:r>
          </w:p>
        </w:tc>
        <w:tc>
          <w:tcPr>
            <w:tcW w:type="dxa" w:w="43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Smaller, sound-proofed consultation rooms vs. large exam layouts</w:t>
            </w:r>
          </w:p>
        </w:tc>
        <w:tc>
          <w:tcPr>
            <w:tcW w:type="dxa" w:w="26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Adapts to telehealth; decoupled from inpatient code (Hoag)</w:t>
            </w:r>
          </w:p>
        </w:tc>
      </w:tr>
      <w:tr>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Retail pharmacy</w:t>
            </w:r>
          </w:p>
        </w:tc>
        <w:tc>
          <w:tcPr>
            <w:tcW w:type="dxa" w:w="43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Captures post-discharge scripts</w:t>
            </w:r>
          </w:p>
        </w:tc>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High foot traffic; activates frontage</w:t>
            </w:r>
          </w:p>
        </w:tc>
      </w:tr>
      <w:tr>
        <w:tc>
          <w:tcPr>
            <w:tcW w:type="dxa" w:w="24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Urgent care / walk-in</w:t>
            </w:r>
          </w:p>
        </w:tc>
        <w:tc>
          <w:tcPr>
            <w:tcW w:type="dxa" w:w="43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Triage buffer diverting low-acuity from the trauma center</w:t>
            </w:r>
          </w:p>
        </w:tc>
        <w:tc>
          <w:tcPr>
            <w:tcW w:type="dxa" w:w="26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Inelastic demand; community benefit</w:t>
            </w:r>
          </w:p>
        </w:tc>
      </w:tr>
      <w:tr>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Diagnostic / imaging (selective)</w:t>
            </w:r>
          </w:p>
        </w:tc>
        <w:tc>
          <w:tcPr>
            <w:tcW w:type="dxa" w:w="43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Supports outpatient specialties</w:t>
            </w:r>
          </w:p>
        </w:tc>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Requires verified power; confirm FPL capacity first</w:t>
            </w:r>
          </w:p>
        </w:tc>
      </w:tr>
      <w:tr>
        <w:tc>
          <w:tcPr>
            <w:tcW w:type="dxa" w:w="24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Physical therapy / rehab</w:t>
            </w:r>
          </w:p>
        </w:tc>
        <w:tc>
          <w:tcPr>
            <w:tcW w:type="dxa" w:w="43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Step-down demand from hospital consolidation</w:t>
            </w:r>
          </w:p>
        </w:tc>
        <w:tc>
          <w:tcPr>
            <w:tcW w:type="dxa" w:w="26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Aligns with spillover thesis</w:t>
            </w:r>
          </w:p>
        </w:tc>
      </w:tr>
      <w:tr>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DME / medical supply</w:t>
            </w:r>
          </w:p>
        </w:tc>
        <w:tc>
          <w:tcPr>
            <w:tcW w:type="dxa" w:w="43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Captures immediate post-discharge flow</w:t>
            </w:r>
          </w:p>
        </w:tc>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Synergistic medtail</w:t>
            </w:r>
          </w:p>
        </w:tc>
      </w:tr>
      <w:tr>
        <w:tc>
          <w:tcPr>
            <w:tcW w:type="dxa" w:w="24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Wellness / medspa (IV, sports med)</w:t>
            </w:r>
          </w:p>
        </w:tc>
        <w:tc>
          <w:tcPr>
            <w:tcW w:type="dxa" w:w="43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Targets the affluent 33316 demographic ($180k+ HHI)</w:t>
            </w:r>
          </w:p>
        </w:tc>
        <w:tc>
          <w:tcPr>
            <w:tcW w:type="dxa" w:w="26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High-margin; daytime/evening activation</w:t>
            </w:r>
          </w:p>
        </w:tc>
      </w:tr>
      <w:tr>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Food &amp; beverage</w:t>
            </w:r>
          </w:p>
        </w:tc>
        <w:tc>
          <w:tcPr>
            <w:tcW w:type="dxa" w:w="43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Serves patients, staff, residents</w:t>
            </w:r>
          </w:p>
        </w:tc>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Streetscape activation</w:t>
            </w:r>
          </w:p>
        </w:tc>
      </w:tr>
    </w:tbl>
    <w:p>
      <w:pPr>
        <w:spacing w:after="80"/>
      </w:pPr>
    </w:p>
    <w:p>
      <w:pPr>
        <w:pStyle w:val="Heading2"/>
      </w:pPr>
      <w:r>
        <w:t xml:space="preserve">7.2 Healthcare Partnership Posture</w:t>
      </w:r>
    </w:p>
    <w:p>
      <w:pPr>
        <w:pStyle w:val="ListParagraph"/>
        <w:numPr>
          <w:ilvl w:val="0"/>
          <w:numId w:val="2"/>
        </w:numPr>
        <w:spacing w:after="50" w:line="260"/>
      </w:pPr>
      <w:r>
        <w:rPr>
          <w:b/>
          <w:bCs/>
        </w:rPr>
        <w:t xml:space="preserve">Position as complementary to Broward Health, not competitive. </w:t>
      </w:r>
      <w:r>
        <w:t xml:space="preserve">Market the asset as the place that absorbs the independent and step-down practices the hospital displaces as it consolidates high-acuity and academic functions.</w:t>
      </w:r>
    </w:p>
    <w:p>
      <w:pPr>
        <w:pStyle w:val="ListParagraph"/>
        <w:numPr>
          <w:ilvl w:val="0"/>
          <w:numId w:val="2"/>
        </w:numPr>
        <w:spacing w:after="50" w:line="260"/>
      </w:pPr>
      <w:r>
        <w:rPr>
          <w:b/>
          <w:bCs/>
        </w:rPr>
        <w:t xml:space="preserve">Engage a co-working operator early. </w:t>
      </w:r>
      <w:r>
        <w:t xml:space="preserve">Operators such as Lina have expanded into comparable South Florida medical districts; an early letter of intent de-risks the upper-floor lease-up and strengthens financing.</w:t>
      </w:r>
    </w:p>
    <w:p>
      <w:pPr>
        <w:pStyle w:val="ListParagraph"/>
        <w:numPr>
          <w:ilvl w:val="0"/>
          <w:numId w:val="2"/>
        </w:numPr>
        <w:spacing w:after="50" w:line="260"/>
      </w:pPr>
      <w:r>
        <w:rPr>
          <w:b/>
          <w:bCs/>
        </w:rPr>
        <w:t xml:space="preserve">Keep build-outs flexible. </w:t>
      </w:r>
      <w:r>
        <w:t xml:space="preserve">Favor smaller, reconfigurable suites to hedge against telehealth reducing physical footprint needs over time.</w:t>
      </w:r>
    </w:p>
    <w:p>
      <w:pPr>
        <w:spacing w:after="60"/>
      </w:pPr>
    </w:p>
    <w:p>
      <w:pPr>
        <w:pBdr>
          <w:top w:val="single" w:color="2E5496" w:sz="6" w:space="4"/>
        </w:pBdr>
        <w:spacing w:after="80" w:before="80"/>
      </w:pPr>
      <w:r>
        <w:rPr>
          <w:b/>
          <w:bCs/>
          <w:color w:val="2E5496"/>
          <w:sz w:val="20"/>
          <w:szCs w:val="20"/>
        </w:rPr>
        <w:t xml:space="preserve">Chapter Close-Out</w:t>
      </w:r>
    </w:p>
    <w:p>
      <w:pPr>
        <w:spacing w:after="30" w:before="60"/>
      </w:pPr>
      <w:r>
        <w:rPr>
          <w:b/>
          <w:bCs/>
          <w:color w:val="1F3864"/>
          <w:sz w:val="18"/>
          <w:szCs w:val="18"/>
        </w:rPr>
        <w:t xml:space="preserve">Key Decisions</w:t>
      </w:r>
    </w:p>
    <w:p>
      <w:pPr>
        <w:pStyle w:val="ListParagraph"/>
        <w:numPr>
          <w:ilvl w:val="0"/>
          <w:numId w:val="2"/>
        </w:numPr>
        <w:spacing w:after="20" w:line="250"/>
      </w:pPr>
      <w:r>
        <w:rPr>
          <w:sz w:val="18"/>
          <w:szCs w:val="18"/>
        </w:rPr>
        <w:t xml:space="preserve">Anchor upper floors with a medical co-working master tenant; fill the ground floor with pharmacy, urgent care, DME, and wellness medtail.</w:t>
      </w:r>
    </w:p>
    <w:p>
      <w:pPr>
        <w:pStyle w:val="ListParagraph"/>
        <w:numPr>
          <w:ilvl w:val="0"/>
          <w:numId w:val="2"/>
        </w:numPr>
        <w:spacing w:after="20" w:line="250"/>
      </w:pPr>
      <w:r>
        <w:rPr>
          <w:sz w:val="18"/>
          <w:szCs w:val="18"/>
        </w:rPr>
        <w:t xml:space="preserve">Differentiate from the hospital MOB on flexibility and surplus parking, not shell space.</w:t>
      </w:r>
    </w:p>
    <w:p>
      <w:pPr>
        <w:spacing w:after="30" w:before="60"/>
      </w:pPr>
      <w:r>
        <w:rPr>
          <w:b/>
          <w:bCs/>
          <w:color w:val="548235"/>
          <w:sz w:val="18"/>
          <w:szCs w:val="18"/>
        </w:rPr>
        <w:t xml:space="preserve">Supporting Evidence</w:t>
      </w:r>
    </w:p>
    <w:p>
      <w:pPr>
        <w:pStyle w:val="ListParagraph"/>
        <w:numPr>
          <w:ilvl w:val="0"/>
          <w:numId w:val="2"/>
        </w:numPr>
        <w:spacing w:after="20" w:line="250"/>
      </w:pPr>
      <w:r>
        <w:rPr>
          <w:sz w:val="18"/>
          <w:szCs w:val="18"/>
        </w:rPr>
        <w:t xml:space="preserve">Market Study (co-working shift, medtail segments, demographics, supply glut/vacancy at 10.4%); Benchmark Study (Hoag decoupled outpatient).</w:t>
      </w:r>
    </w:p>
    <w:p>
      <w:pPr>
        <w:spacing w:after="30" w:before="60"/>
      </w:pPr>
      <w:r>
        <w:rPr>
          <w:b/>
          <w:bCs/>
          <w:color w:val="BF8F00"/>
          <w:sz w:val="18"/>
          <w:szCs w:val="18"/>
        </w:rPr>
        <w:t xml:space="preserve">Remaining Unknowns</w:t>
      </w:r>
    </w:p>
    <w:p>
      <w:pPr>
        <w:pStyle w:val="ListParagraph"/>
        <w:numPr>
          <w:ilvl w:val="0"/>
          <w:numId w:val="2"/>
        </w:numPr>
        <w:spacing w:after="20" w:line="250"/>
      </w:pPr>
      <w:r>
        <w:rPr>
          <w:sz w:val="18"/>
          <w:szCs w:val="18"/>
        </w:rPr>
        <w:t xml:space="preserve">Identity and credit of the anchor co-working operator; imaging tenancy contingent on power capacity.</w:t>
      </w:r>
    </w:p>
    <w:p>
      <w:pPr>
        <w:spacing w:after="30" w:before="60"/>
      </w:pPr>
      <w:r>
        <w:rPr>
          <w:b/>
          <w:bCs/>
          <w:color w:val="2E5496"/>
          <w:sz w:val="18"/>
          <w:szCs w:val="18"/>
        </w:rPr>
        <w:t xml:space="preserve">Recommended Next Actions</w:t>
      </w:r>
    </w:p>
    <w:p>
      <w:pPr>
        <w:pStyle w:val="ListParagraph"/>
        <w:numPr>
          <w:ilvl w:val="0"/>
          <w:numId w:val="2"/>
        </w:numPr>
        <w:spacing w:after="20" w:line="250"/>
      </w:pPr>
      <w:r>
        <w:rPr>
          <w:sz w:val="18"/>
          <w:szCs w:val="18"/>
        </w:rPr>
        <w:t xml:space="preserve">Open early LOI discussions with co-working operators; sequence imaging tenants after the FPL capacity study.</w:t>
      </w:r>
    </w:p>
    <w:p>
      <w:r>
        <w:br w:type="page"/>
      </w:r>
    </w:p>
    <w:p>
      <w:pPr>
        <w:pStyle w:val="Heading1"/>
      </w:pPr>
      <w:r>
        <w:t xml:space="preserve">8. Development Phasing</w:t>
      </w:r>
    </w:p>
    <w:p>
      <w:pPr>
        <w:spacing w:after="120" w:line="264"/>
      </w:pPr>
      <w:r>
        <w:t xml:space="preserve">Phasing follows the feasibility study’s sequencing logic: build the cash-flowing, demand-proven infrastructure first; stack higher-margin flexible space once the podium and grid are in place; preserve — but do not prematurely fund — the mobility/technology layer.</w:t>
      </w:r>
    </w:p>
    <w:p>
      <w:pPr>
        <w:pStyle w:val="Heading2"/>
      </w:pPr>
      <w:r>
        <w:t xml:space="preserve">8.1 Phase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930"/>
        <w:gridCol w:w="3930"/>
      </w:tblGrid>
      <w:tr>
        <w:trPr>
          <w:tblHeader/>
        </w:trPr>
        <w:tc>
          <w:tcPr>
            <w:tcW w:type="dxa" w:w="15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line="240"/>
              <w:jc w:val="left"/>
            </w:pPr>
            <w:r>
              <w:rPr>
                <w:b/>
                <w:bCs/>
                <w:color w:val="FFFFFF"/>
                <w:sz w:val="18"/>
                <w:szCs w:val="18"/>
              </w:rPr>
              <w:t xml:space="preserve">Phase</w:t>
            </w:r>
          </w:p>
        </w:tc>
        <w:tc>
          <w:tcPr>
            <w:tcW w:type="dxa" w:w="393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line="240"/>
              <w:jc w:val="left"/>
            </w:pPr>
            <w:r>
              <w:rPr>
                <w:b/>
                <w:bCs/>
                <w:color w:val="FFFFFF"/>
                <w:sz w:val="18"/>
                <w:szCs w:val="18"/>
              </w:rPr>
              <w:t xml:space="preserve">What is built</w:t>
            </w:r>
          </w:p>
        </w:tc>
        <w:tc>
          <w:tcPr>
            <w:tcW w:type="dxa" w:w="393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line="240"/>
              <w:jc w:val="left"/>
            </w:pPr>
            <w:r>
              <w:rPr>
                <w:b/>
                <w:bCs/>
                <w:color w:val="FFFFFF"/>
                <w:sz w:val="18"/>
                <w:szCs w:val="18"/>
              </w:rPr>
              <w:t xml:space="preserve">Why now / why deferred</w:t>
            </w:r>
          </w:p>
        </w:tc>
      </w:tr>
      <w:tr>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bCs/>
                <w:color w:val="1F3864"/>
                <w:sz w:val="18"/>
                <w:szCs w:val="18"/>
              </w:rPr>
              <w:t xml:space="preserve">Phase 1</w:t>
            </w:r>
          </w:p>
        </w:tc>
        <w:tc>
          <w:tcPr>
            <w:tcW w:type="dxa" w:w="393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Structured parking podium + ground-floor medtail; full flood-resilient MEP; universal grid + EV conduit to 100% of stalls (chargers at 10–20%)</w:t>
            </w:r>
          </w:p>
        </w:tc>
        <w:tc>
          <w:tcPr>
            <w:tcW w:type="dxa" w:w="393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Parking is the proven, monetizable deficit and satisfies the clinical ratio for later floors; medtail activates the street immediately; conduit now avoids future coring</w:t>
            </w:r>
          </w:p>
        </w:tc>
      </w:tr>
      <w:tr>
        <w:tc>
          <w:tcPr>
            <w:tcW w:type="dxa" w:w="1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bCs/>
                <w:color w:val="1F3864"/>
                <w:sz w:val="18"/>
                <w:szCs w:val="18"/>
              </w:rPr>
              <w:t xml:space="preserve">Phase 2</w:t>
            </w:r>
          </w:p>
        </w:tc>
        <w:tc>
          <w:tcPr>
            <w:tcW w:type="dxa" w:w="393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Vertical clinical / medical co-working floors atop the podium</w:t>
            </w:r>
          </w:p>
        </w:tc>
        <w:tc>
          <w:tcPr>
            <w:tcW w:type="dxa" w:w="393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Built on the Phase 1 universal grid with no extreme retrofit; timed to co-working LOI and absorption as the current supply glut clears</w:t>
            </w:r>
          </w:p>
        </w:tc>
      </w:tr>
      <w:tr>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bCs/>
                <w:color w:val="1F3864"/>
                <w:sz w:val="18"/>
                <w:szCs w:val="18"/>
              </w:rPr>
              <w:t xml:space="preserve">Phase 3+</w:t>
            </w:r>
          </w:p>
        </w:tc>
        <w:tc>
          <w:tcPr>
            <w:tcW w:type="dxa" w:w="393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Preserved optionality: expanded EV charging, AV staging/fleet servicing, edge/digital infrastructure, or conversion of parking levels to office/lab/residential</w:t>
            </w:r>
          </w:p>
        </w:tc>
        <w:tc>
          <w:tcPr>
            <w:tcW w:type="dxa" w:w="393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Activated only on demonstrated demand or partner commitment (Decision-003); convertibility designed in from Phase 1 makes this low-friction</w:t>
            </w:r>
          </w:p>
        </w:tc>
      </w:tr>
    </w:tbl>
    <w:p>
      <w:pPr>
        <w:spacing w:after="80"/>
      </w:pPr>
    </w:p>
    <w:p>
      <w:pPr>
        <w:pStyle w:val="Heading2"/>
      </w:pPr>
      <w:r>
        <w:t xml:space="preserve">8.2 Phasing Logic Diagram</w:t>
      </w:r>
    </w:p>
    <w:p>
      <w:pPr>
        <w:spacing w:after="120"/>
      </w:pPr>
      <w:r>
        <w:rPr>
          <w:rFonts w:ascii="Consolas" w:cs="Consolas" w:eastAsia="Consolas" w:hAnsi="Consolas"/>
          <w:color w:val="595959"/>
          <w:sz w:val="15"/>
          <w:szCs w:val="15"/>
        </w:rPr>
        <w:t xml:space="preserve">  PHASE 1 ----------&gt; PHASE 2 ----------&gt; PHASE 3+ (optionality)
  Parking + Medtail    Clinical / Co-work   EV+ / AV / Edge / Convert
  cash flow + ratio    higher margin        demand- or partner-gated
  [conduit pre-run]    [universal grid]     [flat plates enable reuse]
        │                  │                      │
        └── de-risks ──────┘── enabled by ────────┘
           financing          Phase 1 structure</w:t>
      </w:r>
    </w:p>
    <w:p>
      <w:pPr>
        <w:spacing w:after="60"/>
      </w:pPr>
    </w:p>
    <w:p>
      <w:pPr>
        <w:pBdr>
          <w:top w:val="single" w:color="2E5496" w:sz="6" w:space="4"/>
        </w:pBdr>
        <w:spacing w:after="80" w:before="80"/>
      </w:pPr>
      <w:r>
        <w:rPr>
          <w:b/>
          <w:bCs/>
          <w:color w:val="2E5496"/>
          <w:sz w:val="20"/>
          <w:szCs w:val="20"/>
        </w:rPr>
        <w:t xml:space="preserve">Chapter Close-Out</w:t>
      </w:r>
    </w:p>
    <w:p>
      <w:pPr>
        <w:spacing w:after="30" w:before="60"/>
      </w:pPr>
      <w:r>
        <w:rPr>
          <w:b/>
          <w:bCs/>
          <w:color w:val="1F3864"/>
          <w:sz w:val="18"/>
          <w:szCs w:val="18"/>
        </w:rPr>
        <w:t xml:space="preserve">Key Decisions</w:t>
      </w:r>
    </w:p>
    <w:p>
      <w:pPr>
        <w:pStyle w:val="ListParagraph"/>
        <w:numPr>
          <w:ilvl w:val="0"/>
          <w:numId w:val="2"/>
        </w:numPr>
        <w:spacing w:after="20" w:line="250"/>
      </w:pPr>
      <w:r>
        <w:rPr>
          <w:sz w:val="18"/>
          <w:szCs w:val="18"/>
        </w:rPr>
        <w:t xml:space="preserve">Deliver parking + medtail in Phase 1; clinical/co-working in Phase 2; hold mobility/conversion as demand-gated Phase 3+.</w:t>
      </w:r>
    </w:p>
    <w:p>
      <w:pPr>
        <w:pStyle w:val="ListParagraph"/>
        <w:numPr>
          <w:ilvl w:val="0"/>
          <w:numId w:val="2"/>
        </w:numPr>
        <w:spacing w:after="20" w:line="250"/>
      </w:pPr>
      <w:r>
        <w:rPr>
          <w:sz w:val="18"/>
          <w:szCs w:val="18"/>
        </w:rPr>
        <w:t xml:space="preserve">Run EV conduit to 100% of stalls in Phase 1 even at low initial charger count.</w:t>
      </w:r>
    </w:p>
    <w:p>
      <w:pPr>
        <w:spacing w:after="30" w:before="60"/>
      </w:pPr>
      <w:r>
        <w:rPr>
          <w:b/>
          <w:bCs/>
          <w:color w:val="548235"/>
          <w:sz w:val="18"/>
          <w:szCs w:val="18"/>
        </w:rPr>
        <w:t xml:space="preserve">Supporting Evidence</w:t>
      </w:r>
    </w:p>
    <w:p>
      <w:pPr>
        <w:pStyle w:val="ListParagraph"/>
        <w:numPr>
          <w:ilvl w:val="0"/>
          <w:numId w:val="2"/>
        </w:numPr>
        <w:spacing w:after="20" w:line="250"/>
      </w:pPr>
      <w:r>
        <w:rPr>
          <w:sz w:val="18"/>
          <w:szCs w:val="18"/>
        </w:rPr>
        <w:t xml:space="preserve">Feasibility Study § Phasing Strategies &amp; Future-Proofing; Decision-002 and Decision-003.</w:t>
      </w:r>
    </w:p>
    <w:p>
      <w:pPr>
        <w:spacing w:after="30" w:before="60"/>
      </w:pPr>
      <w:r>
        <w:rPr>
          <w:b/>
          <w:bCs/>
          <w:color w:val="BF8F00"/>
          <w:sz w:val="18"/>
          <w:szCs w:val="18"/>
        </w:rPr>
        <w:t xml:space="preserve">Remaining Unknowns</w:t>
      </w:r>
    </w:p>
    <w:p>
      <w:pPr>
        <w:pStyle w:val="ListParagraph"/>
        <w:numPr>
          <w:ilvl w:val="0"/>
          <w:numId w:val="2"/>
        </w:numPr>
        <w:spacing w:after="20" w:line="250"/>
      </w:pPr>
      <w:r>
        <w:rPr>
          <w:sz w:val="18"/>
          <w:szCs w:val="18"/>
        </w:rPr>
        <w:t xml:space="preserve">Phase 2 trigger timing relative to medical-office absorption; Phase 3 demand triggers.</w:t>
      </w:r>
    </w:p>
    <w:p>
      <w:pPr>
        <w:spacing w:after="30" w:before="60"/>
      </w:pPr>
      <w:r>
        <w:rPr>
          <w:b/>
          <w:bCs/>
          <w:color w:val="2E5496"/>
          <w:sz w:val="18"/>
          <w:szCs w:val="18"/>
        </w:rPr>
        <w:t xml:space="preserve">Recommended Next Actions</w:t>
      </w:r>
    </w:p>
    <w:p>
      <w:pPr>
        <w:pStyle w:val="ListParagraph"/>
        <w:numPr>
          <w:ilvl w:val="0"/>
          <w:numId w:val="2"/>
        </w:numPr>
        <w:spacing w:after="20" w:line="250"/>
      </w:pPr>
      <w:r>
        <w:rPr>
          <w:sz w:val="18"/>
          <w:szCs w:val="18"/>
        </w:rPr>
        <w:t xml:space="preserve">Define explicit Phase-2 and Phase-3 go/no-go triggers in the financial model (see Ch. 9).</w:t>
      </w:r>
    </w:p>
    <w:p>
      <w:r>
        <w:br w:type="page"/>
      </w:r>
    </w:p>
    <w:p>
      <w:pPr>
        <w:pStyle w:val="Heading1"/>
      </w:pPr>
      <w:r>
        <w:t xml:space="preserve">9. Future Adaptability &amp; Technology Readiness</w:t>
      </w:r>
    </w:p>
    <w:p>
      <w:pPr>
        <w:spacing w:after="120" w:line="264"/>
      </w:pPr>
      <w:r>
        <w:t xml:space="preserve">This chapter defines how the project keeps the Constitution’s promise of optionality while honoring Decision-003’s prohibition on speculative day-one revenue.</w:t>
      </w:r>
    </w:p>
    <w:p>
      <w:pPr>
        <w:pStyle w:val="Heading2"/>
      </w:pPr>
      <w:r>
        <w:t xml:space="preserve">9.1 Readiness Provisions (build the capacity, defer the equipment)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760"/>
        <w:gridCol w:w="3000"/>
      </w:tblGrid>
      <w:tr>
        <w:trPr>
          <w:tblHeader/>
        </w:trPr>
        <w:tc>
          <w:tcPr>
            <w:tcW w:type="dxa" w:w="26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line="240"/>
              <w:jc w:val="left"/>
            </w:pPr>
            <w:r>
              <w:rPr>
                <w:b/>
                <w:bCs/>
                <w:color w:val="FFFFFF"/>
                <w:sz w:val="18"/>
                <w:szCs w:val="18"/>
              </w:rPr>
              <w:t xml:space="preserve">Domain</w:t>
            </w:r>
          </w:p>
        </w:tc>
        <w:tc>
          <w:tcPr>
            <w:tcW w:type="dxa" w:w="37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line="240"/>
              <w:jc w:val="left"/>
            </w:pPr>
            <w:r>
              <w:rPr>
                <w:b/>
                <w:bCs/>
                <w:color w:val="FFFFFF"/>
                <w:sz w:val="18"/>
                <w:szCs w:val="18"/>
              </w:rPr>
              <w:t xml:space="preserve">Provision now</w:t>
            </w:r>
          </w:p>
        </w:tc>
        <w:tc>
          <w:tcPr>
            <w:tcW w:type="dxa" w:w="30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line="240"/>
              <w:jc w:val="left"/>
            </w:pPr>
            <w:r>
              <w:rPr>
                <w:b/>
                <w:bCs/>
                <w:color w:val="FFFFFF"/>
                <w:sz w:val="18"/>
                <w:szCs w:val="18"/>
              </w:rPr>
              <w:t xml:space="preserve">Activation trigger</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EV charging</w:t>
            </w:r>
          </w:p>
        </w:tc>
        <w:tc>
          <w:tcPr>
            <w:tcW w:type="dxa" w:w="37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Conduit + panel capacity to 100% of stalls; energize 10–20%</w:t>
            </w:r>
          </w:p>
        </w:tc>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Utilization of installed chargers &gt; target; FPL capacity confirmed</w:t>
            </w:r>
          </w:p>
        </w:tc>
      </w:tr>
      <w:tr>
        <w:tc>
          <w:tcPr>
            <w:tcW w:type="dxa" w:w="26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Power headroom</w:t>
            </w:r>
          </w:p>
        </w:tc>
        <w:tc>
          <w:tcPr>
            <w:tcW w:type="dxa" w:w="37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Switchgear/riser room sized above base load</w:t>
            </w:r>
          </w:p>
        </w:tc>
        <w:tc>
          <w:tcPr>
            <w:tcW w:type="dxa" w:w="30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Imaging tenant, EV expansion, or AV/edge load materializes</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Fiber / digital</w:t>
            </w:r>
          </w:p>
        </w:tc>
        <w:tc>
          <w:tcPr>
            <w:tcW w:type="dxa" w:w="37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Redundant Tier-1 fiber entries; smart-building backbone</w:t>
            </w:r>
          </w:p>
        </w:tc>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Low cost now; activate per tenant need</w:t>
            </w:r>
          </w:p>
        </w:tc>
      </w:tr>
      <w:tr>
        <w:tc>
          <w:tcPr>
            <w:tcW w:type="dxa" w:w="26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Structural conversion</w:t>
            </w:r>
          </w:p>
        </w:tc>
        <w:tc>
          <w:tcPr>
            <w:tcW w:type="dxa" w:w="37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Flat plates, 12 ft heights, 100 psf bays</w:t>
            </w:r>
          </w:p>
        </w:tc>
        <w:tc>
          <w:tcPr>
            <w:tcW w:type="dxa" w:w="30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Parking demand falls (AV adoption) — convert levels to office/lab/residential</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AV / fleet operations</w:t>
            </w:r>
          </w:p>
        </w:tc>
        <w:tc>
          <w:tcPr>
            <w:tcW w:type="dxa" w:w="37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Structural and access readiness only — no dedicated build-out</w:t>
            </w:r>
          </w:p>
        </w:tc>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Demonstrated demand or signed partner (Decision-003)</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E9E7" w:sz="1"/>
              <w:left w:val="single" w:color="9C2B2B" w:sz="24"/>
              <w:bottom w:val="single" w:color="FBE9E7" w:sz="1"/>
              <w:right w:val="single" w:color="FBE9E7" w:sz="1"/>
            </w:tcBorders>
            <w:shd w:fill="FBE9E7" w:val="clear"/>
            <w:tcMar>
              <w:top w:type="dxa" w:w="120"/>
              <w:left w:type="dxa" w:w="200"/>
              <w:bottom w:type="dxa" w:w="120"/>
              <w:right w:type="dxa" w:w="160"/>
            </w:tcMar>
          </w:tcPr>
          <w:p>
            <w:pPr>
              <w:spacing w:after="60"/>
            </w:pPr>
            <w:r>
              <w:rPr>
                <w:b/>
                <w:bCs/>
                <w:color w:val="1F3864"/>
                <w:sz w:val="19"/>
                <w:szCs w:val="19"/>
              </w:rPr>
              <w:t xml:space="preserve">Guardrail on the “Mobility Nexus” ambition</w:t>
            </w:r>
          </w:p>
          <w:p>
            <w:pPr>
              <w:spacing w:after="40" w:line="252"/>
            </w:pPr>
            <w:r>
              <w:t xml:space="preserve">The broader vision of a repeatable AV mobility hub is preserved here as a </w:t>
            </w:r>
            <w:r>
              <w:rPr>
                <w:b/>
                <w:bCs/>
              </w:rPr>
              <w:t xml:space="preserve">Phase 3+ optionality layer</w:t>
            </w:r>
            <w:r>
              <w:t xml:space="preserve">, consistent with the Constitution and Decision-003. It is </w:t>
            </w:r>
            <w:r>
              <w:rPr>
                <w:b/>
                <w:bCs/>
              </w:rPr>
              <w:t xml:space="preserve">not</w:t>
            </w:r>
            <w:r>
              <w:t xml:space="preserve"> underwritten as day-one revenue, and no capital decision in this ODP depends on autonomous-vehicle adoption. Elevating it to the primary thesis requires a logged Constitution-level decision (OQ-01).</w:t>
            </w:r>
          </w:p>
        </w:tc>
      </w:tr>
    </w:tbl>
    <w:p>
      <w:pPr>
        <w:spacing w:after="60"/>
      </w:pPr>
    </w:p>
    <w:p>
      <w:pPr>
        <w:pBdr>
          <w:top w:val="single" w:color="2E5496" w:sz="6" w:space="4"/>
        </w:pBdr>
        <w:spacing w:after="80" w:before="80"/>
      </w:pPr>
      <w:r>
        <w:rPr>
          <w:b/>
          <w:bCs/>
          <w:color w:val="2E5496"/>
          <w:sz w:val="20"/>
          <w:szCs w:val="20"/>
        </w:rPr>
        <w:t xml:space="preserve">Chapter Close-Out</w:t>
      </w:r>
    </w:p>
    <w:p>
      <w:pPr>
        <w:spacing w:after="30" w:before="60"/>
      </w:pPr>
      <w:r>
        <w:rPr>
          <w:b/>
          <w:bCs/>
          <w:color w:val="1F3864"/>
          <w:sz w:val="18"/>
          <w:szCs w:val="18"/>
        </w:rPr>
        <w:t xml:space="preserve">Key Decisions</w:t>
      </w:r>
    </w:p>
    <w:p>
      <w:pPr>
        <w:pStyle w:val="ListParagraph"/>
        <w:numPr>
          <w:ilvl w:val="0"/>
          <w:numId w:val="2"/>
        </w:numPr>
        <w:spacing w:after="20" w:line="250"/>
      </w:pPr>
      <w:r>
        <w:rPr>
          <w:sz w:val="18"/>
          <w:szCs w:val="18"/>
        </w:rPr>
        <w:t xml:space="preserve">Pre-install capacity (power, conduit, fiber, structural convertibility); defer all speculative equipment and AV build-out until demand-gated.</w:t>
      </w:r>
    </w:p>
    <w:p>
      <w:pPr>
        <w:pStyle w:val="ListParagraph"/>
        <w:numPr>
          <w:ilvl w:val="0"/>
          <w:numId w:val="2"/>
        </w:numPr>
        <w:spacing w:after="20" w:line="250"/>
      </w:pPr>
      <w:r>
        <w:rPr>
          <w:sz w:val="18"/>
          <w:szCs w:val="18"/>
        </w:rPr>
        <w:t xml:space="preserve">Keep AV/edge strictly as preserved optionality, never as underwritten revenue.</w:t>
      </w:r>
    </w:p>
    <w:p>
      <w:pPr>
        <w:spacing w:after="30" w:before="60"/>
      </w:pPr>
      <w:r>
        <w:rPr>
          <w:b/>
          <w:bCs/>
          <w:color w:val="548235"/>
          <w:sz w:val="18"/>
          <w:szCs w:val="18"/>
        </w:rPr>
        <w:t xml:space="preserve">Supporting Evidence</w:t>
      </w:r>
    </w:p>
    <w:p>
      <w:pPr>
        <w:pStyle w:val="ListParagraph"/>
        <w:numPr>
          <w:ilvl w:val="0"/>
          <w:numId w:val="2"/>
        </w:numPr>
        <w:spacing w:after="20" w:line="250"/>
      </w:pPr>
      <w:r>
        <w:rPr>
          <w:sz w:val="18"/>
          <w:szCs w:val="18"/>
        </w:rPr>
        <w:t xml:space="preserve">Decision-003; Constitution Principle 5; Feasibility Study § Future-Proofing.</w:t>
      </w:r>
    </w:p>
    <w:p>
      <w:pPr>
        <w:spacing w:after="30" w:before="60"/>
      </w:pPr>
      <w:r>
        <w:rPr>
          <w:b/>
          <w:bCs/>
          <w:color w:val="BF8F00"/>
          <w:sz w:val="18"/>
          <w:szCs w:val="18"/>
        </w:rPr>
        <w:t xml:space="preserve">Remaining Unknowns</w:t>
      </w:r>
    </w:p>
    <w:p>
      <w:pPr>
        <w:pStyle w:val="ListParagraph"/>
        <w:numPr>
          <w:ilvl w:val="0"/>
          <w:numId w:val="2"/>
        </w:numPr>
        <w:spacing w:after="20" w:line="250"/>
      </w:pPr>
      <w:r>
        <w:rPr>
          <w:sz w:val="18"/>
          <w:szCs w:val="18"/>
        </w:rPr>
        <w:t xml:space="preserve">The demand thresholds that should trigger each activation; FPL ceiling on future loads.</w:t>
      </w:r>
    </w:p>
    <w:p>
      <w:pPr>
        <w:spacing w:after="30" w:before="60"/>
      </w:pPr>
      <w:r>
        <w:rPr>
          <w:b/>
          <w:bCs/>
          <w:color w:val="2E5496"/>
          <w:sz w:val="18"/>
          <w:szCs w:val="18"/>
        </w:rPr>
        <w:t xml:space="preserve">Recommended Next Actions</w:t>
      </w:r>
    </w:p>
    <w:p>
      <w:pPr>
        <w:pStyle w:val="ListParagraph"/>
        <w:numPr>
          <w:ilvl w:val="0"/>
          <w:numId w:val="2"/>
        </w:numPr>
        <w:spacing w:after="20" w:line="250"/>
      </w:pPr>
      <w:r>
        <w:rPr>
          <w:sz w:val="18"/>
          <w:szCs w:val="18"/>
        </w:rPr>
        <w:t xml:space="preserve">Encode activation triggers as explicit decision points; revisit upon any technology-partner commitment.</w:t>
      </w:r>
    </w:p>
    <w:p>
      <w:r>
        <w:br w:type="page"/>
      </w:r>
    </w:p>
    <w:p>
      <w:pPr>
        <w:pStyle w:val="Heading1"/>
      </w:pPr>
      <w:r>
        <w:t xml:space="preserve">10. Entitlement &amp; Delivery Roadmap</w:t>
      </w:r>
    </w:p>
    <w:p>
      <w:pPr>
        <w:spacing w:after="120" w:line="264"/>
      </w:pPr>
      <w:r>
        <w:t xml:space="preserve">A sequenced roadmap for moving from this ODP to construction. Sequence reflects the project workflow in the README and the dependencies surfaced by the research (notably stormwater, FPL capacity, and traffic).</w:t>
      </w:r>
    </w:p>
    <w:p>
      <w:pPr>
        <w:pStyle w:val="Heading2"/>
      </w:pPr>
      <w:r>
        <w:t xml:space="preserve">10.1 Workstreams &amp;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960"/>
        <w:gridCol w:w="1800"/>
      </w:tblGrid>
      <w:tr>
        <w:trPr>
          <w:tblHeader/>
        </w:trPr>
        <w:tc>
          <w:tcPr>
            <w:tcW w:type="dxa" w:w="26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line="240"/>
              <w:jc w:val="left"/>
            </w:pPr>
            <w:r>
              <w:rPr>
                <w:b/>
                <w:bCs/>
                <w:color w:val="FFFFFF"/>
                <w:sz w:val="18"/>
                <w:szCs w:val="18"/>
              </w:rPr>
              <w:t xml:space="preserve">Workstream</w:t>
            </w:r>
          </w:p>
        </w:tc>
        <w:tc>
          <w:tcPr>
            <w:tcW w:type="dxa" w:w="49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line="240"/>
              <w:jc w:val="left"/>
            </w:pPr>
            <w:r>
              <w:rPr>
                <w:b/>
                <w:bCs/>
                <w:color w:val="FFFFFF"/>
                <w:sz w:val="18"/>
                <w:szCs w:val="18"/>
              </w:rPr>
              <w:t xml:space="preserve">Action</w:t>
            </w:r>
          </w:p>
        </w:tc>
        <w:tc>
          <w:tcPr>
            <w:tcW w:type="dxa" w:w="18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line="240"/>
              <w:jc w:val="left"/>
            </w:pPr>
            <w:r>
              <w:rPr>
                <w:b/>
                <w:bCs/>
                <w:color w:val="FFFFFF"/>
                <w:sz w:val="18"/>
                <w:szCs w:val="18"/>
              </w:rPr>
              <w:t xml:space="preserve">Dependency / Tag</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City pre-application</w:t>
            </w:r>
          </w:p>
        </w:tc>
        <w:tc>
          <w:tcPr>
            <w:tcW w:type="dxa" w:w="49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Pre-application meeting + written Zoning Verification Letter (height path, parking method, shared-parking acceptance)</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sz w:val="18"/>
                <w:szCs w:val="18"/>
              </w:rPr>
              <w:t xml:space="preserve">Gates massing </w:t>
            </w:r>
            <w:r>
              <w:rPr>
                <w:b/>
                <w:bCs/>
                <w:color w:val="BF8F00"/>
                <w:sz w:val="16"/>
                <w:szCs w:val="16"/>
              </w:rPr>
              <w:t xml:space="preserve">ASSUMPTION</w:t>
            </w:r>
          </w:p>
        </w:tc>
      </w:tr>
      <w:tr>
        <w:tc>
          <w:tcPr>
            <w:tcW w:type="dxa" w:w="26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Development Review Committee</w:t>
            </w:r>
          </w:p>
        </w:tc>
        <w:tc>
          <w:tcPr>
            <w:tcW w:type="dxa" w:w="49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Formal DRC submission; resolve site-plan, access, and life-safety comments</w:t>
            </w:r>
          </w:p>
        </w:tc>
        <w:tc>
          <w:tcPr>
            <w:tcW w:type="dxa" w:w="18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After test-fit</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Planning approvals</w:t>
            </w:r>
          </w:p>
        </w:tc>
        <w:tc>
          <w:tcPr>
            <w:tcW w:type="dxa" w:w="49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Pursue Conditional Use / bonuses if pursuing height &gt; 110 ft; evaluate Live Local Act path</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Land-use counsel</w:t>
            </w:r>
          </w:p>
        </w:tc>
      </w:tr>
      <w:tr>
        <w:tc>
          <w:tcPr>
            <w:tcW w:type="dxa" w:w="26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Traffic study</w:t>
            </w:r>
          </w:p>
        </w:tc>
        <w:tc>
          <w:tcPr>
            <w:tcW w:type="dxa" w:w="49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Trip generation, queuing, curb-cut and drop-off analysis</w:t>
            </w:r>
          </w:p>
        </w:tc>
        <w:tc>
          <w:tcPr>
            <w:tcW w:type="dxa" w:w="18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Early — feeds site plan</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Utility coordination</w:t>
            </w:r>
          </w:p>
        </w:tc>
        <w:tc>
          <w:tcPr>
            <w:tcW w:type="dxa" w:w="49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Water/sewer sizing; stormwater design to City resilient master plan</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Gates entitlement</w:t>
            </w:r>
          </w:p>
        </w:tc>
      </w:tr>
      <w:tr>
        <w:tc>
          <w:tcPr>
            <w:tcW w:type="dxa" w:w="26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FPL coordination</w:t>
            </w:r>
          </w:p>
        </w:tc>
        <w:tc>
          <w:tcPr>
            <w:tcW w:type="dxa" w:w="49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Capacity / will-serve study for imaging + EV loads; redundancy strategy</w:t>
            </w:r>
          </w:p>
        </w:tc>
        <w:tc>
          <w:tcPr>
            <w:tcW w:type="dxa" w:w="18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Gates imaging/EV</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Healthcare outreach</w:t>
            </w:r>
          </w:p>
        </w:tc>
        <w:tc>
          <w:tcPr>
            <w:tcW w:type="dxa" w:w="49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Early LOI with medical co-working operator; complementary positioning vs. Broward Health</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Strengthens financing</w:t>
            </w:r>
          </w:p>
        </w:tc>
      </w:tr>
      <w:tr>
        <w:tc>
          <w:tcPr>
            <w:tcW w:type="dxa" w:w="26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Community engagement</w:t>
            </w:r>
          </w:p>
        </w:tc>
        <w:tc>
          <w:tcPr>
            <w:tcW w:type="dxa" w:w="49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SRAC stakeholder and neighbor engagement; align with mobility-hub goals</w:t>
            </w:r>
          </w:p>
        </w:tc>
        <w:tc>
          <w:tcPr>
            <w:tcW w:type="dxa" w:w="18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Supports approvals</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Consultant selection</w:t>
            </w:r>
          </w:p>
        </w:tc>
        <w:tc>
          <w:tcPr>
            <w:tcW w:type="dxa" w:w="49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Engage architect, civil, structural, MEP, traffic, parking, land-use counsel</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Immediate</w:t>
            </w:r>
          </w:p>
        </w:tc>
      </w:tr>
      <w:tr>
        <w:tc>
          <w:tcPr>
            <w:tcW w:type="dxa" w:w="26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Construction management</w:t>
            </w:r>
          </w:p>
        </w:tc>
        <w:tc>
          <w:tcPr>
            <w:tcW w:type="dxa" w:w="49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Onboard CM for just-in-time logistics planning (no laydown yard)</w:t>
            </w:r>
          </w:p>
        </w:tc>
        <w:tc>
          <w:tcPr>
            <w:tcW w:type="dxa" w:w="18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Pre-GMP</w:t>
            </w:r>
          </w:p>
        </w:tc>
      </w:tr>
      <w:tr>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Owner representation</w:t>
            </w:r>
          </w:p>
        </w:tc>
        <w:tc>
          <w:tcPr>
            <w:tcW w:type="dxa" w:w="49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Maintain OR oversight and governing-document discipline throughout</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Continuous</w:t>
            </w:r>
          </w:p>
        </w:tc>
      </w:tr>
    </w:tbl>
    <w:p>
      <w:pPr>
        <w:spacing w:after="80"/>
      </w:pPr>
    </w:p>
    <w:p>
      <w:pPr>
        <w:pStyle w:val="Heading2"/>
      </w:pPr>
      <w:r>
        <w:t xml:space="preserve">10.2 Critical-Path Callouts</w:t>
      </w:r>
    </w:p>
    <w:p>
      <w:pPr>
        <w:pStyle w:val="ListParagraph"/>
        <w:numPr>
          <w:ilvl w:val="0"/>
          <w:numId w:val="2"/>
        </w:numPr>
        <w:spacing w:after="50" w:line="260"/>
      </w:pPr>
      <w:r>
        <w:rPr>
          <w:b/>
          <w:bCs/>
        </w:rPr>
        <w:t xml:space="preserve">Stormwater is on the critical path. </w:t>
      </w:r>
      <w:r>
        <w:t xml:space="preserve">Zone AE compliance can determine whether the site plan is approvable; start civil/hydrology early.</w:t>
      </w:r>
    </w:p>
    <w:p>
      <w:pPr>
        <w:pStyle w:val="ListParagraph"/>
        <w:numPr>
          <w:ilvl w:val="0"/>
          <w:numId w:val="2"/>
        </w:numPr>
        <w:spacing w:after="50" w:line="260"/>
      </w:pPr>
      <w:r>
        <w:rPr>
          <w:b/>
          <w:bCs/>
        </w:rPr>
        <w:t xml:space="preserve">Lock vested rights if using Live Local. </w:t>
      </w:r>
      <w:r>
        <w:t xml:space="preserve">If affordable-housing components are used to leverage height preemption, pull permits to lock in vested rights, per the market study’s legislative-risk guidance.</w:t>
      </w:r>
    </w:p>
    <w:p>
      <w:pPr>
        <w:pStyle w:val="ListParagraph"/>
        <w:numPr>
          <w:ilvl w:val="0"/>
          <w:numId w:val="2"/>
        </w:numPr>
        <w:spacing w:after="50" w:line="260"/>
      </w:pPr>
      <w:r>
        <w:rPr>
          <w:b/>
          <w:bCs/>
        </w:rPr>
        <w:t xml:space="preserve">Land-use counsel now. </w:t>
      </w:r>
      <w:r>
        <w:t xml:space="preserve">Live Local Act amendments are evolving; specialized counsel should be retained immediately.</w:t>
      </w:r>
    </w:p>
    <w:p>
      <w:pPr>
        <w:spacing w:after="60"/>
      </w:pPr>
    </w:p>
    <w:p>
      <w:pPr>
        <w:pBdr>
          <w:top w:val="single" w:color="2E5496" w:sz="6" w:space="4"/>
        </w:pBdr>
        <w:spacing w:after="80" w:before="80"/>
      </w:pPr>
      <w:r>
        <w:rPr>
          <w:b/>
          <w:bCs/>
          <w:color w:val="2E5496"/>
          <w:sz w:val="20"/>
          <w:szCs w:val="20"/>
        </w:rPr>
        <w:t xml:space="preserve">Chapter Close-Out</w:t>
      </w:r>
    </w:p>
    <w:p>
      <w:pPr>
        <w:spacing w:after="30" w:before="60"/>
      </w:pPr>
      <w:r>
        <w:rPr>
          <w:b/>
          <w:bCs/>
          <w:color w:val="1F3864"/>
          <w:sz w:val="18"/>
          <w:szCs w:val="18"/>
        </w:rPr>
        <w:t xml:space="preserve">Key Decisions</w:t>
      </w:r>
    </w:p>
    <w:p>
      <w:pPr>
        <w:pStyle w:val="ListParagraph"/>
        <w:numPr>
          <w:ilvl w:val="0"/>
          <w:numId w:val="2"/>
        </w:numPr>
        <w:spacing w:after="20" w:line="250"/>
      </w:pPr>
      <w:r>
        <w:rPr>
          <w:sz w:val="18"/>
          <w:szCs w:val="18"/>
        </w:rPr>
        <w:t xml:space="preserve">Run zoning verification, traffic, stormwater, and FPL capacity as parallel early workstreams; retain land-use counsel immediately.</w:t>
      </w:r>
    </w:p>
    <w:p>
      <w:pPr>
        <w:pStyle w:val="ListParagraph"/>
        <w:numPr>
          <w:ilvl w:val="0"/>
          <w:numId w:val="2"/>
        </w:numPr>
        <w:spacing w:after="20" w:line="250"/>
      </w:pPr>
      <w:r>
        <w:rPr>
          <w:sz w:val="18"/>
          <w:szCs w:val="18"/>
        </w:rPr>
        <w:t xml:space="preserve">Engage the full consultant team and CM before GMP.</w:t>
      </w:r>
    </w:p>
    <w:p>
      <w:pPr>
        <w:spacing w:after="30" w:before="60"/>
      </w:pPr>
      <w:r>
        <w:rPr>
          <w:b/>
          <w:bCs/>
          <w:color w:val="548235"/>
          <w:sz w:val="18"/>
          <w:szCs w:val="18"/>
        </w:rPr>
        <w:t xml:space="preserve">Supporting Evidence</w:t>
      </w:r>
    </w:p>
    <w:p>
      <w:pPr>
        <w:pStyle w:val="ListParagraph"/>
        <w:numPr>
          <w:ilvl w:val="0"/>
          <w:numId w:val="2"/>
        </w:numPr>
        <w:spacing w:after="20" w:line="250"/>
      </w:pPr>
      <w:r>
        <w:rPr>
          <w:sz w:val="18"/>
          <w:szCs w:val="18"/>
        </w:rPr>
        <w:t xml:space="preserve">README § Project Workflow; Site Intelligence (entitlement, FPL, stormwater); Market Study (Live Local guidance).</w:t>
      </w:r>
    </w:p>
    <w:p>
      <w:pPr>
        <w:spacing w:after="30" w:before="60"/>
      </w:pPr>
      <w:r>
        <w:rPr>
          <w:b/>
          <w:bCs/>
          <w:color w:val="BF8F00"/>
          <w:sz w:val="18"/>
          <w:szCs w:val="18"/>
        </w:rPr>
        <w:t xml:space="preserve">Remaining Unknowns</w:t>
      </w:r>
    </w:p>
    <w:p>
      <w:pPr>
        <w:pStyle w:val="ListParagraph"/>
        <w:numPr>
          <w:ilvl w:val="0"/>
          <w:numId w:val="2"/>
        </w:numPr>
        <w:spacing w:after="20" w:line="250"/>
      </w:pPr>
      <w:r>
        <w:rPr>
          <w:sz w:val="18"/>
          <w:szCs w:val="18"/>
        </w:rPr>
        <w:t xml:space="preserve">City feedback on height path and parking method; FPL capacity; traffic findings.</w:t>
      </w:r>
    </w:p>
    <w:p>
      <w:pPr>
        <w:spacing w:after="30" w:before="60"/>
      </w:pPr>
      <w:r>
        <w:rPr>
          <w:b/>
          <w:bCs/>
          <w:color w:val="2E5496"/>
          <w:sz w:val="18"/>
          <w:szCs w:val="18"/>
        </w:rPr>
        <w:t xml:space="preserve">Recommended Next Actions</w:t>
      </w:r>
    </w:p>
    <w:p>
      <w:pPr>
        <w:pStyle w:val="ListParagraph"/>
        <w:numPr>
          <w:ilvl w:val="0"/>
          <w:numId w:val="2"/>
        </w:numPr>
        <w:spacing w:after="20" w:line="250"/>
      </w:pPr>
      <w:r>
        <w:rPr>
          <w:sz w:val="18"/>
          <w:szCs w:val="18"/>
        </w:rPr>
        <w:t xml:space="preserve">Schedule the City pre-application meeting and commission traffic + stormwater studies as the first external actions.</w:t>
      </w:r>
    </w:p>
    <w:p>
      <w:r>
        <w:br w:type="page"/>
      </w:r>
    </w:p>
    <w:p>
      <w:pPr>
        <w:pStyle w:val="Heading1"/>
      </w:pPr>
      <w:r>
        <w:t xml:space="preserve">11. Strategic Financial Objectives</w:t>
      </w:r>
    </w:p>
    <w:p>
      <w:pPr>
        <w:spacing w:after="120" w:line="264"/>
      </w:pPr>
      <w:r>
        <w:rPr>
          <w:b/>
          <w:bCs/>
        </w:rPr>
        <w:t xml:space="preserve">Scope. </w:t>
      </w:r>
      <w:r>
        <w:t xml:space="preserve">Per instruction, this is </w:t>
      </w:r>
      <w:r>
        <w:rPr>
          <w:i/>
          <w:iCs/>
        </w:rPr>
        <w:t xml:space="preserve">not</w:t>
      </w:r>
      <w:r>
        <w:t xml:space="preserve"> a financial model. It sets the strategic financial objectives the future model (built to the project’s Underwriting Standards) must serve. Underwriting outputs should include IRR, Equity Multiple, Cash-on-Cash, Development Yield, NOI, Stabilized Value, and Residual Land Value, each with source, date, and confidence level.</w:t>
      </w:r>
    </w:p>
    <w:p>
      <w:pPr>
        <w:pStyle w:val="Heading2"/>
      </w:pPr>
      <w:r>
        <w:t xml:space="preserve">11.1 Objectives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4860"/>
        <w:gridCol w:w="1800"/>
      </w:tblGrid>
      <w:tr>
        <w:trPr>
          <w:tblHeader/>
        </w:trPr>
        <w:tc>
          <w:tcPr>
            <w:tcW w:type="dxa" w:w="27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line="240"/>
              <w:jc w:val="left"/>
            </w:pPr>
            <w:r>
              <w:rPr>
                <w:b/>
                <w:bCs/>
                <w:color w:val="FFFFFF"/>
                <w:sz w:val="18"/>
                <w:szCs w:val="18"/>
              </w:rPr>
              <w:t xml:space="preserve">Objective</w:t>
            </w:r>
          </w:p>
        </w:tc>
        <w:tc>
          <w:tcPr>
            <w:tcW w:type="dxa" w:w="48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line="240"/>
              <w:jc w:val="left"/>
            </w:pPr>
            <w:r>
              <w:rPr>
                <w:b/>
                <w:bCs/>
                <w:color w:val="FFFFFF"/>
                <w:sz w:val="18"/>
                <w:szCs w:val="18"/>
              </w:rPr>
              <w:t xml:space="preserve">Definition of success</w:t>
            </w:r>
          </w:p>
        </w:tc>
        <w:tc>
          <w:tcPr>
            <w:tcW w:type="dxa" w:w="18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line="240"/>
              <w:jc w:val="left"/>
            </w:pPr>
            <w:r>
              <w:rPr>
                <w:b/>
                <w:bCs/>
                <w:color w:val="FFFFFF"/>
                <w:sz w:val="18"/>
                <w:szCs w:val="18"/>
              </w:rPr>
              <w:t xml:space="preserve">Lever / Tag</w:t>
            </w:r>
          </w:p>
        </w:tc>
      </w:tr>
      <w:tr>
        <w:tc>
          <w:tcPr>
            <w:tcW w:type="dxa" w:w="2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Construction efficiency</w:t>
            </w:r>
          </w:p>
        </w:tc>
        <w:tc>
          <w:tcPr>
            <w:tcW w:type="dxa" w:w="48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Capture convertibility optionality at the low-to-mid premium, not maximal cost</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sz w:val="18"/>
                <w:szCs w:val="18"/>
              </w:rPr>
              <w:t xml:space="preserve">Flat plates/ext ramps </w:t>
            </w:r>
            <w:r>
              <w:rPr>
                <w:b/>
                <w:bCs/>
                <w:color w:val="595959"/>
                <w:sz w:val="16"/>
                <w:szCs w:val="16"/>
              </w:rPr>
              <w:t xml:space="preserve">JUDGMENT</w:t>
            </w:r>
          </w:p>
        </w:tc>
      </w:tr>
      <w:tr>
        <w:tc>
          <w:tcPr>
            <w:tcW w:type="dxa" w:w="27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Operational efficiency</w:t>
            </w:r>
          </w:p>
        </w:tc>
        <w:tc>
          <w:tcPr>
            <w:tcW w:type="dxa" w:w="48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Low-staff parking via gateless LPR; shared-parking utilization across day/night</w:t>
            </w:r>
          </w:p>
        </w:tc>
        <w:tc>
          <w:tcPr>
            <w:tcW w:type="dxa" w:w="18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Moffitt/Apogee model</w:t>
            </w:r>
          </w:p>
        </w:tc>
      </w:tr>
      <w:tr>
        <w:tc>
          <w:tcPr>
            <w:tcW w:type="dxa" w:w="2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Parking utilization</w:t>
            </w:r>
          </w:p>
        </w:tc>
        <w:tc>
          <w:tcPr>
            <w:tcW w:type="dxa" w:w="48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High blended utilization by stacking medical (day) and public/commuter (off-peak)</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sz w:val="18"/>
                <w:szCs w:val="18"/>
              </w:rPr>
              <w:t xml:space="preserve">Shared parking </w:t>
            </w:r>
            <w:r>
              <w:rPr>
                <w:b/>
                <w:bCs/>
                <w:color w:val="2E5496"/>
                <w:sz w:val="16"/>
                <w:szCs w:val="16"/>
              </w:rPr>
              <w:t xml:space="preserve">FORECAST</w:t>
            </w:r>
          </w:p>
        </w:tc>
      </w:tr>
      <w:tr>
        <w:tc>
          <w:tcPr>
            <w:tcW w:type="dxa" w:w="27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Lease stability</w:t>
            </w:r>
          </w:p>
        </w:tc>
        <w:tc>
          <w:tcPr>
            <w:tcW w:type="dxa" w:w="48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Durable income from NNN medtail + a credit co-working master tenant</w:t>
            </w:r>
          </w:p>
        </w:tc>
        <w:tc>
          <w:tcPr>
            <w:tcW w:type="dxa" w:w="18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Tenant strategy Ch.7</w:t>
            </w:r>
          </w:p>
        </w:tc>
      </w:tr>
      <w:tr>
        <w:tc>
          <w:tcPr>
            <w:tcW w:type="dxa" w:w="2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Revenue diversification</w:t>
            </w:r>
          </w:p>
        </w:tc>
        <w:tc>
          <w:tcPr>
            <w:tcW w:type="dxa" w:w="48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Parking + medtail + clinical/co-working hedges single-use vacancy</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Market Study resilience</w:t>
            </w:r>
          </w:p>
        </w:tc>
      </w:tr>
      <w:tr>
        <w:tc>
          <w:tcPr>
            <w:tcW w:type="dxa" w:w="27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Institutional finance readiness</w:t>
            </w:r>
          </w:p>
        </w:tc>
        <w:tc>
          <w:tcPr>
            <w:tcW w:type="dxa" w:w="48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Auditable, scenario-driven model meeting Underwriting Standards</w:t>
            </w:r>
          </w:p>
        </w:tc>
        <w:tc>
          <w:tcPr>
            <w:tcW w:type="dxa" w:w="18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Underwriting Standards</w:t>
            </w:r>
          </w:p>
        </w:tc>
      </w:tr>
      <w:tr>
        <w:tc>
          <w:tcPr>
            <w:tcW w:type="dxa" w:w="2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After-tax performance</w:t>
            </w:r>
          </w:p>
        </w:tc>
        <w:tc>
          <w:tcPr>
            <w:tcW w:type="dxa" w:w="48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Structure as a 10-yr QOZ hold to defer/reduce/eliminate capital-gains tax</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sz w:val="18"/>
                <w:szCs w:val="18"/>
              </w:rPr>
              <w:t xml:space="preserve">QOZ </w:t>
            </w:r>
            <w:r>
              <w:rPr>
                <w:b/>
                <w:bCs/>
                <w:color w:val="548235"/>
                <w:sz w:val="16"/>
                <w:szCs w:val="16"/>
              </w:rPr>
              <w:t xml:space="preserve">FACT</w:t>
            </w:r>
          </w:p>
        </w:tc>
      </w:tr>
      <w:tr>
        <w:tc>
          <w:tcPr>
            <w:tcW w:type="dxa" w:w="27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Capital preservation</w:t>
            </w:r>
          </w:p>
        </w:tc>
        <w:tc>
          <w:tcPr>
            <w:tcW w:type="dxa" w:w="48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Resilient, durable, long-life asset; lifecycle cost over first cost</w:t>
            </w:r>
          </w:p>
        </w:tc>
        <w:tc>
          <w:tcPr>
            <w:tcW w:type="dxa" w:w="18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Constitution P10/P11</w:t>
            </w:r>
          </w:p>
        </w:tc>
      </w:tr>
      <w:tr>
        <w:tc>
          <w:tcPr>
            <w:tcW w:type="dxa" w:w="2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Long-term appreciation</w:t>
            </w:r>
          </w:p>
        </w:tc>
        <w:tc>
          <w:tcPr>
            <w:tcW w:type="dxa" w:w="48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Convertible structure positioned for re-tenanting as mobility evolves</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Decision-002</w:t>
            </w:r>
          </w:p>
        </w:tc>
      </w:tr>
    </w:tbl>
    <w:p>
      <w:pPr>
        <w:spacing w:after="80"/>
      </w:pPr>
    </w:p>
    <w:p>
      <w:pPr>
        <w:pStyle w:val="Heading2"/>
      </w:pPr>
      <w:r>
        <w:t xml:space="preserve">11.2 Capital-Stack Avenues to Test (not commitments)</w:t>
      </w:r>
    </w:p>
    <w:p>
      <w:pPr>
        <w:pStyle w:val="ListParagraph"/>
        <w:numPr>
          <w:ilvl w:val="0"/>
          <w:numId w:val="2"/>
        </w:numPr>
        <w:spacing w:after="50" w:line="260"/>
      </w:pPr>
      <w:r>
        <w:rPr>
          <w:b/>
          <w:bCs/>
        </w:rPr>
        <w:t xml:space="preserve">QOZ equity. </w:t>
      </w:r>
      <w:r>
        <w:t xml:space="preserve">The site is in a Qualified Opportunity Zone; comparable nearby projects (e.g., Flats Flagler Gateway) capitalized QOZ equity paired with a construction loan. </w:t>
      </w:r>
      <w:r>
        <w:rPr>
          <w:b/>
          <w:bCs/>
          <w:color w:val="548235"/>
        </w:rPr>
        <w:t xml:space="preserve">FACT</w:t>
      </w:r>
      <w:r>
        <w:t xml:space="preserve">.</w:t>
      </w:r>
    </w:p>
    <w:p>
      <w:pPr>
        <w:pStyle w:val="ListParagraph"/>
        <w:numPr>
          <w:ilvl w:val="0"/>
          <w:numId w:val="2"/>
        </w:numPr>
        <w:spacing w:after="50" w:line="260"/>
      </w:pPr>
      <w:r>
        <w:rPr>
          <w:b/>
          <w:bCs/>
        </w:rPr>
        <w:t xml:space="preserve">P3 / MPO grants &amp; TIF. </w:t>
      </w:r>
      <w:r>
        <w:t xml:space="preserve">Mobility-hub components (EV, commuter parking) make the project eligible to </w:t>
      </w:r>
      <w:r>
        <w:rPr>
          <w:i/>
          <w:iCs/>
        </w:rPr>
        <w:t xml:space="preserve">explore</w:t>
      </w:r>
      <w:r>
        <w:t xml:space="preserve"> municipal/MPO grants and Tax Increment Financing. </w:t>
      </w:r>
      <w:r>
        <w:rPr>
          <w:b/>
          <w:bCs/>
          <w:color w:val="2E5496"/>
        </w:rPr>
        <w:t xml:space="preserve">FORECAST</w:t>
      </w:r>
      <w:r>
        <w:t xml:space="preserve">.</w:t>
      </w:r>
    </w:p>
    <w:p>
      <w:pPr>
        <w:pStyle w:val="ListParagraph"/>
        <w:numPr>
          <w:ilvl w:val="0"/>
          <w:numId w:val="2"/>
        </w:numPr>
        <w:spacing w:after="50" w:line="260"/>
      </w:pPr>
      <w:r>
        <w:rPr>
          <w:b/>
          <w:bCs/>
        </w:rPr>
        <w:t xml:space="preserve">Tax-exempt / leasehold structures. </w:t>
      </w:r>
      <w:r>
        <w:t xml:space="preserve">Noted as a benchmark (Broward Health MOB via Centurion Foundation) — relevant only if a qualifying nonprofit/health-system partner participates. </w:t>
      </w:r>
      <w:r>
        <w:rPr>
          <w:b/>
          <w:bCs/>
          <w:color w:val="BF8F00"/>
        </w:rPr>
        <w:t xml:space="preserve">ASSUMPTION</w:t>
      </w:r>
      <w:r>
        <w:t xml:space="preserv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8E1" w:sz="1"/>
              <w:left w:val="single" w:color="BF8F00" w:sz="24"/>
              <w:bottom w:val="single" w:color="FFF8E1" w:sz="1"/>
              <w:right w:val="single" w:color="FFF8E1" w:sz="1"/>
            </w:tcBorders>
            <w:shd w:fill="FFF8E1" w:val="clear"/>
            <w:tcMar>
              <w:top w:type="dxa" w:w="120"/>
              <w:left w:type="dxa" w:w="200"/>
              <w:bottom w:type="dxa" w:w="120"/>
              <w:right w:type="dxa" w:w="160"/>
            </w:tcMar>
          </w:tcPr>
          <w:p>
            <w:pPr>
              <w:spacing w:after="40" w:line="252"/>
            </w:pPr>
            <w:r>
              <w:rPr>
                <w:b/>
                <w:bCs/>
              </w:rPr>
              <w:t xml:space="preserve">Discipline: </w:t>
            </w:r>
            <w:r>
              <w:t xml:space="preserve">Market context shows cap rates near 6.0–6.5% and elevated construction costs and interest rates as live threats. The model must stress-test these; this ODP sets objectives, not return promises.</w:t>
            </w:r>
          </w:p>
        </w:tc>
      </w:tr>
    </w:tbl>
    <w:p>
      <w:pPr>
        <w:spacing w:after="60"/>
      </w:pPr>
    </w:p>
    <w:p>
      <w:pPr>
        <w:pBdr>
          <w:top w:val="single" w:color="2E5496" w:sz="6" w:space="4"/>
        </w:pBdr>
        <w:spacing w:after="80" w:before="80"/>
      </w:pPr>
      <w:r>
        <w:rPr>
          <w:b/>
          <w:bCs/>
          <w:color w:val="2E5496"/>
          <w:sz w:val="20"/>
          <w:szCs w:val="20"/>
        </w:rPr>
        <w:t xml:space="preserve">Chapter Close-Out</w:t>
      </w:r>
    </w:p>
    <w:p>
      <w:pPr>
        <w:spacing w:after="30" w:before="60"/>
      </w:pPr>
      <w:r>
        <w:rPr>
          <w:b/>
          <w:bCs/>
          <w:color w:val="1F3864"/>
          <w:sz w:val="18"/>
          <w:szCs w:val="18"/>
        </w:rPr>
        <w:t xml:space="preserve">Key Decisions</w:t>
      </w:r>
    </w:p>
    <w:p>
      <w:pPr>
        <w:pStyle w:val="ListParagraph"/>
        <w:numPr>
          <w:ilvl w:val="0"/>
          <w:numId w:val="2"/>
        </w:numPr>
        <w:spacing w:after="20" w:line="250"/>
      </w:pPr>
      <w:r>
        <w:rPr>
          <w:sz w:val="18"/>
          <w:szCs w:val="18"/>
        </w:rPr>
        <w:t xml:space="preserve">Underwrite to a long-term QOZ hold optimized for stable, diversified income and convertibility-driven appreciation.</w:t>
      </w:r>
    </w:p>
    <w:p>
      <w:pPr>
        <w:pStyle w:val="ListParagraph"/>
        <w:numPr>
          <w:ilvl w:val="0"/>
          <w:numId w:val="2"/>
        </w:numPr>
        <w:spacing w:after="20" w:line="250"/>
      </w:pPr>
      <w:r>
        <w:rPr>
          <w:sz w:val="18"/>
          <w:szCs w:val="18"/>
        </w:rPr>
        <w:t xml:space="preserve">Pursue P3/MPO/TIF avenues for mobility components without making them load-bearing for feasibility.</w:t>
      </w:r>
    </w:p>
    <w:p>
      <w:pPr>
        <w:spacing w:after="30" w:before="60"/>
      </w:pPr>
      <w:r>
        <w:rPr>
          <w:b/>
          <w:bCs/>
          <w:color w:val="548235"/>
          <w:sz w:val="18"/>
          <w:szCs w:val="18"/>
        </w:rPr>
        <w:t xml:space="preserve">Supporting Evidence</w:t>
      </w:r>
    </w:p>
    <w:p>
      <w:pPr>
        <w:pStyle w:val="ListParagraph"/>
        <w:numPr>
          <w:ilvl w:val="0"/>
          <w:numId w:val="2"/>
        </w:numPr>
        <w:spacing w:after="20" w:line="250"/>
      </w:pPr>
      <w:r>
        <w:rPr>
          <w:sz w:val="18"/>
          <w:szCs w:val="18"/>
        </w:rPr>
        <w:t xml:space="preserve">Site Intelligence (QOZ, MPO mobility-hub funding); Feasibility Study (financing structures); Underwriting Standards; Market Study (cap rates, cost/rate threats).</w:t>
      </w:r>
    </w:p>
    <w:p>
      <w:pPr>
        <w:spacing w:after="30" w:before="60"/>
      </w:pPr>
      <w:r>
        <w:rPr>
          <w:b/>
          <w:bCs/>
          <w:color w:val="BF8F00"/>
          <w:sz w:val="18"/>
          <w:szCs w:val="18"/>
        </w:rPr>
        <w:t xml:space="preserve">Remaining Unknowns</w:t>
      </w:r>
    </w:p>
    <w:p>
      <w:pPr>
        <w:pStyle w:val="ListParagraph"/>
        <w:numPr>
          <w:ilvl w:val="0"/>
          <w:numId w:val="2"/>
        </w:numPr>
        <w:spacing w:after="20" w:line="250"/>
      </w:pPr>
      <w:r>
        <w:rPr>
          <w:sz w:val="18"/>
          <w:szCs w:val="18"/>
        </w:rPr>
        <w:t xml:space="preserve">Actual achievable returns, costs, and parking revenues — all pending the financial model.</w:t>
      </w:r>
    </w:p>
    <w:p>
      <w:pPr>
        <w:spacing w:after="30" w:before="60"/>
      </w:pPr>
      <w:r>
        <w:rPr>
          <w:b/>
          <w:bCs/>
          <w:color w:val="2E5496"/>
          <w:sz w:val="18"/>
          <w:szCs w:val="18"/>
        </w:rPr>
        <w:t xml:space="preserve">Recommended Next Actions</w:t>
      </w:r>
    </w:p>
    <w:p>
      <w:pPr>
        <w:pStyle w:val="ListParagraph"/>
        <w:numPr>
          <w:ilvl w:val="0"/>
          <w:numId w:val="2"/>
        </w:numPr>
        <w:spacing w:after="20" w:line="250"/>
      </w:pPr>
      <w:r>
        <w:rPr>
          <w:sz w:val="18"/>
          <w:szCs w:val="18"/>
        </w:rPr>
        <w:t xml:space="preserve">Build the institutional model per Underwriting Standards with sensitivity and scenario analysis before concept design advances.</w:t>
      </w:r>
    </w:p>
    <w:p>
      <w:r>
        <w:br w:type="page"/>
      </w:r>
    </w:p>
    <w:p>
      <w:pPr>
        <w:pStyle w:val="Heading1"/>
      </w:pPr>
      <w:r>
        <w:t xml:space="preserve">12. Risk Management Register</w:t>
      </w:r>
    </w:p>
    <w:p>
      <w:pPr>
        <w:spacing w:after="120" w:line="264"/>
      </w:pPr>
      <w:r>
        <w:t xml:space="preserve">Risks are rated by Probability (P) and Impact (I) on a Low/Med/High scale, with mitigation and the validation required to retire or re-rate each. Ratings are the Owner’s Representative’s professional judgment pending specialist confirmation.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850"/>
        <w:gridCol w:w="700"/>
        <w:gridCol w:w="700"/>
        <w:gridCol w:w="3010"/>
        <w:gridCol w:w="2400"/>
      </w:tblGrid>
      <w:tr>
        <w:trPr>
          <w:tblHeader/>
        </w:trPr>
        <w:tc>
          <w:tcPr>
            <w:tcW w:type="dxa" w:w="7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line="240"/>
              <w:jc w:val="left"/>
            </w:pPr>
            <w:r>
              <w:rPr>
                <w:b/>
                <w:bCs/>
                <w:color w:val="FFFFFF"/>
                <w:sz w:val="18"/>
                <w:szCs w:val="18"/>
              </w:rPr>
              <w:t xml:space="preserve">ID</w:t>
            </w:r>
          </w:p>
        </w:tc>
        <w:tc>
          <w:tcPr>
            <w:tcW w:type="dxa" w:w="185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line="240"/>
              <w:jc w:val="left"/>
            </w:pPr>
            <w:r>
              <w:rPr>
                <w:b/>
                <w:bCs/>
                <w:color w:val="FFFFFF"/>
                <w:sz w:val="18"/>
                <w:szCs w:val="18"/>
              </w:rPr>
              <w:t xml:space="preserve">Risk</w:t>
            </w:r>
          </w:p>
        </w:tc>
        <w:tc>
          <w:tcPr>
            <w:tcW w:type="dxa" w:w="7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line="240"/>
              <w:jc w:val="left"/>
            </w:pPr>
            <w:r>
              <w:rPr>
                <w:b/>
                <w:bCs/>
                <w:color w:val="FFFFFF"/>
                <w:sz w:val="18"/>
                <w:szCs w:val="18"/>
              </w:rPr>
              <w:t xml:space="preserve">P</w:t>
            </w:r>
          </w:p>
        </w:tc>
        <w:tc>
          <w:tcPr>
            <w:tcW w:type="dxa" w:w="7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line="240"/>
              <w:jc w:val="left"/>
            </w:pPr>
            <w:r>
              <w:rPr>
                <w:b/>
                <w:bCs/>
                <w:color w:val="FFFFFF"/>
                <w:sz w:val="18"/>
                <w:szCs w:val="18"/>
              </w:rPr>
              <w:t xml:space="preserve">I</w:t>
            </w:r>
          </w:p>
        </w:tc>
        <w:tc>
          <w:tcPr>
            <w:tcW w:type="dxa" w:w="301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line="240"/>
              <w:jc w:val="left"/>
            </w:pPr>
            <w:r>
              <w:rPr>
                <w:b/>
                <w:bCs/>
                <w:color w:val="FFFFFF"/>
                <w:sz w:val="18"/>
                <w:szCs w:val="18"/>
              </w:rPr>
              <w:t xml:space="preserve">Mitigation</w:t>
            </w:r>
          </w:p>
        </w:tc>
        <w:tc>
          <w:tcPr>
            <w:tcW w:type="dxa" w:w="24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line="240"/>
              <w:jc w:val="left"/>
            </w:pPr>
            <w:r>
              <w:rPr>
                <w:b/>
                <w:bCs/>
                <w:color w:val="FFFFFF"/>
                <w:sz w:val="18"/>
                <w:szCs w:val="18"/>
              </w:rPr>
              <w:t xml:space="preserve">Validation required</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bCs/>
                <w:color w:val="000000"/>
                <w:sz w:val="18"/>
                <w:szCs w:val="18"/>
              </w:rPr>
              <w:t xml:space="preserve">R-1</w:t>
            </w:r>
          </w:p>
        </w:tc>
        <w:tc>
          <w:tcPr>
            <w:tcW w:type="dxa" w:w="18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Flood / storm surge (Zone AE, SLR)</w:t>
            </w:r>
          </w:p>
        </w:tc>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center"/>
            </w:pPr>
            <w:r>
              <w:rPr>
                <w:b/>
                <w:bCs/>
                <w:color w:val="9C2B2B"/>
                <w:sz w:val="18"/>
                <w:szCs w:val="18"/>
              </w:rPr>
              <w:t xml:space="preserve">High</w:t>
            </w:r>
          </w:p>
        </w:tc>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center"/>
            </w:pPr>
            <w:r>
              <w:rPr>
                <w:b/>
                <w:bCs/>
                <w:color w:val="9C2B2B"/>
                <w:sz w:val="18"/>
                <w:szCs w:val="18"/>
              </w:rPr>
              <w:t xml:space="preserve">High</w:t>
            </w:r>
          </w:p>
        </w:tc>
        <w:tc>
          <w:tcPr>
            <w:tcW w:type="dxa" w:w="301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Elevate critical MEP above BFE; on-site retention/exfiltration; harden envelope per FTL Resiliency Plan</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Civil/hydrology design; City stormwater review</w:t>
            </w:r>
          </w:p>
        </w:tc>
      </w:tr>
      <w:tr>
        <w:tc>
          <w:tcPr>
            <w:tcW w:type="dxa" w:w="7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bCs/>
                <w:color w:val="000000"/>
                <w:sz w:val="18"/>
                <w:szCs w:val="18"/>
              </w:rPr>
              <w:t xml:space="preserve">R-2</w:t>
            </w:r>
          </w:p>
        </w:tc>
        <w:tc>
          <w:tcPr>
            <w:tcW w:type="dxa" w:w="185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FPL transformer capacity shortfall</w:t>
            </w:r>
          </w:p>
        </w:tc>
        <w:tc>
          <w:tcPr>
            <w:tcW w:type="dxa" w:w="7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center"/>
            </w:pPr>
            <w:r>
              <w:rPr>
                <w:b/>
                <w:bCs/>
                <w:color w:val="BF8F00"/>
                <w:sz w:val="18"/>
                <w:szCs w:val="18"/>
              </w:rPr>
              <w:t xml:space="preserve">Med</w:t>
            </w:r>
          </w:p>
        </w:tc>
        <w:tc>
          <w:tcPr>
            <w:tcW w:type="dxa" w:w="7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center"/>
            </w:pPr>
            <w:r>
              <w:rPr>
                <w:b/>
                <w:bCs/>
                <w:color w:val="9C2B2B"/>
                <w:sz w:val="18"/>
                <w:szCs w:val="18"/>
              </w:rPr>
              <w:t xml:space="preserve">High</w:t>
            </w:r>
          </w:p>
        </w:tc>
        <w:tc>
          <w:tcPr>
            <w:tcW w:type="dxa" w:w="301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Early will-serve study; central energy plant / redundancy; size switchgear room</w:t>
            </w:r>
          </w:p>
        </w:tc>
        <w:tc>
          <w:tcPr>
            <w:tcW w:type="dxa" w:w="24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FPL capacity study (OQ-04)</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bCs/>
                <w:color w:val="000000"/>
                <w:sz w:val="18"/>
                <w:szCs w:val="18"/>
              </w:rPr>
              <w:t xml:space="preserve">R-3</w:t>
            </w:r>
          </w:p>
        </w:tc>
        <w:tc>
          <w:tcPr>
            <w:tcW w:type="dxa" w:w="18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Medical-office supply glut / vacancy (10.4%)</w:t>
            </w:r>
          </w:p>
        </w:tc>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center"/>
            </w:pPr>
            <w:r>
              <w:rPr>
                <w:b/>
                <w:bCs/>
                <w:color w:val="BF8F00"/>
                <w:sz w:val="18"/>
                <w:szCs w:val="18"/>
              </w:rPr>
              <w:t xml:space="preserve">Med</w:t>
            </w:r>
          </w:p>
        </w:tc>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center"/>
            </w:pPr>
            <w:r>
              <w:rPr>
                <w:b/>
                <w:bCs/>
                <w:color w:val="BF8F00"/>
                <w:sz w:val="18"/>
                <w:szCs w:val="18"/>
              </w:rPr>
              <w:t xml:space="preserve">Med</w:t>
            </w:r>
          </w:p>
        </w:tc>
        <w:tc>
          <w:tcPr>
            <w:tcW w:type="dxa" w:w="301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Differentiate via co-working + surplus parking; avoid generic shell MOB</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Updated absorption data at lease-up</w:t>
            </w:r>
          </w:p>
        </w:tc>
      </w:tr>
      <w:tr>
        <w:tc>
          <w:tcPr>
            <w:tcW w:type="dxa" w:w="7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bCs/>
                <w:color w:val="000000"/>
                <w:sz w:val="18"/>
                <w:szCs w:val="18"/>
              </w:rPr>
              <w:t xml:space="preserve">R-4</w:t>
            </w:r>
          </w:p>
        </w:tc>
        <w:tc>
          <w:tcPr>
            <w:tcW w:type="dxa" w:w="185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Construction cost / interest-rate escalation</w:t>
            </w:r>
          </w:p>
        </w:tc>
        <w:tc>
          <w:tcPr>
            <w:tcW w:type="dxa" w:w="7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center"/>
            </w:pPr>
            <w:r>
              <w:rPr>
                <w:b/>
                <w:bCs/>
                <w:color w:val="9C2B2B"/>
                <w:sz w:val="18"/>
                <w:szCs w:val="18"/>
              </w:rPr>
              <w:t xml:space="preserve">High</w:t>
            </w:r>
          </w:p>
        </w:tc>
        <w:tc>
          <w:tcPr>
            <w:tcW w:type="dxa" w:w="7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center"/>
            </w:pPr>
            <w:r>
              <w:rPr>
                <w:b/>
                <w:bCs/>
                <w:color w:val="9C2B2B"/>
                <w:sz w:val="18"/>
                <w:szCs w:val="18"/>
              </w:rPr>
              <w:t xml:space="preserve">High</w:t>
            </w:r>
          </w:p>
        </w:tc>
        <w:tc>
          <w:tcPr>
            <w:tcW w:type="dxa" w:w="301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Value-engineer convertibility premium; just-in-time logistics; stress-test model</w:t>
            </w:r>
          </w:p>
        </w:tc>
        <w:tc>
          <w:tcPr>
            <w:tcW w:type="dxa" w:w="24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GC pricing; financial sensitivity</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bCs/>
                <w:color w:val="000000"/>
                <w:sz w:val="18"/>
                <w:szCs w:val="18"/>
              </w:rPr>
              <w:t xml:space="preserve">R-5</w:t>
            </w:r>
          </w:p>
        </w:tc>
        <w:tc>
          <w:tcPr>
            <w:tcW w:type="dxa" w:w="18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Entitlement / Live Local volatility</w:t>
            </w:r>
          </w:p>
        </w:tc>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center"/>
            </w:pPr>
            <w:r>
              <w:rPr>
                <w:b/>
                <w:bCs/>
                <w:color w:val="BF8F00"/>
                <w:sz w:val="18"/>
                <w:szCs w:val="18"/>
              </w:rPr>
              <w:t xml:space="preserve">Med</w:t>
            </w:r>
          </w:p>
        </w:tc>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center"/>
            </w:pPr>
            <w:r>
              <w:rPr>
                <w:b/>
                <w:bCs/>
                <w:color w:val="BF8F00"/>
                <w:sz w:val="18"/>
                <w:szCs w:val="18"/>
              </w:rPr>
              <w:t xml:space="preserve">Med</w:t>
            </w:r>
          </w:p>
        </w:tc>
        <w:tc>
          <w:tcPr>
            <w:tcW w:type="dxa" w:w="301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Retain land-use counsel now; lock vested rights via permits</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City determination; counsel opinion (OQ-03)</w:t>
            </w:r>
          </w:p>
        </w:tc>
      </w:tr>
      <w:tr>
        <w:tc>
          <w:tcPr>
            <w:tcW w:type="dxa" w:w="7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bCs/>
                <w:color w:val="000000"/>
                <w:sz w:val="18"/>
                <w:szCs w:val="18"/>
              </w:rPr>
              <w:t xml:space="preserve">R-6</w:t>
            </w:r>
          </w:p>
        </w:tc>
        <w:tc>
          <w:tcPr>
            <w:tcW w:type="dxa" w:w="185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Precast/structural connection failure</w:t>
            </w:r>
          </w:p>
        </w:tc>
        <w:tc>
          <w:tcPr>
            <w:tcW w:type="dxa" w:w="7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center"/>
            </w:pPr>
            <w:r>
              <w:rPr>
                <w:b/>
                <w:bCs/>
                <w:color w:val="548235"/>
                <w:sz w:val="18"/>
                <w:szCs w:val="18"/>
              </w:rPr>
              <w:t xml:space="preserve">Low</w:t>
            </w:r>
          </w:p>
        </w:tc>
        <w:tc>
          <w:tcPr>
            <w:tcW w:type="dxa" w:w="7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center"/>
            </w:pPr>
            <w:r>
              <w:rPr>
                <w:b/>
                <w:bCs/>
                <w:color w:val="9C2B2B"/>
                <w:sz w:val="18"/>
                <w:szCs w:val="18"/>
              </w:rPr>
              <w:t xml:space="preserve">High</w:t>
            </w:r>
          </w:p>
        </w:tc>
        <w:tc>
          <w:tcPr>
            <w:tcW w:type="dxa" w:w="301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SEOR hold-points; third-party special inspections (CHOP lesson)</w:t>
            </w:r>
          </w:p>
        </w:tc>
        <w:tc>
          <w:tcPr>
            <w:tcW w:type="dxa" w:w="24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Inspection protocol in CDs</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bCs/>
                <w:color w:val="000000"/>
                <w:sz w:val="18"/>
                <w:szCs w:val="18"/>
              </w:rPr>
              <w:t xml:space="preserve">R-7</w:t>
            </w:r>
          </w:p>
        </w:tc>
        <w:tc>
          <w:tcPr>
            <w:tcW w:type="dxa" w:w="18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Parking demand erosion from AV adoption</w:t>
            </w:r>
          </w:p>
        </w:tc>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center"/>
            </w:pPr>
            <w:r>
              <w:rPr>
                <w:b/>
                <w:bCs/>
                <w:color w:val="548235"/>
                <w:sz w:val="18"/>
                <w:szCs w:val="18"/>
              </w:rPr>
              <w:t xml:space="preserve">Low</w:t>
            </w:r>
          </w:p>
        </w:tc>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center"/>
            </w:pPr>
            <w:r>
              <w:rPr>
                <w:b/>
                <w:bCs/>
                <w:color w:val="BF8F00"/>
                <w:sz w:val="18"/>
                <w:szCs w:val="18"/>
              </w:rPr>
              <w:t xml:space="preserve">Med</w:t>
            </w:r>
          </w:p>
        </w:tc>
        <w:tc>
          <w:tcPr>
            <w:tcW w:type="dxa" w:w="301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Convertible structure enables reuse; phase EV/AV by trigger</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Demand monitoring; Ch.9 triggers</w:t>
            </w:r>
          </w:p>
        </w:tc>
      </w:tr>
      <w:tr>
        <w:tc>
          <w:tcPr>
            <w:tcW w:type="dxa" w:w="7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bCs/>
                <w:color w:val="000000"/>
                <w:sz w:val="18"/>
                <w:szCs w:val="18"/>
              </w:rPr>
              <w:t xml:space="preserve">R-8</w:t>
            </w:r>
          </w:p>
        </w:tc>
        <w:tc>
          <w:tcPr>
            <w:tcW w:type="dxa" w:w="185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Telehealth shrinks clinical footprint</w:t>
            </w:r>
          </w:p>
        </w:tc>
        <w:tc>
          <w:tcPr>
            <w:tcW w:type="dxa" w:w="7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center"/>
            </w:pPr>
            <w:r>
              <w:rPr>
                <w:b/>
                <w:bCs/>
                <w:color w:val="BF8F00"/>
                <w:sz w:val="18"/>
                <w:szCs w:val="18"/>
              </w:rPr>
              <w:t xml:space="preserve">Med</w:t>
            </w:r>
          </w:p>
        </w:tc>
        <w:tc>
          <w:tcPr>
            <w:tcW w:type="dxa" w:w="7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center"/>
            </w:pPr>
            <w:r>
              <w:rPr>
                <w:b/>
                <w:bCs/>
                <w:color w:val="BF8F00"/>
                <w:sz w:val="18"/>
                <w:szCs w:val="18"/>
              </w:rPr>
              <w:t xml:space="preserve">Med</w:t>
            </w:r>
          </w:p>
        </w:tc>
        <w:tc>
          <w:tcPr>
            <w:tcW w:type="dxa" w:w="301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Smaller flexible sound-proofed suites; co-working flexibility</w:t>
            </w:r>
          </w:p>
        </w:tc>
        <w:tc>
          <w:tcPr>
            <w:tcW w:type="dxa" w:w="24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Tenant demand signals</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bCs/>
                <w:color w:val="000000"/>
                <w:sz w:val="18"/>
                <w:szCs w:val="18"/>
              </w:rPr>
              <w:t xml:space="preserve">R-9</w:t>
            </w:r>
          </w:p>
        </w:tc>
        <w:tc>
          <w:tcPr>
            <w:tcW w:type="dxa" w:w="18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Site logistics (no laydown yard)</w:t>
            </w:r>
          </w:p>
        </w:tc>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center"/>
            </w:pPr>
            <w:r>
              <w:rPr>
                <w:b/>
                <w:bCs/>
                <w:color w:val="9C2B2B"/>
                <w:sz w:val="18"/>
                <w:szCs w:val="18"/>
              </w:rPr>
              <w:t xml:space="preserve">High</w:t>
            </w:r>
          </w:p>
        </w:tc>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center"/>
            </w:pPr>
            <w:r>
              <w:rPr>
                <w:b/>
                <w:bCs/>
                <w:color w:val="BF8F00"/>
                <w:sz w:val="18"/>
                <w:szCs w:val="18"/>
              </w:rPr>
              <w:t xml:space="preserve">Med</w:t>
            </w:r>
          </w:p>
        </w:tc>
        <w:tc>
          <w:tcPr>
            <w:tcW w:type="dxa" w:w="301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CM-led just-in-time delivery and staging plan</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CM logistics plan pre-GMP</w:t>
            </w:r>
          </w:p>
        </w:tc>
      </w:tr>
      <w:tr>
        <w:tc>
          <w:tcPr>
            <w:tcW w:type="dxa" w:w="7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bCs/>
                <w:color w:val="000000"/>
                <w:sz w:val="18"/>
                <w:szCs w:val="18"/>
              </w:rPr>
              <w:t xml:space="preserve">R-10</w:t>
            </w:r>
          </w:p>
        </w:tc>
        <w:tc>
          <w:tcPr>
            <w:tcW w:type="dxa" w:w="185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Geotechnical / foundation surprises</w:t>
            </w:r>
          </w:p>
        </w:tc>
        <w:tc>
          <w:tcPr>
            <w:tcW w:type="dxa" w:w="7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center"/>
            </w:pPr>
            <w:r>
              <w:rPr>
                <w:b/>
                <w:bCs/>
                <w:color w:val="BF8F00"/>
                <w:sz w:val="18"/>
                <w:szCs w:val="18"/>
              </w:rPr>
              <w:t xml:space="preserve">Med</w:t>
            </w:r>
          </w:p>
        </w:tc>
        <w:tc>
          <w:tcPr>
            <w:tcW w:type="dxa" w:w="7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center"/>
            </w:pPr>
            <w:r>
              <w:rPr>
                <w:b/>
                <w:bCs/>
                <w:color w:val="BF8F00"/>
                <w:sz w:val="18"/>
                <w:szCs w:val="18"/>
              </w:rPr>
              <w:t xml:space="preserve">Med</w:t>
            </w:r>
          </w:p>
        </w:tc>
        <w:tc>
          <w:tcPr>
            <w:tcW w:type="dxa" w:w="301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Geotechnical borings; benchmark deep-compaction precedent (SoLé Mia)</w:t>
            </w:r>
          </w:p>
        </w:tc>
        <w:tc>
          <w:tcPr>
            <w:tcW w:type="dxa" w:w="24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Geotech report</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bCs/>
                <w:color w:val="000000"/>
                <w:sz w:val="18"/>
                <w:szCs w:val="18"/>
              </w:rPr>
              <w:t xml:space="preserve">R-11</w:t>
            </w:r>
          </w:p>
        </w:tc>
        <w:tc>
          <w:tcPr>
            <w:tcW w:type="dxa" w:w="18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Title / easement defects</w:t>
            </w:r>
          </w:p>
        </w:tc>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center"/>
            </w:pPr>
            <w:r>
              <w:rPr>
                <w:b/>
                <w:bCs/>
                <w:color w:val="548235"/>
                <w:sz w:val="18"/>
                <w:szCs w:val="18"/>
              </w:rPr>
              <w:t xml:space="preserve">Low</w:t>
            </w:r>
          </w:p>
        </w:tc>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center"/>
            </w:pPr>
            <w:r>
              <w:rPr>
                <w:b/>
                <w:bCs/>
                <w:color w:val="BF8F00"/>
                <w:sz w:val="18"/>
                <w:szCs w:val="18"/>
              </w:rPr>
              <w:t xml:space="preserve">Med</w:t>
            </w:r>
          </w:p>
        </w:tc>
        <w:tc>
          <w:tcPr>
            <w:tcW w:type="dxa" w:w="301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Updated title commitment; survey reconciliation</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Title work (OQ-09)</w:t>
            </w:r>
          </w:p>
        </w:tc>
      </w:tr>
      <w:tr>
        <w:tc>
          <w:tcPr>
            <w:tcW w:type="dxa" w:w="7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bCs/>
                <w:color w:val="000000"/>
                <w:sz w:val="18"/>
                <w:szCs w:val="18"/>
              </w:rPr>
              <w:t xml:space="preserve">R-12</w:t>
            </w:r>
          </w:p>
        </w:tc>
        <w:tc>
          <w:tcPr>
            <w:tcW w:type="dxa" w:w="185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Project-thesis ambiguity (Nexus vs. clinical)</w:t>
            </w:r>
          </w:p>
        </w:tc>
        <w:tc>
          <w:tcPr>
            <w:tcW w:type="dxa" w:w="7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center"/>
            </w:pPr>
            <w:r>
              <w:rPr>
                <w:b/>
                <w:bCs/>
                <w:color w:val="BF8F00"/>
                <w:sz w:val="18"/>
                <w:szCs w:val="18"/>
              </w:rPr>
              <w:t xml:space="preserve">Med</w:t>
            </w:r>
          </w:p>
        </w:tc>
        <w:tc>
          <w:tcPr>
            <w:tcW w:type="dxa" w:w="7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center"/>
            </w:pPr>
            <w:r>
              <w:rPr>
                <w:b/>
                <w:bCs/>
                <w:color w:val="9C2B2B"/>
                <w:sz w:val="18"/>
                <w:szCs w:val="18"/>
              </w:rPr>
              <w:t xml:space="preserve">High</w:t>
            </w:r>
          </w:p>
        </w:tc>
        <w:tc>
          <w:tcPr>
            <w:tcW w:type="dxa" w:w="301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Ratify thesis via governing decision before design spend</w:t>
            </w:r>
          </w:p>
        </w:tc>
        <w:tc>
          <w:tcPr>
            <w:tcW w:type="dxa" w:w="24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Owner ruling (OQ-01)</w:t>
            </w:r>
          </w:p>
        </w:tc>
      </w:tr>
    </w:tbl>
    <w:p>
      <w:pPr>
        <w:spacing w:after="60"/>
      </w:pPr>
    </w:p>
    <w:p>
      <w:pPr>
        <w:pBdr>
          <w:top w:val="single" w:color="2E5496" w:sz="6" w:space="4"/>
        </w:pBdr>
        <w:spacing w:after="80" w:before="80"/>
      </w:pPr>
      <w:r>
        <w:rPr>
          <w:b/>
          <w:bCs/>
          <w:color w:val="2E5496"/>
          <w:sz w:val="20"/>
          <w:szCs w:val="20"/>
        </w:rPr>
        <w:t xml:space="preserve">Chapter Close-Out</w:t>
      </w:r>
    </w:p>
    <w:p>
      <w:pPr>
        <w:spacing w:after="30" w:before="60"/>
      </w:pPr>
      <w:r>
        <w:rPr>
          <w:b/>
          <w:bCs/>
          <w:color w:val="1F3864"/>
          <w:sz w:val="18"/>
          <w:szCs w:val="18"/>
        </w:rPr>
        <w:t xml:space="preserve">Key Decisions</w:t>
      </w:r>
    </w:p>
    <w:p>
      <w:pPr>
        <w:pStyle w:val="ListParagraph"/>
        <w:numPr>
          <w:ilvl w:val="0"/>
          <w:numId w:val="2"/>
        </w:numPr>
        <w:spacing w:after="20" w:line="250"/>
      </w:pPr>
      <w:r>
        <w:rPr>
          <w:sz w:val="18"/>
          <w:szCs w:val="18"/>
        </w:rPr>
        <w:t xml:space="preserve">Treat flood resilience, FPL capacity, cost/rate escalation, and site logistics as the top-priority risks to actively manage from kickoff.</w:t>
      </w:r>
    </w:p>
    <w:p>
      <w:pPr>
        <w:pStyle w:val="ListParagraph"/>
        <w:numPr>
          <w:ilvl w:val="0"/>
          <w:numId w:val="2"/>
        </w:numPr>
        <w:spacing w:after="20" w:line="250"/>
      </w:pPr>
      <w:r>
        <w:rPr>
          <w:sz w:val="18"/>
          <w:szCs w:val="18"/>
        </w:rPr>
        <w:t xml:space="preserve">Retire the project-thesis ambiguity risk via an Owner ruling before significant design spend.</w:t>
      </w:r>
    </w:p>
    <w:p>
      <w:pPr>
        <w:spacing w:after="30" w:before="60"/>
      </w:pPr>
      <w:r>
        <w:rPr>
          <w:b/>
          <w:bCs/>
          <w:color w:val="548235"/>
          <w:sz w:val="18"/>
          <w:szCs w:val="18"/>
        </w:rPr>
        <w:t xml:space="preserve">Supporting Evidence</w:t>
      </w:r>
    </w:p>
    <w:p>
      <w:pPr>
        <w:pStyle w:val="ListParagraph"/>
        <w:numPr>
          <w:ilvl w:val="0"/>
          <w:numId w:val="2"/>
        </w:numPr>
        <w:spacing w:after="20" w:line="250"/>
      </w:pPr>
      <w:r>
        <w:rPr>
          <w:sz w:val="18"/>
          <w:szCs w:val="18"/>
        </w:rPr>
        <w:t xml:space="preserve">Site Intelligence (flood, FPL, logistics); Market Study (vacancy, cap rates, legislative risk); Benchmark Study (CHOP, SoLé Mia).</w:t>
      </w:r>
    </w:p>
    <w:p>
      <w:pPr>
        <w:spacing w:after="30" w:before="60"/>
      </w:pPr>
      <w:r>
        <w:rPr>
          <w:b/>
          <w:bCs/>
          <w:color w:val="BF8F00"/>
          <w:sz w:val="18"/>
          <w:szCs w:val="18"/>
        </w:rPr>
        <w:t xml:space="preserve">Remaining Unknowns</w:t>
      </w:r>
    </w:p>
    <w:p>
      <w:pPr>
        <w:pStyle w:val="ListParagraph"/>
        <w:numPr>
          <w:ilvl w:val="0"/>
          <w:numId w:val="2"/>
        </w:numPr>
        <w:spacing w:after="20" w:line="250"/>
      </w:pPr>
      <w:r>
        <w:rPr>
          <w:sz w:val="18"/>
          <w:szCs w:val="18"/>
        </w:rPr>
        <w:t xml:space="preserve">Specialist confirmation of each rating (civil, electrical, geotech, counsel, GC).</w:t>
      </w:r>
    </w:p>
    <w:p>
      <w:pPr>
        <w:spacing w:after="30" w:before="60"/>
      </w:pPr>
      <w:r>
        <w:rPr>
          <w:b/>
          <w:bCs/>
          <w:color w:val="2E5496"/>
          <w:sz w:val="18"/>
          <w:szCs w:val="18"/>
        </w:rPr>
        <w:t xml:space="preserve">Recommended Next Actions</w:t>
      </w:r>
    </w:p>
    <w:p>
      <w:pPr>
        <w:pStyle w:val="ListParagraph"/>
        <w:numPr>
          <w:ilvl w:val="0"/>
          <w:numId w:val="2"/>
        </w:numPr>
        <w:spacing w:after="20" w:line="250"/>
      </w:pPr>
      <w:r>
        <w:rPr>
          <w:sz w:val="18"/>
          <w:szCs w:val="18"/>
        </w:rPr>
        <w:t xml:space="preserve">Convert this register into a live risk log reviewed at each design milestone.</w:t>
      </w:r>
    </w:p>
    <w:p>
      <w:r>
        <w:br w:type="page"/>
      </w:r>
    </w:p>
    <w:p>
      <w:pPr>
        <w:pStyle w:val="Heading1"/>
      </w:pPr>
      <w:r>
        <w:t xml:space="preserve">13. Permanent Design Principles</w:t>
      </w:r>
    </w:p>
    <w:p>
      <w:pPr>
        <w:spacing w:after="120" w:line="264"/>
      </w:pPr>
      <w:r>
        <w:t xml:space="preserve">The following evidence-based principles become permanent project standards. They are grouped by domain. Each is concise and actionable; sources are the research library, benchmark projects, and recognized healthcare/parking/engineering/institutional standards. These should migrate into the Design Standards document and govern all subsequent design work.</w:t>
      </w:r>
    </w:p>
    <w:p>
      <w:pPr>
        <w:pStyle w:val="Heading2"/>
      </w:pPr>
      <w:r>
        <w:t xml:space="preserve">A. Governance &amp; Process</w:t>
      </w:r>
    </w:p>
    <w:p>
      <w:pPr>
        <w:pStyle w:val="ListParagraph"/>
        <w:numPr>
          <w:ilvl w:val="0"/>
          <w:numId w:val="4"/>
        </w:numPr>
        <w:spacing w:after="20" w:line="250"/>
      </w:pPr>
      <w:r>
        <w:rPr>
          <w:sz w:val="19"/>
          <w:szCs w:val="19"/>
        </w:rPr>
        <w:t xml:space="preserve">Treat the Project Constitution as supreme; never let a design preference override it.</w:t>
      </w:r>
    </w:p>
    <w:p>
      <w:pPr>
        <w:pStyle w:val="ListParagraph"/>
        <w:numPr>
          <w:ilvl w:val="0"/>
          <w:numId w:val="4"/>
        </w:numPr>
        <w:spacing w:after="20" w:line="250"/>
      </w:pPr>
      <w:r>
        <w:rPr>
          <w:sz w:val="19"/>
          <w:szCs w:val="19"/>
        </w:rPr>
        <w:t xml:space="preserve">Never contradict an active Decision Log entry without written rationale and a proposed update.</w:t>
      </w:r>
    </w:p>
    <w:p>
      <w:pPr>
        <w:pStyle w:val="ListParagraph"/>
        <w:numPr>
          <w:ilvl w:val="0"/>
          <w:numId w:val="4"/>
        </w:numPr>
        <w:spacing w:after="20" w:line="250"/>
      </w:pPr>
      <w:r>
        <w:rPr>
          <w:sz w:val="19"/>
          <w:szCs w:val="19"/>
        </w:rPr>
        <w:t xml:space="preserve">Tag every material claim as fact, assumption, forecast, or judgment.</w:t>
      </w:r>
    </w:p>
    <w:p>
      <w:pPr>
        <w:pStyle w:val="ListParagraph"/>
        <w:numPr>
          <w:ilvl w:val="0"/>
          <w:numId w:val="4"/>
        </w:numPr>
        <w:spacing w:after="20" w:line="250"/>
      </w:pPr>
      <w:r>
        <w:rPr>
          <w:sz w:val="19"/>
          <w:szCs w:val="19"/>
        </w:rPr>
        <w:t xml:space="preserve">Never fabricate engineering, zoning, utility, or financial data; record uncertainty in Open Questions.</w:t>
      </w:r>
    </w:p>
    <w:p>
      <w:pPr>
        <w:pStyle w:val="ListParagraph"/>
        <w:numPr>
          <w:ilvl w:val="0"/>
          <w:numId w:val="4"/>
        </w:numPr>
        <w:spacing w:after="20" w:line="250"/>
      </w:pPr>
      <w:r>
        <w:rPr>
          <w:sz w:val="19"/>
          <w:szCs w:val="19"/>
        </w:rPr>
        <w:t xml:space="preserve">Reference this ODP in every downstream deliverable.</w:t>
      </w:r>
    </w:p>
    <w:p>
      <w:pPr>
        <w:pStyle w:val="ListParagraph"/>
        <w:numPr>
          <w:ilvl w:val="0"/>
          <w:numId w:val="4"/>
        </w:numPr>
        <w:spacing w:after="20" w:line="250"/>
      </w:pPr>
      <w:r>
        <w:rPr>
          <w:sz w:val="19"/>
          <w:szCs w:val="19"/>
        </w:rPr>
        <w:t xml:space="preserve">Re-test major decisions against the Constitution’s eight decision questions.</w:t>
      </w:r>
    </w:p>
    <w:p>
      <w:pPr>
        <w:pStyle w:val="ListParagraph"/>
        <w:numPr>
          <w:ilvl w:val="0"/>
          <w:numId w:val="4"/>
        </w:numPr>
        <w:spacing w:after="20" w:line="250"/>
      </w:pPr>
      <w:r>
        <w:rPr>
          <w:sz w:val="19"/>
          <w:szCs w:val="19"/>
        </w:rPr>
        <w:t xml:space="preserve">Prefer the simplest solution that meets the objective; add complexity only for measurable value.</w:t>
      </w:r>
    </w:p>
    <w:p>
      <w:pPr>
        <w:pStyle w:val="ListParagraph"/>
        <w:numPr>
          <w:ilvl w:val="0"/>
          <w:numId w:val="4"/>
        </w:numPr>
        <w:spacing w:after="20" w:line="250"/>
      </w:pPr>
      <w:r>
        <w:rPr>
          <w:sz w:val="19"/>
          <w:szCs w:val="19"/>
        </w:rPr>
        <w:t xml:space="preserve">Evaluate every decision on a ten-year horizon, not today’s market alone.</w:t>
      </w:r>
    </w:p>
    <w:p>
      <w:pPr>
        <w:spacing w:after="40"/>
      </w:pPr>
    </w:p>
    <w:p>
      <w:pPr>
        <w:pStyle w:val="Heading2"/>
      </w:pPr>
      <w:r>
        <w:t xml:space="preserve">B. Site &amp; Civil</w:t>
      </w:r>
    </w:p>
    <w:p>
      <w:pPr>
        <w:pStyle w:val="ListParagraph"/>
        <w:numPr>
          <w:ilvl w:val="0"/>
          <w:numId w:val="4"/>
        </w:numPr>
        <w:spacing w:after="20" w:line="250"/>
      </w:pPr>
      <w:r>
        <w:rPr>
          <w:sz w:val="19"/>
          <w:szCs w:val="19"/>
        </w:rPr>
        <w:t xml:space="preserve">Treat the entire site as FEMA Zone AE; design as if flooding is expected.</w:t>
      </w:r>
    </w:p>
    <w:p>
      <w:pPr>
        <w:pStyle w:val="ListParagraph"/>
        <w:numPr>
          <w:ilvl w:val="0"/>
          <w:numId w:val="4"/>
        </w:numPr>
        <w:spacing w:after="20" w:line="250"/>
      </w:pPr>
      <w:r>
        <w:rPr>
          <w:sz w:val="19"/>
          <w:szCs w:val="19"/>
        </w:rPr>
        <w:t xml:space="preserve">Elevate all critical MEP above the Base Flood Elevation.</w:t>
      </w:r>
    </w:p>
    <w:p>
      <w:pPr>
        <w:pStyle w:val="ListParagraph"/>
        <w:numPr>
          <w:ilvl w:val="0"/>
          <w:numId w:val="4"/>
        </w:numPr>
        <w:spacing w:after="20" w:line="250"/>
      </w:pPr>
      <w:r>
        <w:rPr>
          <w:sz w:val="19"/>
          <w:szCs w:val="19"/>
        </w:rPr>
        <w:t xml:space="preserve">Provide on-site retention vaults and exfiltration trenches per the City resilient stormwater master plan.</w:t>
      </w:r>
    </w:p>
    <w:p>
      <w:pPr>
        <w:pStyle w:val="ListParagraph"/>
        <w:numPr>
          <w:ilvl w:val="0"/>
          <w:numId w:val="4"/>
        </w:numPr>
        <w:spacing w:after="20" w:line="250"/>
      </w:pPr>
      <w:r>
        <w:rPr>
          <w:sz w:val="19"/>
          <w:szCs w:val="19"/>
        </w:rPr>
        <w:t xml:space="preserve">Start hydrology design early — it gates entitlement.</w:t>
      </w:r>
    </w:p>
    <w:p>
      <w:pPr>
        <w:pStyle w:val="ListParagraph"/>
        <w:numPr>
          <w:ilvl w:val="0"/>
          <w:numId w:val="4"/>
        </w:numPr>
        <w:spacing w:after="20" w:line="250"/>
      </w:pPr>
      <w:r>
        <w:rPr>
          <w:sz w:val="19"/>
          <w:szCs w:val="19"/>
        </w:rPr>
        <w:t xml:space="preserve">Honor the 0 ft build-to line on Andrews Avenue with active frontage.</w:t>
      </w:r>
    </w:p>
    <w:p>
      <w:pPr>
        <w:pStyle w:val="ListParagraph"/>
        <w:numPr>
          <w:ilvl w:val="0"/>
          <w:numId w:val="4"/>
        </w:numPr>
        <w:spacing w:after="20" w:line="250"/>
      </w:pPr>
      <w:r>
        <w:rPr>
          <w:sz w:val="19"/>
          <w:szCs w:val="19"/>
        </w:rPr>
        <w:t xml:space="preserve">Apply the 10 ft setback only where abutting residential.</w:t>
      </w:r>
    </w:p>
    <w:p>
      <w:pPr>
        <w:pStyle w:val="ListParagraph"/>
        <w:numPr>
          <w:ilvl w:val="0"/>
          <w:numId w:val="4"/>
        </w:numPr>
        <w:spacing w:after="20" w:line="250"/>
      </w:pPr>
      <w:r>
        <w:rPr>
          <w:sz w:val="19"/>
          <w:szCs w:val="19"/>
        </w:rPr>
        <w:t xml:space="preserve">Push vehicular and service access to the secondary/rear edges.</w:t>
      </w:r>
    </w:p>
    <w:p>
      <w:pPr>
        <w:pStyle w:val="ListParagraph"/>
        <w:numPr>
          <w:ilvl w:val="0"/>
          <w:numId w:val="4"/>
        </w:numPr>
        <w:spacing w:after="20" w:line="250"/>
      </w:pPr>
      <w:r>
        <w:rPr>
          <w:sz w:val="19"/>
          <w:szCs w:val="19"/>
        </w:rPr>
        <w:t xml:space="preserve">Preserve and leverage protected northern views toward Hardy Park.</w:t>
      </w:r>
    </w:p>
    <w:p>
      <w:pPr>
        <w:pStyle w:val="ListParagraph"/>
        <w:numPr>
          <w:ilvl w:val="0"/>
          <w:numId w:val="4"/>
        </w:numPr>
        <w:spacing w:after="20" w:line="250"/>
      </w:pPr>
      <w:r>
        <w:rPr>
          <w:sz w:val="19"/>
          <w:szCs w:val="19"/>
        </w:rPr>
        <w:t xml:space="preserve">Plan for just-in-time delivery; assume no on-site laydown yard.</w:t>
      </w:r>
    </w:p>
    <w:p>
      <w:pPr>
        <w:pStyle w:val="ListParagraph"/>
        <w:numPr>
          <w:ilvl w:val="0"/>
          <w:numId w:val="4"/>
        </w:numPr>
        <w:spacing w:after="20" w:line="250"/>
      </w:pPr>
      <w:r>
        <w:rPr>
          <w:sz w:val="19"/>
          <w:szCs w:val="19"/>
        </w:rPr>
        <w:t xml:space="preserve">Confirm soils with geotechnical borings before foundation design.</w:t>
      </w:r>
    </w:p>
    <w:p>
      <w:pPr>
        <w:spacing w:after="40"/>
      </w:pPr>
    </w:p>
    <w:p>
      <w:pPr>
        <w:pStyle w:val="Heading2"/>
      </w:pPr>
      <w:r>
        <w:t xml:space="preserve">C. Parking &amp; Structure</w:t>
      </w:r>
    </w:p>
    <w:p>
      <w:pPr>
        <w:pStyle w:val="ListParagraph"/>
        <w:numPr>
          <w:ilvl w:val="0"/>
          <w:numId w:val="4"/>
        </w:numPr>
        <w:spacing w:after="20" w:line="250"/>
      </w:pPr>
      <w:r>
        <w:rPr>
          <w:sz w:val="19"/>
          <w:szCs w:val="19"/>
        </w:rPr>
        <w:t xml:space="preserve">Design parking as convertible infrastructure, not single-use storage.</w:t>
      </w:r>
    </w:p>
    <w:p>
      <w:pPr>
        <w:pStyle w:val="ListParagraph"/>
        <w:numPr>
          <w:ilvl w:val="0"/>
          <w:numId w:val="4"/>
        </w:numPr>
        <w:spacing w:after="20" w:line="250"/>
      </w:pPr>
      <w:r>
        <w:rPr>
          <w:sz w:val="19"/>
          <w:szCs w:val="19"/>
        </w:rPr>
        <w:t xml:space="preserve">Use flat floor plates at ~1–2% drainage gradient, not parked-on sloped ramps.</w:t>
      </w:r>
    </w:p>
    <w:p>
      <w:pPr>
        <w:pStyle w:val="ListParagraph"/>
        <w:numPr>
          <w:ilvl w:val="0"/>
          <w:numId w:val="4"/>
        </w:numPr>
        <w:spacing w:after="20" w:line="250"/>
      </w:pPr>
      <w:r>
        <w:rPr>
          <w:sz w:val="19"/>
          <w:szCs w:val="19"/>
        </w:rPr>
        <w:t xml:space="preserve">Place speed ramps externally or in a single removable bay.</w:t>
      </w:r>
    </w:p>
    <w:p>
      <w:pPr>
        <w:pStyle w:val="ListParagraph"/>
        <w:numPr>
          <w:ilvl w:val="0"/>
          <w:numId w:val="4"/>
        </w:numPr>
        <w:spacing w:after="20" w:line="250"/>
      </w:pPr>
      <w:r>
        <w:rPr>
          <w:sz w:val="19"/>
          <w:szCs w:val="19"/>
        </w:rPr>
        <w:t xml:space="preserve">Adopt a universal structural grid serving both parking and clinical layouts.</w:t>
      </w:r>
    </w:p>
    <w:p>
      <w:pPr>
        <w:pStyle w:val="ListParagraph"/>
        <w:numPr>
          <w:ilvl w:val="0"/>
          <w:numId w:val="4"/>
        </w:numPr>
        <w:spacing w:after="20" w:line="250"/>
      </w:pPr>
      <w:r>
        <w:rPr>
          <w:sz w:val="19"/>
          <w:szCs w:val="19"/>
        </w:rPr>
        <w:t xml:space="preserve">Provide a minimum 12 ft floor-to-floor on convertible levels.</w:t>
      </w:r>
    </w:p>
    <w:p>
      <w:pPr>
        <w:pStyle w:val="ListParagraph"/>
        <w:numPr>
          <w:ilvl w:val="0"/>
          <w:numId w:val="4"/>
        </w:numPr>
        <w:spacing w:after="20" w:line="250"/>
      </w:pPr>
      <w:r>
        <w:rPr>
          <w:sz w:val="19"/>
          <w:szCs w:val="19"/>
        </w:rPr>
        <w:t xml:space="preserve">Design convertible levels for 50–100 psf live load; target 100 psf where conversion is intended.</w:t>
      </w:r>
    </w:p>
    <w:p>
      <w:pPr>
        <w:pStyle w:val="ListParagraph"/>
        <w:numPr>
          <w:ilvl w:val="0"/>
          <w:numId w:val="4"/>
        </w:numPr>
        <w:spacing w:after="20" w:line="250"/>
      </w:pPr>
      <w:r>
        <w:rPr>
          <w:sz w:val="19"/>
          <w:szCs w:val="19"/>
        </w:rPr>
        <w:t xml:space="preserve">Use cast-in-place concrete for durability in a marine/flood environment.</w:t>
      </w:r>
    </w:p>
    <w:p>
      <w:pPr>
        <w:pStyle w:val="ListParagraph"/>
        <w:numPr>
          <w:ilvl w:val="0"/>
          <w:numId w:val="4"/>
        </w:numPr>
        <w:spacing w:after="20" w:line="250"/>
      </w:pPr>
      <w:r>
        <w:rPr>
          <w:sz w:val="19"/>
          <w:szCs w:val="19"/>
        </w:rPr>
        <w:t xml:space="preserve">Oversize vertical utility chases for future medical-equipment retrofit.</w:t>
      </w:r>
    </w:p>
    <w:p>
      <w:pPr>
        <w:pStyle w:val="ListParagraph"/>
        <w:numPr>
          <w:ilvl w:val="0"/>
          <w:numId w:val="4"/>
        </w:numPr>
        <w:spacing w:after="20" w:line="250"/>
      </w:pPr>
      <w:r>
        <w:rPr>
          <w:sz w:val="19"/>
          <w:szCs w:val="19"/>
        </w:rPr>
        <w:t xml:space="preserve">Design the roof for PV, mechanical, and future equipment loads.</w:t>
      </w:r>
    </w:p>
    <w:p>
      <w:pPr>
        <w:pStyle w:val="ListParagraph"/>
        <w:numPr>
          <w:ilvl w:val="0"/>
          <w:numId w:val="4"/>
        </w:numPr>
        <w:spacing w:after="20" w:line="250"/>
      </w:pPr>
      <w:r>
        <w:rPr>
          <w:sz w:val="19"/>
          <w:szCs w:val="19"/>
        </w:rPr>
        <w:t xml:space="preserve">Accept the convertibility premium at the low-to-mid range, not maximal cost.</w:t>
      </w:r>
    </w:p>
    <w:p>
      <w:pPr>
        <w:pStyle w:val="ListParagraph"/>
        <w:numPr>
          <w:ilvl w:val="0"/>
          <w:numId w:val="4"/>
        </w:numPr>
        <w:spacing w:after="20" w:line="250"/>
      </w:pPr>
      <w:r>
        <w:rPr>
          <w:sz w:val="19"/>
          <w:szCs w:val="19"/>
        </w:rPr>
        <w:t xml:space="preserve">Mandate SEOR hold-points on every grouted base and welded connection.</w:t>
      </w:r>
    </w:p>
    <w:p>
      <w:pPr>
        <w:pStyle w:val="ListParagraph"/>
        <w:numPr>
          <w:ilvl w:val="0"/>
          <w:numId w:val="4"/>
        </w:numPr>
        <w:spacing w:after="20" w:line="250"/>
      </w:pPr>
      <w:r>
        <w:rPr>
          <w:sz w:val="19"/>
          <w:szCs w:val="19"/>
        </w:rPr>
        <w:t xml:space="preserve">Require independent third-party special inspections (CHOP lesson).</w:t>
      </w:r>
    </w:p>
    <w:p>
      <w:pPr>
        <w:pStyle w:val="ListParagraph"/>
        <w:numPr>
          <w:ilvl w:val="0"/>
          <w:numId w:val="4"/>
        </w:numPr>
        <w:spacing w:after="20" w:line="250"/>
      </w:pPr>
      <w:r>
        <w:rPr>
          <w:sz w:val="19"/>
          <w:szCs w:val="19"/>
        </w:rPr>
        <w:t xml:space="preserve">Keep ramp systems independently demolishable to enable future conversion.</w:t>
      </w:r>
    </w:p>
    <w:p>
      <w:pPr>
        <w:pStyle w:val="ListParagraph"/>
        <w:numPr>
          <w:ilvl w:val="0"/>
          <w:numId w:val="4"/>
        </w:numPr>
        <w:spacing w:after="20" w:line="250"/>
      </w:pPr>
      <w:r>
        <w:rPr>
          <w:sz w:val="19"/>
          <w:szCs w:val="19"/>
        </w:rPr>
        <w:t xml:space="preserve">Evaluate mass timber only for upper floors, subject to flood/durability and code limits.</w:t>
      </w:r>
    </w:p>
    <w:p>
      <w:pPr>
        <w:spacing w:after="40"/>
      </w:pPr>
    </w:p>
    <w:p>
      <w:pPr>
        <w:pStyle w:val="Heading2"/>
      </w:pPr>
      <w:r>
        <w:t xml:space="preserve">D. Clinical &amp; Healthcare</w:t>
      </w:r>
    </w:p>
    <w:p>
      <w:pPr>
        <w:pStyle w:val="ListParagraph"/>
        <w:numPr>
          <w:ilvl w:val="0"/>
          <w:numId w:val="4"/>
        </w:numPr>
        <w:spacing w:after="20" w:line="250"/>
      </w:pPr>
      <w:r>
        <w:rPr>
          <w:sz w:val="19"/>
          <w:szCs w:val="19"/>
        </w:rPr>
        <w:t xml:space="preserve">Make every major decision improve patient access, provider efficiency, or healthcare economic activity.</w:t>
      </w:r>
    </w:p>
    <w:p>
      <w:pPr>
        <w:pStyle w:val="ListParagraph"/>
        <w:numPr>
          <w:ilvl w:val="0"/>
          <w:numId w:val="4"/>
        </w:numPr>
        <w:spacing w:after="20" w:line="250"/>
      </w:pPr>
      <w:r>
        <w:rPr>
          <w:sz w:val="19"/>
          <w:szCs w:val="19"/>
        </w:rPr>
        <w:t xml:space="preserve">Decouple outpatient space from inpatient code to avoid onerous structural requirements (Hoag).</w:t>
      </w:r>
    </w:p>
    <w:p>
      <w:pPr>
        <w:pStyle w:val="ListParagraph"/>
        <w:numPr>
          <w:ilvl w:val="0"/>
          <w:numId w:val="4"/>
        </w:numPr>
        <w:spacing w:after="20" w:line="250"/>
      </w:pPr>
      <w:r>
        <w:rPr>
          <w:sz w:val="19"/>
          <w:szCs w:val="19"/>
        </w:rPr>
        <w:t xml:space="preserve">Design smaller, sound-proofed, flexible consultation suites to hedge telehealth.</w:t>
      </w:r>
    </w:p>
    <w:p>
      <w:pPr>
        <w:pStyle w:val="ListParagraph"/>
        <w:numPr>
          <w:ilvl w:val="0"/>
          <w:numId w:val="4"/>
        </w:numPr>
        <w:spacing w:after="20" w:line="250"/>
      </w:pPr>
      <w:r>
        <w:rPr>
          <w:sz w:val="19"/>
          <w:szCs w:val="19"/>
        </w:rPr>
        <w:t xml:space="preserve">Provide medical parking at 4.0–5.0 spaces / 1,000 SF of clinical area.</w:t>
      </w:r>
    </w:p>
    <w:p>
      <w:pPr>
        <w:pStyle w:val="ListParagraph"/>
        <w:numPr>
          <w:ilvl w:val="0"/>
          <w:numId w:val="4"/>
        </w:numPr>
        <w:spacing w:after="20" w:line="250"/>
      </w:pPr>
      <w:r>
        <w:rPr>
          <w:sz w:val="19"/>
          <w:szCs w:val="19"/>
        </w:rPr>
        <w:t xml:space="preserve">Anchor upper floors with a medical co-working operator to capture independents.</w:t>
      </w:r>
    </w:p>
    <w:p>
      <w:pPr>
        <w:pStyle w:val="ListParagraph"/>
        <w:numPr>
          <w:ilvl w:val="0"/>
          <w:numId w:val="4"/>
        </w:numPr>
        <w:spacing w:after="20" w:line="250"/>
      </w:pPr>
      <w:r>
        <w:rPr>
          <w:sz w:val="19"/>
          <w:szCs w:val="19"/>
        </w:rPr>
        <w:t xml:space="preserve">Position the asset as complementary to Broward Health, not competitive with its MOB.</w:t>
      </w:r>
    </w:p>
    <w:p>
      <w:pPr>
        <w:pStyle w:val="ListParagraph"/>
        <w:numPr>
          <w:ilvl w:val="0"/>
          <w:numId w:val="4"/>
        </w:numPr>
        <w:spacing w:after="20" w:line="250"/>
      </w:pPr>
      <w:r>
        <w:rPr>
          <w:sz w:val="19"/>
          <w:szCs w:val="19"/>
        </w:rPr>
        <w:t xml:space="preserve">Locate diagnostics/imaging only after confirming electrical capacity.</w:t>
      </w:r>
    </w:p>
    <w:p>
      <w:pPr>
        <w:pStyle w:val="ListParagraph"/>
        <w:numPr>
          <w:ilvl w:val="0"/>
          <w:numId w:val="4"/>
        </w:numPr>
        <w:spacing w:after="20" w:line="250"/>
      </w:pPr>
      <w:r>
        <w:rPr>
          <w:sz w:val="19"/>
          <w:szCs w:val="19"/>
        </w:rPr>
        <w:t xml:space="preserve">Maintain HIPAA-compliant, turnkey suite standards for co-working tenants.</w:t>
      </w:r>
    </w:p>
    <w:p>
      <w:pPr>
        <w:pStyle w:val="ListParagraph"/>
        <w:numPr>
          <w:ilvl w:val="0"/>
          <w:numId w:val="4"/>
        </w:numPr>
        <w:spacing w:after="20" w:line="250"/>
      </w:pPr>
      <w:r>
        <w:rPr>
          <w:sz w:val="19"/>
          <w:szCs w:val="19"/>
        </w:rPr>
        <w:t xml:space="preserve">Prioritize wayfinding clarity for patients from drop-off to clinic.</w:t>
      </w:r>
    </w:p>
    <w:p>
      <w:pPr>
        <w:pStyle w:val="ListParagraph"/>
        <w:numPr>
          <w:ilvl w:val="0"/>
          <w:numId w:val="4"/>
        </w:numPr>
        <w:spacing w:after="20" w:line="250"/>
      </w:pPr>
      <w:r>
        <w:rPr>
          <w:sz w:val="19"/>
          <w:szCs w:val="19"/>
        </w:rPr>
        <w:t xml:space="preserve">Design for an aging, high-acuity outpatient population.</w:t>
      </w:r>
    </w:p>
    <w:p>
      <w:pPr>
        <w:spacing w:after="40"/>
      </w:pPr>
    </w:p>
    <w:p>
      <w:pPr>
        <w:pStyle w:val="Heading2"/>
      </w:pPr>
      <w:r>
        <w:t xml:space="preserve">E. Retail / Medtail &amp; Public Realm</w:t>
      </w:r>
    </w:p>
    <w:p>
      <w:pPr>
        <w:pStyle w:val="ListParagraph"/>
        <w:numPr>
          <w:ilvl w:val="0"/>
          <w:numId w:val="4"/>
        </w:numPr>
        <w:spacing w:after="20" w:line="250"/>
      </w:pPr>
      <w:r>
        <w:rPr>
          <w:sz w:val="19"/>
          <w:szCs w:val="19"/>
        </w:rPr>
        <w:t xml:space="preserve">Activate the Andrews Avenue frontage with transparent medtail.</w:t>
      </w:r>
    </w:p>
    <w:p>
      <w:pPr>
        <w:pStyle w:val="ListParagraph"/>
        <w:numPr>
          <w:ilvl w:val="0"/>
          <w:numId w:val="4"/>
        </w:numPr>
        <w:spacing w:after="20" w:line="250"/>
      </w:pPr>
      <w:r>
        <w:rPr>
          <w:sz w:val="19"/>
          <w:szCs w:val="19"/>
        </w:rPr>
        <w:t xml:space="preserve">Co-locate pharmacy and DME to capture post-discharge flow.</w:t>
      </w:r>
    </w:p>
    <w:p>
      <w:pPr>
        <w:pStyle w:val="ListParagraph"/>
        <w:numPr>
          <w:ilvl w:val="0"/>
          <w:numId w:val="4"/>
        </w:numPr>
        <w:spacing w:after="20" w:line="250"/>
      </w:pPr>
      <w:r>
        <w:rPr>
          <w:sz w:val="19"/>
          <w:szCs w:val="19"/>
        </w:rPr>
        <w:t xml:space="preserve">Provide urgent care as a low-acuity triage buffer for the trauma center.</w:t>
      </w:r>
    </w:p>
    <w:p>
      <w:pPr>
        <w:pStyle w:val="ListParagraph"/>
        <w:numPr>
          <w:ilvl w:val="0"/>
          <w:numId w:val="4"/>
        </w:numPr>
        <w:spacing w:after="20" w:line="250"/>
      </w:pPr>
      <w:r>
        <w:rPr>
          <w:sz w:val="19"/>
          <w:szCs w:val="19"/>
        </w:rPr>
        <w:t xml:space="preserve">Target wellness/medspa uses to the affluent 33316 demographic.</w:t>
      </w:r>
    </w:p>
    <w:p>
      <w:pPr>
        <w:pStyle w:val="ListParagraph"/>
        <w:numPr>
          <w:ilvl w:val="0"/>
          <w:numId w:val="4"/>
        </w:numPr>
        <w:spacing w:after="20" w:line="250"/>
      </w:pPr>
      <w:r>
        <w:rPr>
          <w:sz w:val="19"/>
          <w:szCs w:val="19"/>
        </w:rPr>
        <w:t xml:space="preserve">Provide a modest public plaza aligned with City mobility-hub goals.</w:t>
      </w:r>
    </w:p>
    <w:p>
      <w:pPr>
        <w:pStyle w:val="ListParagraph"/>
        <w:numPr>
          <w:ilvl w:val="0"/>
          <w:numId w:val="4"/>
        </w:numPr>
        <w:spacing w:after="20" w:line="250"/>
      </w:pPr>
      <w:r>
        <w:rPr>
          <w:sz w:val="19"/>
          <w:szCs w:val="19"/>
        </w:rPr>
        <w:t xml:space="preserve">Screen loading and service from the primary frontage.</w:t>
      </w:r>
    </w:p>
    <w:p>
      <w:pPr>
        <w:pStyle w:val="ListParagraph"/>
        <w:numPr>
          <w:ilvl w:val="0"/>
          <w:numId w:val="4"/>
        </w:numPr>
        <w:spacing w:after="20" w:line="250"/>
      </w:pPr>
      <w:r>
        <w:rPr>
          <w:sz w:val="19"/>
          <w:szCs w:val="19"/>
        </w:rPr>
        <w:t xml:space="preserve">Use landscaping that doubles as stormwater management.</w:t>
      </w:r>
    </w:p>
    <w:p>
      <w:pPr>
        <w:pStyle w:val="ListParagraph"/>
        <w:numPr>
          <w:ilvl w:val="0"/>
          <w:numId w:val="4"/>
        </w:numPr>
        <w:spacing w:after="20" w:line="250"/>
      </w:pPr>
      <w:r>
        <w:rPr>
          <w:sz w:val="19"/>
          <w:szCs w:val="19"/>
        </w:rPr>
        <w:t xml:space="preserve">Provide weather-protected pedestrian paths separated from vehicles.</w:t>
      </w:r>
    </w:p>
    <w:p>
      <w:pPr>
        <w:spacing w:after="40"/>
      </w:pPr>
    </w:p>
    <w:p>
      <w:pPr>
        <w:pStyle w:val="Heading2"/>
      </w:pPr>
      <w:r>
        <w:t xml:space="preserve">F. Mobility &amp; Technology Readiness</w:t>
      </w:r>
    </w:p>
    <w:p>
      <w:pPr>
        <w:pStyle w:val="ListParagraph"/>
        <w:numPr>
          <w:ilvl w:val="0"/>
          <w:numId w:val="4"/>
        </w:numPr>
        <w:spacing w:after="20" w:line="250"/>
      </w:pPr>
      <w:r>
        <w:rPr>
          <w:sz w:val="19"/>
          <w:szCs w:val="19"/>
        </w:rPr>
        <w:t xml:space="preserve">Design for future capabilities; build for today’s proven demand (Constitution P5).</w:t>
      </w:r>
    </w:p>
    <w:p>
      <w:pPr>
        <w:pStyle w:val="ListParagraph"/>
        <w:numPr>
          <w:ilvl w:val="0"/>
          <w:numId w:val="4"/>
        </w:numPr>
        <w:spacing w:after="20" w:line="250"/>
      </w:pPr>
      <w:r>
        <w:rPr>
          <w:sz w:val="19"/>
          <w:szCs w:val="19"/>
        </w:rPr>
        <w:t xml:space="preserve">Never underwrite AV or edge computing as day-one revenue (Decision-003).</w:t>
      </w:r>
    </w:p>
    <w:p>
      <w:pPr>
        <w:pStyle w:val="ListParagraph"/>
        <w:numPr>
          <w:ilvl w:val="0"/>
          <w:numId w:val="4"/>
        </w:numPr>
        <w:spacing w:after="20" w:line="250"/>
      </w:pPr>
      <w:r>
        <w:rPr>
          <w:sz w:val="19"/>
          <w:szCs w:val="19"/>
        </w:rPr>
        <w:t xml:space="preserve">Run EV conduit to 100% of stalls; energize only 10–20% initially.</w:t>
      </w:r>
    </w:p>
    <w:p>
      <w:pPr>
        <w:pStyle w:val="ListParagraph"/>
        <w:numPr>
          <w:ilvl w:val="0"/>
          <w:numId w:val="4"/>
        </w:numPr>
        <w:spacing w:after="20" w:line="250"/>
      </w:pPr>
      <w:r>
        <w:rPr>
          <w:sz w:val="19"/>
          <w:szCs w:val="19"/>
        </w:rPr>
        <w:t xml:space="preserve">Size switchgear and risers for future EV/AV/edge loads.</w:t>
      </w:r>
    </w:p>
    <w:p>
      <w:pPr>
        <w:pStyle w:val="ListParagraph"/>
        <w:numPr>
          <w:ilvl w:val="0"/>
          <w:numId w:val="4"/>
        </w:numPr>
        <w:spacing w:after="20" w:line="250"/>
      </w:pPr>
      <w:r>
        <w:rPr>
          <w:sz w:val="19"/>
          <w:szCs w:val="19"/>
        </w:rPr>
        <w:t xml:space="preserve">Provide redundant Tier-1 fiber entries for digital-health readiness.</w:t>
      </w:r>
    </w:p>
    <w:p>
      <w:pPr>
        <w:pStyle w:val="ListParagraph"/>
        <w:numPr>
          <w:ilvl w:val="0"/>
          <w:numId w:val="4"/>
        </w:numPr>
        <w:spacing w:after="20" w:line="250"/>
      </w:pPr>
      <w:r>
        <w:rPr>
          <w:sz w:val="19"/>
          <w:szCs w:val="19"/>
        </w:rPr>
        <w:t xml:space="preserve">Provide dedicated ride-share and patient drop-off zones.</w:t>
      </w:r>
    </w:p>
    <w:p>
      <w:pPr>
        <w:pStyle w:val="ListParagraph"/>
        <w:numPr>
          <w:ilvl w:val="0"/>
          <w:numId w:val="4"/>
        </w:numPr>
        <w:spacing w:after="20" w:line="250"/>
      </w:pPr>
      <w:r>
        <w:rPr>
          <w:sz w:val="19"/>
          <w:szCs w:val="19"/>
        </w:rPr>
        <w:t xml:space="preserve">Integrate micro-mobility connections toward commuter rail.</w:t>
      </w:r>
    </w:p>
    <w:p>
      <w:pPr>
        <w:pStyle w:val="ListParagraph"/>
        <w:numPr>
          <w:ilvl w:val="0"/>
          <w:numId w:val="4"/>
        </w:numPr>
        <w:spacing w:after="20" w:line="250"/>
      </w:pPr>
      <w:r>
        <w:rPr>
          <w:sz w:val="19"/>
          <w:szCs w:val="19"/>
        </w:rPr>
        <w:t xml:space="preserve">Use gateless LPR parking to cut operational bottlenecks and staffing.</w:t>
      </w:r>
    </w:p>
    <w:p>
      <w:pPr>
        <w:pStyle w:val="ListParagraph"/>
        <w:numPr>
          <w:ilvl w:val="0"/>
          <w:numId w:val="4"/>
        </w:numPr>
        <w:spacing w:after="20" w:line="250"/>
      </w:pPr>
      <w:r>
        <w:rPr>
          <w:sz w:val="19"/>
          <w:szCs w:val="19"/>
        </w:rPr>
        <w:t xml:space="preserve">Gate every Phase 3 technology activation on an explicit demand trigger.</w:t>
      </w:r>
    </w:p>
    <w:p>
      <w:pPr>
        <w:pStyle w:val="ListParagraph"/>
        <w:numPr>
          <w:ilvl w:val="0"/>
          <w:numId w:val="4"/>
        </w:numPr>
        <w:spacing w:after="20" w:line="250"/>
      </w:pPr>
      <w:r>
        <w:rPr>
          <w:sz w:val="19"/>
          <w:szCs w:val="19"/>
        </w:rPr>
        <w:t xml:space="preserve">Keep technology modular; avoid vendor lock-in.</w:t>
      </w:r>
    </w:p>
    <w:p>
      <w:pPr>
        <w:spacing w:after="40"/>
      </w:pPr>
    </w:p>
    <w:p>
      <w:pPr>
        <w:pStyle w:val="Heading2"/>
      </w:pPr>
      <w:r>
        <w:t xml:space="preserve">G. Sustainability &amp; Resilience</w:t>
      </w:r>
    </w:p>
    <w:p>
      <w:pPr>
        <w:pStyle w:val="ListParagraph"/>
        <w:numPr>
          <w:ilvl w:val="0"/>
          <w:numId w:val="4"/>
        </w:numPr>
        <w:spacing w:after="20" w:line="250"/>
      </w:pPr>
      <w:r>
        <w:rPr>
          <w:sz w:val="19"/>
          <w:szCs w:val="19"/>
        </w:rPr>
        <w:t xml:space="preserve">Treat longevity and adaptability as the primary sustainability strategy.</w:t>
      </w:r>
    </w:p>
    <w:p>
      <w:pPr>
        <w:pStyle w:val="ListParagraph"/>
        <w:numPr>
          <w:ilvl w:val="0"/>
          <w:numId w:val="4"/>
        </w:numPr>
        <w:spacing w:after="20" w:line="250"/>
      </w:pPr>
      <w:r>
        <w:rPr>
          <w:sz w:val="19"/>
          <w:szCs w:val="19"/>
        </w:rPr>
        <w:t xml:space="preserve">Favor lifecycle cost over first cost in material selection.</w:t>
      </w:r>
    </w:p>
    <w:p>
      <w:pPr>
        <w:pStyle w:val="ListParagraph"/>
        <w:numPr>
          <w:ilvl w:val="0"/>
          <w:numId w:val="4"/>
        </w:numPr>
        <w:spacing w:after="20" w:line="250"/>
      </w:pPr>
      <w:r>
        <w:rPr>
          <w:sz w:val="19"/>
          <w:szCs w:val="19"/>
        </w:rPr>
        <w:t xml:space="preserve">Design for hurricane and storm-surge exposure as a baseline.</w:t>
      </w:r>
    </w:p>
    <w:p>
      <w:pPr>
        <w:pStyle w:val="ListParagraph"/>
        <w:numPr>
          <w:ilvl w:val="0"/>
          <w:numId w:val="4"/>
        </w:numPr>
        <w:spacing w:after="20" w:line="250"/>
      </w:pPr>
      <w:r>
        <w:rPr>
          <w:sz w:val="19"/>
          <w:szCs w:val="19"/>
        </w:rPr>
        <w:t xml:space="preserve">Provide energy redundancy (central plant) for clinical continuity.</w:t>
      </w:r>
    </w:p>
    <w:p>
      <w:pPr>
        <w:pStyle w:val="ListParagraph"/>
        <w:numPr>
          <w:ilvl w:val="0"/>
          <w:numId w:val="4"/>
        </w:numPr>
        <w:spacing w:after="20" w:line="250"/>
      </w:pPr>
      <w:r>
        <w:rPr>
          <w:sz w:val="19"/>
          <w:szCs w:val="19"/>
        </w:rPr>
        <w:t xml:space="preserve">Make the roof PV-ready from day one.</w:t>
      </w:r>
    </w:p>
    <w:p>
      <w:pPr>
        <w:pStyle w:val="ListParagraph"/>
        <w:numPr>
          <w:ilvl w:val="0"/>
          <w:numId w:val="4"/>
        </w:numPr>
        <w:spacing w:after="20" w:line="250"/>
      </w:pPr>
      <w:r>
        <w:rPr>
          <w:sz w:val="19"/>
          <w:szCs w:val="19"/>
        </w:rPr>
        <w:t xml:space="preserve">Pursue embodied-carbon reductions where they do not compromise resilience.</w:t>
      </w:r>
    </w:p>
    <w:p>
      <w:pPr>
        <w:pStyle w:val="ListParagraph"/>
        <w:numPr>
          <w:ilvl w:val="0"/>
          <w:numId w:val="4"/>
        </w:numPr>
        <w:spacing w:after="20" w:line="250"/>
      </w:pPr>
      <w:r>
        <w:rPr>
          <w:sz w:val="19"/>
          <w:szCs w:val="19"/>
        </w:rPr>
        <w:t xml:space="preserve">Design durable, marine-grade envelopes for a coastal environment.</w:t>
      </w:r>
    </w:p>
    <w:p>
      <w:pPr>
        <w:pStyle w:val="ListParagraph"/>
        <w:numPr>
          <w:ilvl w:val="0"/>
          <w:numId w:val="4"/>
        </w:numPr>
        <w:spacing w:after="20" w:line="250"/>
      </w:pPr>
      <w:r>
        <w:rPr>
          <w:sz w:val="19"/>
          <w:szCs w:val="19"/>
        </w:rPr>
        <w:t xml:space="preserve">Specify maintainable systems that age well.</w:t>
      </w:r>
    </w:p>
    <w:p>
      <w:pPr>
        <w:spacing w:after="40"/>
      </w:pPr>
    </w:p>
    <w:p>
      <w:pPr>
        <w:pStyle w:val="Heading2"/>
      </w:pPr>
      <w:r>
        <w:t xml:space="preserve">H. Operations</w:t>
      </w:r>
    </w:p>
    <w:p>
      <w:pPr>
        <w:pStyle w:val="ListParagraph"/>
        <w:numPr>
          <w:ilvl w:val="0"/>
          <w:numId w:val="4"/>
        </w:numPr>
        <w:spacing w:after="20" w:line="250"/>
      </w:pPr>
      <w:r>
        <w:rPr>
          <w:sz w:val="19"/>
          <w:szCs w:val="19"/>
        </w:rPr>
        <w:t xml:space="preserve">Stack shared parking: medical by day, public/commuter off-peak.</w:t>
      </w:r>
    </w:p>
    <w:p>
      <w:pPr>
        <w:pStyle w:val="ListParagraph"/>
        <w:numPr>
          <w:ilvl w:val="0"/>
          <w:numId w:val="4"/>
        </w:numPr>
        <w:spacing w:after="20" w:line="250"/>
      </w:pPr>
      <w:r>
        <w:rPr>
          <w:sz w:val="19"/>
          <w:szCs w:val="19"/>
        </w:rPr>
        <w:t xml:space="preserve">Lease upper floors to a single co-working master tenant to avoid micro-lease management.</w:t>
      </w:r>
    </w:p>
    <w:p>
      <w:pPr>
        <w:pStyle w:val="ListParagraph"/>
        <w:numPr>
          <w:ilvl w:val="0"/>
          <w:numId w:val="4"/>
        </w:numPr>
        <w:spacing w:after="20" w:line="250"/>
      </w:pPr>
      <w:r>
        <w:rPr>
          <w:sz w:val="19"/>
          <w:szCs w:val="19"/>
        </w:rPr>
        <w:t xml:space="preserve">Standardize NNN structures for medtail income stability.</w:t>
      </w:r>
    </w:p>
    <w:p>
      <w:pPr>
        <w:pStyle w:val="ListParagraph"/>
        <w:numPr>
          <w:ilvl w:val="0"/>
          <w:numId w:val="4"/>
        </w:numPr>
        <w:spacing w:after="20" w:line="250"/>
      </w:pPr>
      <w:r>
        <w:rPr>
          <w:sz w:val="19"/>
          <w:szCs w:val="19"/>
        </w:rPr>
        <w:t xml:space="preserve">Design service circulation for efficient, low-conflict operations.</w:t>
      </w:r>
    </w:p>
    <w:p>
      <w:pPr>
        <w:pStyle w:val="ListParagraph"/>
        <w:numPr>
          <w:ilvl w:val="0"/>
          <w:numId w:val="4"/>
        </w:numPr>
        <w:spacing w:after="20" w:line="250"/>
      </w:pPr>
      <w:r>
        <w:rPr>
          <w:sz w:val="19"/>
          <w:szCs w:val="19"/>
        </w:rPr>
        <w:t xml:space="preserve">Plan emergency-vehicle access and life-safety routing per code.</w:t>
      </w:r>
    </w:p>
    <w:p>
      <w:pPr>
        <w:pStyle w:val="ListParagraph"/>
        <w:numPr>
          <w:ilvl w:val="0"/>
          <w:numId w:val="4"/>
        </w:numPr>
        <w:spacing w:after="20" w:line="250"/>
      </w:pPr>
      <w:r>
        <w:rPr>
          <w:sz w:val="19"/>
          <w:szCs w:val="19"/>
        </w:rPr>
        <w:t xml:space="preserve">Build operational wayfinding and signage hierarchy into the base design.</w:t>
      </w:r>
    </w:p>
    <w:p>
      <w:pPr>
        <w:pStyle w:val="ListParagraph"/>
        <w:numPr>
          <w:ilvl w:val="0"/>
          <w:numId w:val="4"/>
        </w:numPr>
        <w:spacing w:after="20" w:line="250"/>
      </w:pPr>
      <w:r>
        <w:rPr>
          <w:sz w:val="19"/>
          <w:szCs w:val="19"/>
        </w:rPr>
        <w:t xml:space="preserve">Monitor parking utilization to time Phase 2 and Phase 3 triggers.</w:t>
      </w:r>
    </w:p>
    <w:p>
      <w:pPr>
        <w:spacing w:after="40"/>
      </w:pPr>
    </w:p>
    <w:p>
      <w:pPr>
        <w:pStyle w:val="Heading2"/>
      </w:pPr>
      <w:r>
        <w:t xml:space="preserve">I. Finance &amp; Institutional Quality</w:t>
      </w:r>
    </w:p>
    <w:p>
      <w:pPr>
        <w:pStyle w:val="ListParagraph"/>
        <w:numPr>
          <w:ilvl w:val="0"/>
          <w:numId w:val="4"/>
        </w:numPr>
        <w:spacing w:after="20" w:line="250"/>
      </w:pPr>
      <w:r>
        <w:rPr>
          <w:sz w:val="19"/>
          <w:szCs w:val="19"/>
        </w:rPr>
        <w:t xml:space="preserve">Structure the investment as a long-term QOZ hold.</w:t>
      </w:r>
    </w:p>
    <w:p>
      <w:pPr>
        <w:pStyle w:val="ListParagraph"/>
        <w:numPr>
          <w:ilvl w:val="0"/>
          <w:numId w:val="4"/>
        </w:numPr>
        <w:spacing w:after="20" w:line="250"/>
      </w:pPr>
      <w:r>
        <w:rPr>
          <w:sz w:val="19"/>
          <w:szCs w:val="19"/>
        </w:rPr>
        <w:t xml:space="preserve">Build an auditable, scenario-driven model per the Underwriting Standards.</w:t>
      </w:r>
    </w:p>
    <w:p>
      <w:pPr>
        <w:pStyle w:val="ListParagraph"/>
        <w:numPr>
          <w:ilvl w:val="0"/>
          <w:numId w:val="4"/>
        </w:numPr>
        <w:spacing w:after="20" w:line="250"/>
      </w:pPr>
      <w:r>
        <w:rPr>
          <w:sz w:val="19"/>
          <w:szCs w:val="19"/>
        </w:rPr>
        <w:t xml:space="preserve">Diversify revenue across parking, medtail, and clinical/co-working.</w:t>
      </w:r>
    </w:p>
    <w:p>
      <w:pPr>
        <w:pStyle w:val="ListParagraph"/>
        <w:numPr>
          <w:ilvl w:val="0"/>
          <w:numId w:val="4"/>
        </w:numPr>
        <w:spacing w:after="20" w:line="250"/>
      </w:pPr>
      <w:r>
        <w:rPr>
          <w:sz w:val="19"/>
          <w:szCs w:val="19"/>
        </w:rPr>
        <w:t xml:space="preserve">Stress-test cap-rate, cost, and interest-rate sensitivity.</w:t>
      </w:r>
    </w:p>
    <w:p>
      <w:pPr>
        <w:pStyle w:val="ListParagraph"/>
        <w:numPr>
          <w:ilvl w:val="0"/>
          <w:numId w:val="4"/>
        </w:numPr>
        <w:spacing w:after="20" w:line="250"/>
      </w:pPr>
      <w:r>
        <w:rPr>
          <w:sz w:val="19"/>
          <w:szCs w:val="19"/>
        </w:rPr>
        <w:t xml:space="preserve">Pursue P3/MPO/TIF avenues without making them load-bearing for feasibility.</w:t>
      </w:r>
    </w:p>
    <w:p>
      <w:pPr>
        <w:pStyle w:val="ListParagraph"/>
        <w:numPr>
          <w:ilvl w:val="0"/>
          <w:numId w:val="4"/>
        </w:numPr>
        <w:spacing w:after="20" w:line="250"/>
      </w:pPr>
      <w:r>
        <w:rPr>
          <w:sz w:val="19"/>
          <w:szCs w:val="19"/>
        </w:rPr>
        <w:t xml:space="preserve">Secure an early co-working LOI to strengthen financing.</w:t>
      </w:r>
    </w:p>
    <w:p>
      <w:pPr>
        <w:pStyle w:val="ListParagraph"/>
        <w:numPr>
          <w:ilvl w:val="0"/>
          <w:numId w:val="4"/>
        </w:numPr>
        <w:spacing w:after="20" w:line="250"/>
      </w:pPr>
      <w:r>
        <w:rPr>
          <w:sz w:val="19"/>
          <w:szCs w:val="19"/>
        </w:rPr>
        <w:t xml:space="preserve">Lock vested rights via permits if leveraging Live Local height paths.</w:t>
      </w:r>
    </w:p>
    <w:p>
      <w:pPr>
        <w:pStyle w:val="ListParagraph"/>
        <w:numPr>
          <w:ilvl w:val="0"/>
          <w:numId w:val="4"/>
        </w:numPr>
        <w:spacing w:after="20" w:line="250"/>
      </w:pPr>
      <w:r>
        <w:rPr>
          <w:sz w:val="19"/>
          <w:szCs w:val="19"/>
        </w:rPr>
        <w:t xml:space="preserve">Maintain institutional-grade documentation suitable for lender/IC review.</w:t>
      </w:r>
    </w:p>
    <w:p>
      <w:pPr>
        <w:pStyle w:val="ListParagraph"/>
        <w:numPr>
          <w:ilvl w:val="0"/>
          <w:numId w:val="4"/>
        </w:numPr>
        <w:spacing w:after="20" w:line="250"/>
      </w:pPr>
      <w:r>
        <w:rPr>
          <w:sz w:val="19"/>
          <w:szCs w:val="19"/>
        </w:rPr>
        <w:t xml:space="preserve">Preserve capital through durability and adaptability.</w:t>
      </w:r>
    </w:p>
    <w:p>
      <w:pPr>
        <w:pStyle w:val="ListParagraph"/>
        <w:numPr>
          <w:ilvl w:val="0"/>
          <w:numId w:val="4"/>
        </w:numPr>
        <w:spacing w:after="20" w:line="250"/>
      </w:pPr>
      <w:r>
        <w:rPr>
          <w:sz w:val="19"/>
          <w:szCs w:val="19"/>
        </w:rPr>
        <w:t xml:space="preserve">Report IRR, Equity Multiple, Cash-on-Cash, Yield, NOI, Stabilized Value, and Residual Land Value with confidence levels.</w:t>
      </w:r>
    </w:p>
    <w:p>
      <w:pPr>
        <w:spacing w:after="40"/>
      </w:pPr>
    </w:p>
    <w:p>
      <w:pPr>
        <w:pStyle w:val="Heading2"/>
      </w:pPr>
      <w:r>
        <w:t xml:space="preserve">J. Entitlement &amp; Risk</w:t>
      </w:r>
    </w:p>
    <w:p>
      <w:pPr>
        <w:pStyle w:val="ListParagraph"/>
        <w:numPr>
          <w:ilvl w:val="0"/>
          <w:numId w:val="4"/>
        </w:numPr>
        <w:spacing w:after="20" w:line="250"/>
      </w:pPr>
      <w:r>
        <w:rPr>
          <w:sz w:val="19"/>
          <w:szCs w:val="19"/>
        </w:rPr>
        <w:t xml:space="preserve">Obtain a written Zoning Verification Letter before schematic design.</w:t>
      </w:r>
    </w:p>
    <w:p>
      <w:pPr>
        <w:pStyle w:val="ListParagraph"/>
        <w:numPr>
          <w:ilvl w:val="0"/>
          <w:numId w:val="4"/>
        </w:numPr>
        <w:spacing w:after="20" w:line="250"/>
      </w:pPr>
      <w:r>
        <w:rPr>
          <w:sz w:val="19"/>
          <w:szCs w:val="19"/>
        </w:rPr>
        <w:t xml:space="preserve">Retain specialized land-use counsel immediately.</w:t>
      </w:r>
    </w:p>
    <w:p>
      <w:pPr>
        <w:pStyle w:val="ListParagraph"/>
        <w:numPr>
          <w:ilvl w:val="0"/>
          <w:numId w:val="4"/>
        </w:numPr>
        <w:spacing w:after="20" w:line="250"/>
      </w:pPr>
      <w:r>
        <w:rPr>
          <w:sz w:val="19"/>
          <w:szCs w:val="19"/>
        </w:rPr>
        <w:t xml:space="preserve">Commission the traffic study early to feed the site plan.</w:t>
      </w:r>
    </w:p>
    <w:p>
      <w:pPr>
        <w:pStyle w:val="ListParagraph"/>
        <w:numPr>
          <w:ilvl w:val="0"/>
          <w:numId w:val="4"/>
        </w:numPr>
        <w:spacing w:after="20" w:line="250"/>
      </w:pPr>
      <w:r>
        <w:rPr>
          <w:sz w:val="19"/>
          <w:szCs w:val="19"/>
        </w:rPr>
        <w:t xml:space="preserve">Confirm FPL capacity before committing to imaging or dense EV.</w:t>
      </w:r>
    </w:p>
    <w:p>
      <w:pPr>
        <w:pStyle w:val="ListParagraph"/>
        <w:numPr>
          <w:ilvl w:val="0"/>
          <w:numId w:val="4"/>
        </w:numPr>
        <w:spacing w:after="20" w:line="250"/>
      </w:pPr>
      <w:r>
        <w:rPr>
          <w:sz w:val="19"/>
          <w:szCs w:val="19"/>
        </w:rPr>
        <w:t xml:space="preserve">Maintain a live risk log reviewed at each milestone.</w:t>
      </w:r>
    </w:p>
    <w:p>
      <w:pPr>
        <w:pStyle w:val="ListParagraph"/>
        <w:numPr>
          <w:ilvl w:val="0"/>
          <w:numId w:val="4"/>
        </w:numPr>
        <w:spacing w:after="20" w:line="250"/>
      </w:pPr>
      <w:r>
        <w:rPr>
          <w:sz w:val="19"/>
          <w:szCs w:val="19"/>
        </w:rPr>
        <w:t xml:space="preserve">Engage the City through pre-application and DRC proactively.</w:t>
      </w:r>
    </w:p>
    <w:p>
      <w:pPr>
        <w:pStyle w:val="ListParagraph"/>
        <w:numPr>
          <w:ilvl w:val="0"/>
          <w:numId w:val="4"/>
        </w:numPr>
        <w:spacing w:after="20" w:line="250"/>
      </w:pPr>
      <w:r>
        <w:rPr>
          <w:sz w:val="19"/>
          <w:szCs w:val="19"/>
        </w:rPr>
        <w:t xml:space="preserve">Conduct early community and SRAC stakeholder engagement.</w:t>
      </w:r>
    </w:p>
    <w:p>
      <w:pPr>
        <w:pStyle w:val="ListParagraph"/>
        <w:numPr>
          <w:ilvl w:val="0"/>
          <w:numId w:val="4"/>
        </w:numPr>
        <w:spacing w:after="20" w:line="250"/>
      </w:pPr>
      <w:r>
        <w:rPr>
          <w:sz w:val="19"/>
          <w:szCs w:val="19"/>
        </w:rPr>
        <w:t xml:space="preserve">Resolve the project-thesis ambiguity before significant design spend.</w:t>
      </w:r>
    </w:p>
    <w:p>
      <w:pPr>
        <w:spacing w:after="40"/>
      </w:pPr>
    </w:p>
    <w:p>
      <w:pPr>
        <w:spacing w:after="60"/>
      </w:pPr>
    </w:p>
    <w:p>
      <w:pPr>
        <w:pBdr>
          <w:top w:val="single" w:color="2E5496" w:sz="6" w:space="4"/>
        </w:pBdr>
        <w:spacing w:after="80" w:before="80"/>
      </w:pPr>
      <w:r>
        <w:rPr>
          <w:b/>
          <w:bCs/>
          <w:color w:val="2E5496"/>
          <w:sz w:val="20"/>
          <w:szCs w:val="20"/>
        </w:rPr>
        <w:t xml:space="preserve">Chapter Close-Out</w:t>
      </w:r>
    </w:p>
    <w:p>
      <w:pPr>
        <w:spacing w:after="30" w:before="60"/>
      </w:pPr>
      <w:r>
        <w:rPr>
          <w:b/>
          <w:bCs/>
          <w:color w:val="1F3864"/>
          <w:sz w:val="18"/>
          <w:szCs w:val="18"/>
        </w:rPr>
        <w:t xml:space="preserve">Key Decisions</w:t>
      </w:r>
    </w:p>
    <w:p>
      <w:pPr>
        <w:pStyle w:val="ListParagraph"/>
        <w:numPr>
          <w:ilvl w:val="0"/>
          <w:numId w:val="2"/>
        </w:numPr>
        <w:spacing w:after="20" w:line="250"/>
      </w:pPr>
      <w:r>
        <w:rPr>
          <w:sz w:val="18"/>
          <w:szCs w:val="18"/>
        </w:rPr>
        <w:t xml:space="preserve">Adopt these principles as permanent standards and migrate them into the Design Standards document.</w:t>
      </w:r>
    </w:p>
    <w:p>
      <w:pPr>
        <w:spacing w:after="30" w:before="60"/>
      </w:pPr>
      <w:r>
        <w:rPr>
          <w:b/>
          <w:bCs/>
          <w:color w:val="548235"/>
          <w:sz w:val="18"/>
          <w:szCs w:val="18"/>
        </w:rPr>
        <w:t xml:space="preserve">Supporting Evidence</w:t>
      </w:r>
    </w:p>
    <w:p>
      <w:pPr>
        <w:pStyle w:val="ListParagraph"/>
        <w:numPr>
          <w:ilvl w:val="0"/>
          <w:numId w:val="2"/>
        </w:numPr>
        <w:spacing w:after="20" w:line="250"/>
      </w:pPr>
      <w:r>
        <w:rPr>
          <w:sz w:val="18"/>
          <w:szCs w:val="18"/>
        </w:rPr>
        <w:t xml:space="preserve">Synthesized from the Constitution, Decision Log, Market Study, Feasibility/Benchmark Study, Site Intelligence Report, and recognized institutional standards.</w:t>
      </w:r>
    </w:p>
    <w:p>
      <w:pPr>
        <w:spacing w:after="30" w:before="60"/>
      </w:pPr>
      <w:r>
        <w:rPr>
          <w:b/>
          <w:bCs/>
          <w:color w:val="BF8F00"/>
          <w:sz w:val="18"/>
          <w:szCs w:val="18"/>
        </w:rPr>
        <w:t xml:space="preserve">Remaining Unknowns</w:t>
      </w:r>
    </w:p>
    <w:p>
      <w:pPr>
        <w:pStyle w:val="ListParagraph"/>
        <w:numPr>
          <w:ilvl w:val="0"/>
          <w:numId w:val="2"/>
        </w:numPr>
        <w:spacing w:after="20" w:line="250"/>
      </w:pPr>
      <w:r>
        <w:rPr>
          <w:sz w:val="18"/>
          <w:szCs w:val="18"/>
        </w:rPr>
        <w:t xml:space="preserve">Principles touching unverified facts (parking ratios in practice, FPL capacity) remain provisional until validated.</w:t>
      </w:r>
    </w:p>
    <w:p>
      <w:pPr>
        <w:spacing w:after="30" w:before="60"/>
      </w:pPr>
      <w:r>
        <w:rPr>
          <w:b/>
          <w:bCs/>
          <w:color w:val="2E5496"/>
          <w:sz w:val="18"/>
          <w:szCs w:val="18"/>
        </w:rPr>
        <w:t xml:space="preserve">Recommended Next Actions</w:t>
      </w:r>
    </w:p>
    <w:p>
      <w:pPr>
        <w:pStyle w:val="ListParagraph"/>
        <w:numPr>
          <w:ilvl w:val="0"/>
          <w:numId w:val="2"/>
        </w:numPr>
        <w:spacing w:after="20" w:line="250"/>
      </w:pPr>
      <w:r>
        <w:rPr>
          <w:sz w:val="18"/>
          <w:szCs w:val="18"/>
        </w:rPr>
        <w:t xml:space="preserve">Issue the principles to the design team as binding standards at kickoff; update as validations land.</w:t>
      </w:r>
    </w:p>
    <w:p>
      <w:r>
        <w:br w:type="page"/>
      </w:r>
    </w:p>
    <w:p>
      <w:pPr>
        <w:pStyle w:val="Heading1"/>
      </w:pPr>
      <w:r>
        <w:t xml:space="preserve">14. Open Questions — Prioritized &amp; Sequenced</w:t>
      </w:r>
    </w:p>
    <w:p>
      <w:pPr>
        <w:spacing w:after="120" w:line="264"/>
      </w:pPr>
      <w:r>
        <w:t xml:space="preserve">This register extends the project’s Open Questions file with items surfaced while preparing the ODP. Priority reflects how strongly the item gates downstream decisions; the recommended order resolves gating items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260"/>
        <w:gridCol w:w="1500"/>
        <w:gridCol w:w="2700"/>
      </w:tblGrid>
      <w:tr>
        <w:trPr>
          <w:tblHeader/>
        </w:trPr>
        <w:tc>
          <w:tcPr>
            <w:tcW w:type="dxa" w:w="9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line="240"/>
              <w:jc w:val="left"/>
            </w:pPr>
            <w:r>
              <w:rPr>
                <w:b/>
                <w:bCs/>
                <w:color w:val="FFFFFF"/>
                <w:sz w:val="18"/>
                <w:szCs w:val="18"/>
              </w:rPr>
              <w:t xml:space="preserve">ID</w:t>
            </w:r>
          </w:p>
        </w:tc>
        <w:tc>
          <w:tcPr>
            <w:tcW w:type="dxa" w:w="42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line="240"/>
              <w:jc w:val="left"/>
            </w:pPr>
            <w:r>
              <w:rPr>
                <w:b/>
                <w:bCs/>
                <w:color w:val="FFFFFF"/>
                <w:sz w:val="18"/>
                <w:szCs w:val="18"/>
              </w:rPr>
              <w:t xml:space="preserve">Open question</w:t>
            </w:r>
          </w:p>
        </w:tc>
        <w:tc>
          <w:tcPr>
            <w:tcW w:type="dxa" w:w="15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line="240"/>
              <w:jc w:val="left"/>
            </w:pPr>
            <w:r>
              <w:rPr>
                <w:b/>
                <w:bCs/>
                <w:color w:val="FFFFFF"/>
                <w:sz w:val="18"/>
                <w:szCs w:val="18"/>
              </w:rPr>
              <w:t xml:space="preserve">Priority</w:t>
            </w:r>
          </w:p>
        </w:tc>
        <w:tc>
          <w:tcPr>
            <w:tcW w:type="dxa" w:w="27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line="240"/>
              <w:jc w:val="left"/>
            </w:pPr>
            <w:r>
              <w:rPr>
                <w:b/>
                <w:bCs/>
                <w:color w:val="FFFFFF"/>
                <w:sz w:val="18"/>
                <w:szCs w:val="18"/>
              </w:rPr>
              <w:t xml:space="preserve">Resolve via</w:t>
            </w:r>
          </w:p>
        </w:tc>
      </w:tr>
      <w:tr>
        <w:tc>
          <w:tcPr>
            <w:tcW w:type="dxa" w:w="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bCs/>
                <w:color w:val="000000"/>
                <w:sz w:val="18"/>
                <w:szCs w:val="18"/>
              </w:rPr>
              <w:t xml:space="preserve">OQ-01</w:t>
            </w:r>
          </w:p>
        </w:tc>
        <w:tc>
          <w:tcPr>
            <w:tcW w:type="dxa" w:w="42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Is the governing thesis the healthcare-anchored Clinical &amp; Mobility Center, or a pivot to the AV-fleet Mobility Nexus?</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bCs/>
                <w:color w:val="9C2B2B"/>
                <w:sz w:val="18"/>
                <w:szCs w:val="18"/>
              </w:rPr>
              <w:t xml:space="preserve">Critical</w:t>
            </w:r>
          </w:p>
        </w:tc>
        <w:tc>
          <w:tcPr>
            <w:tcW w:type="dxa" w:w="2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Owner ruling; new Decision-004 if pivoting</w:t>
            </w:r>
          </w:p>
        </w:tc>
      </w:tr>
      <w:tr>
        <w:tc>
          <w:tcPr>
            <w:tcW w:type="dxa" w:w="9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bCs/>
                <w:color w:val="000000"/>
                <w:sz w:val="18"/>
                <w:szCs w:val="18"/>
              </w:rPr>
              <w:t xml:space="preserve">OQ-02</w:t>
            </w:r>
          </w:p>
        </w:tc>
        <w:tc>
          <w:tcPr>
            <w:tcW w:type="dxa" w:w="42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What parking count and program split are achievable on the site?</w:t>
            </w:r>
          </w:p>
        </w:tc>
        <w:tc>
          <w:tcPr>
            <w:tcW w:type="dxa" w:w="1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bCs/>
                <w:color w:val="9C2B2B"/>
                <w:sz w:val="18"/>
                <w:szCs w:val="18"/>
              </w:rPr>
              <w:t xml:space="preserve">Critical</w:t>
            </w:r>
          </w:p>
        </w:tc>
        <w:tc>
          <w:tcPr>
            <w:tcW w:type="dxa" w:w="27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Architect/parking test-fit</w:t>
            </w:r>
          </w:p>
        </w:tc>
      </w:tr>
      <w:tr>
        <w:tc>
          <w:tcPr>
            <w:tcW w:type="dxa" w:w="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bCs/>
                <w:color w:val="000000"/>
                <w:sz w:val="18"/>
                <w:szCs w:val="18"/>
              </w:rPr>
              <w:t xml:space="preserve">OQ-03</w:t>
            </w:r>
          </w:p>
        </w:tc>
        <w:tc>
          <w:tcPr>
            <w:tcW w:type="dxa" w:w="42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Confirm zoning: height path to 150 ft, parking method, shared-parking acceptance, Live Local options</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bCs/>
                <w:color w:val="9C2B2B"/>
                <w:sz w:val="18"/>
                <w:szCs w:val="18"/>
              </w:rPr>
              <w:t xml:space="preserve">Critical</w:t>
            </w:r>
          </w:p>
        </w:tc>
        <w:tc>
          <w:tcPr>
            <w:tcW w:type="dxa" w:w="2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City verification + land-use counsel</w:t>
            </w:r>
          </w:p>
        </w:tc>
      </w:tr>
      <w:tr>
        <w:tc>
          <w:tcPr>
            <w:tcW w:type="dxa" w:w="9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bCs/>
                <w:color w:val="000000"/>
                <w:sz w:val="18"/>
                <w:szCs w:val="18"/>
              </w:rPr>
              <w:t xml:space="preserve">OQ-04</w:t>
            </w:r>
          </w:p>
        </w:tc>
        <w:tc>
          <w:tcPr>
            <w:tcW w:type="dxa" w:w="42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FPL transformer capacity for imaging + dense EV; redundancy strategy</w:t>
            </w:r>
          </w:p>
        </w:tc>
        <w:tc>
          <w:tcPr>
            <w:tcW w:type="dxa" w:w="1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bCs/>
                <w:color w:val="BF8F00"/>
                <w:sz w:val="18"/>
                <w:szCs w:val="18"/>
              </w:rPr>
              <w:t xml:space="preserve">High</w:t>
            </w:r>
          </w:p>
        </w:tc>
        <w:tc>
          <w:tcPr>
            <w:tcW w:type="dxa" w:w="27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FPL will-serve / capacity study</w:t>
            </w:r>
          </w:p>
        </w:tc>
      </w:tr>
      <w:tr>
        <w:tc>
          <w:tcPr>
            <w:tcW w:type="dxa" w:w="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bCs/>
                <w:color w:val="000000"/>
                <w:sz w:val="18"/>
                <w:szCs w:val="18"/>
              </w:rPr>
              <w:t xml:space="preserve">OQ-05</w:t>
            </w:r>
          </w:p>
        </w:tc>
        <w:tc>
          <w:tcPr>
            <w:tcW w:type="dxa" w:w="42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Traffic: trip generation, queuing, curb cuts, drop-off geometry</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bCs/>
                <w:color w:val="BF8F00"/>
                <w:sz w:val="18"/>
                <w:szCs w:val="18"/>
              </w:rPr>
              <w:t xml:space="preserve">High</w:t>
            </w:r>
          </w:p>
        </w:tc>
        <w:tc>
          <w:tcPr>
            <w:tcW w:type="dxa" w:w="2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Traffic study + City Engineering</w:t>
            </w:r>
          </w:p>
        </w:tc>
      </w:tr>
      <w:tr>
        <w:tc>
          <w:tcPr>
            <w:tcW w:type="dxa" w:w="9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bCs/>
                <w:color w:val="000000"/>
                <w:sz w:val="18"/>
                <w:szCs w:val="18"/>
              </w:rPr>
              <w:t xml:space="preserve">OQ-06</w:t>
            </w:r>
          </w:p>
        </w:tc>
        <w:tc>
          <w:tcPr>
            <w:tcW w:type="dxa" w:w="42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Stormwater design meeting the City resilient master plan in Zone AE</w:t>
            </w:r>
          </w:p>
        </w:tc>
        <w:tc>
          <w:tcPr>
            <w:tcW w:type="dxa" w:w="1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bCs/>
                <w:color w:val="BF8F00"/>
                <w:sz w:val="18"/>
                <w:szCs w:val="18"/>
              </w:rPr>
              <w:t xml:space="preserve">High</w:t>
            </w:r>
          </w:p>
        </w:tc>
        <w:tc>
          <w:tcPr>
            <w:tcW w:type="dxa" w:w="27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Civil/hydrology engineering</w:t>
            </w:r>
          </w:p>
        </w:tc>
      </w:tr>
      <w:tr>
        <w:tc>
          <w:tcPr>
            <w:tcW w:type="dxa" w:w="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bCs/>
                <w:color w:val="000000"/>
                <w:sz w:val="18"/>
                <w:szCs w:val="18"/>
              </w:rPr>
              <w:t xml:space="preserve">OQ-07</w:t>
            </w:r>
          </w:p>
        </w:tc>
        <w:tc>
          <w:tcPr>
            <w:tcW w:type="dxa" w:w="42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Geotechnical/foundation conditions and approach</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bCs/>
                <w:color w:val="BF8F00"/>
                <w:sz w:val="18"/>
                <w:szCs w:val="18"/>
              </w:rPr>
              <w:t xml:space="preserve">High</w:t>
            </w:r>
          </w:p>
        </w:tc>
        <w:tc>
          <w:tcPr>
            <w:tcW w:type="dxa" w:w="2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Geotechnical borings</w:t>
            </w:r>
          </w:p>
        </w:tc>
      </w:tr>
      <w:tr>
        <w:tc>
          <w:tcPr>
            <w:tcW w:type="dxa" w:w="9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bCs/>
                <w:color w:val="000000"/>
                <w:sz w:val="18"/>
                <w:szCs w:val="18"/>
              </w:rPr>
              <w:t xml:space="preserve">OQ-08</w:t>
            </w:r>
          </w:p>
        </w:tc>
        <w:tc>
          <w:tcPr>
            <w:tcW w:type="dxa" w:w="42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Anchor medical co-working operator identity and terms</w:t>
            </w:r>
          </w:p>
        </w:tc>
        <w:tc>
          <w:tcPr>
            <w:tcW w:type="dxa" w:w="1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bCs/>
                <w:color w:val="BF8F00"/>
                <w:sz w:val="18"/>
                <w:szCs w:val="18"/>
              </w:rPr>
              <w:t xml:space="preserve">High</w:t>
            </w:r>
          </w:p>
        </w:tc>
        <w:tc>
          <w:tcPr>
            <w:tcW w:type="dxa" w:w="27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Early LOI negotiations</w:t>
            </w:r>
          </w:p>
        </w:tc>
      </w:tr>
      <w:tr>
        <w:tc>
          <w:tcPr>
            <w:tcW w:type="dxa" w:w="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bCs/>
                <w:color w:val="000000"/>
                <w:sz w:val="18"/>
                <w:szCs w:val="18"/>
              </w:rPr>
              <w:t xml:space="preserve">OQ-09</w:t>
            </w:r>
          </w:p>
        </w:tc>
        <w:tc>
          <w:tcPr>
            <w:tcW w:type="dxa" w:w="42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Title/easement confirmation and survey reconciliation</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bCs/>
                <w:color w:val="548235"/>
                <w:sz w:val="18"/>
                <w:szCs w:val="18"/>
              </w:rPr>
              <w:t xml:space="preserve">Medium</w:t>
            </w:r>
          </w:p>
        </w:tc>
        <w:tc>
          <w:tcPr>
            <w:tcW w:type="dxa" w:w="2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Updated title commitment</w:t>
            </w:r>
          </w:p>
        </w:tc>
      </w:tr>
      <w:tr>
        <w:tc>
          <w:tcPr>
            <w:tcW w:type="dxa" w:w="9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bCs/>
                <w:color w:val="000000"/>
                <w:sz w:val="18"/>
                <w:szCs w:val="18"/>
              </w:rPr>
              <w:t xml:space="preserve">OQ-10</w:t>
            </w:r>
          </w:p>
        </w:tc>
        <w:tc>
          <w:tcPr>
            <w:tcW w:type="dxa" w:w="42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Convertibility premium pricing (10–15% vs. up to 32%)</w:t>
            </w:r>
          </w:p>
        </w:tc>
        <w:tc>
          <w:tcPr>
            <w:tcW w:type="dxa" w:w="1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bCs/>
                <w:color w:val="548235"/>
                <w:sz w:val="18"/>
                <w:szCs w:val="18"/>
              </w:rPr>
              <w:t xml:space="preserve">Medium</w:t>
            </w:r>
          </w:p>
        </w:tc>
        <w:tc>
          <w:tcPr>
            <w:tcW w:type="dxa" w:w="27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GC pricing + model sensitivity</w:t>
            </w:r>
          </w:p>
        </w:tc>
      </w:tr>
      <w:tr>
        <w:tc>
          <w:tcPr>
            <w:tcW w:type="dxa" w:w="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bCs/>
                <w:color w:val="000000"/>
                <w:sz w:val="18"/>
                <w:szCs w:val="18"/>
              </w:rPr>
              <w:t xml:space="preserve">OQ-11</w:t>
            </w:r>
          </w:p>
        </w:tc>
        <w:tc>
          <w:tcPr>
            <w:tcW w:type="dxa" w:w="42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Final height decision (110 ft by-right vs. bonus to 150 ft)</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bCs/>
                <w:color w:val="548235"/>
                <w:sz w:val="18"/>
                <w:szCs w:val="18"/>
              </w:rPr>
              <w:t xml:space="preserve">Medium</w:t>
            </w:r>
          </w:p>
        </w:tc>
        <w:tc>
          <w:tcPr>
            <w:tcW w:type="dxa" w:w="2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Financial model outcome</w:t>
            </w:r>
          </w:p>
        </w:tc>
      </w:tr>
      <w:tr>
        <w:tc>
          <w:tcPr>
            <w:tcW w:type="dxa" w:w="9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bCs/>
                <w:color w:val="000000"/>
                <w:sz w:val="18"/>
                <w:szCs w:val="18"/>
              </w:rPr>
              <w:t xml:space="preserve">OQ-12</w:t>
            </w:r>
          </w:p>
        </w:tc>
        <w:tc>
          <w:tcPr>
            <w:tcW w:type="dxa" w:w="42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Reconcile appraisal branding (“Agora Mediterranean Market”) with the subject</w:t>
            </w:r>
          </w:p>
        </w:tc>
        <w:tc>
          <w:tcPr>
            <w:tcW w:type="dxa" w:w="15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bCs/>
                <w:color w:val="548235"/>
                <w:sz w:val="18"/>
                <w:szCs w:val="18"/>
              </w:rPr>
              <w:t xml:space="preserve">Low</w:t>
            </w:r>
          </w:p>
        </w:tc>
        <w:tc>
          <w:tcPr>
            <w:tcW w:type="dxa" w:w="27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Document/records check</w:t>
            </w:r>
          </w:p>
        </w:tc>
      </w:tr>
      <w:tr>
        <w:tc>
          <w:tcPr>
            <w:tcW w:type="dxa" w:w="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bCs/>
                <w:color w:val="000000"/>
                <w:sz w:val="18"/>
                <w:szCs w:val="18"/>
              </w:rPr>
              <w:t xml:space="preserve">OQ-13</w:t>
            </w:r>
          </w:p>
        </w:tc>
        <w:tc>
          <w:tcPr>
            <w:tcW w:type="dxa" w:w="42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Environmental Phase I ESA scope and findings</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bCs/>
                <w:color w:val="548235"/>
                <w:sz w:val="18"/>
                <w:szCs w:val="18"/>
              </w:rPr>
              <w:t xml:space="preserve">Medium</w:t>
            </w:r>
          </w:p>
        </w:tc>
        <w:tc>
          <w:tcPr>
            <w:tcW w:type="dxa" w:w="2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Phase I ESA</w:t>
            </w:r>
          </w:p>
        </w:tc>
      </w:tr>
    </w:tbl>
    <w:p>
      <w:pPr>
        <w:spacing w:after="80"/>
      </w:pPr>
    </w:p>
    <w:p>
      <w:pPr>
        <w:pStyle w:val="Heading2"/>
      </w:pPr>
      <w:r>
        <w:t xml:space="preserve">14.1 Recommended Resolution Order</w:t>
      </w:r>
    </w:p>
    <w:p>
      <w:pPr>
        <w:pStyle w:val="ListParagraph"/>
        <w:numPr>
          <w:ilvl w:val="0"/>
          <w:numId w:val="3"/>
        </w:numPr>
        <w:spacing w:after="50" w:line="260"/>
      </w:pPr>
      <w:r>
        <w:t xml:space="preserve">Ratify the project thesis (OQ-01) — nothing else should consume design budget until this is settled.</w:t>
      </w:r>
    </w:p>
    <w:p>
      <w:pPr>
        <w:pStyle w:val="ListParagraph"/>
        <w:numPr>
          <w:ilvl w:val="0"/>
          <w:numId w:val="3"/>
        </w:numPr>
        <w:spacing w:after="50" w:line="260"/>
      </w:pPr>
      <w:r>
        <w:t xml:space="preserve">In parallel: zoning verification (OQ-03), parking/program test-fit (OQ-02), and the traffic study (OQ-05).</w:t>
      </w:r>
    </w:p>
    <w:p>
      <w:pPr>
        <w:pStyle w:val="ListParagraph"/>
        <w:numPr>
          <w:ilvl w:val="0"/>
          <w:numId w:val="3"/>
        </w:numPr>
        <w:spacing w:after="50" w:line="260"/>
      </w:pPr>
      <w:r>
        <w:t xml:space="preserve">Then the gating technical studies: FPL capacity (OQ-04), stormwater (OQ-06), geotechnical (OQ-07), Phase I ESA (OQ-13).</w:t>
      </w:r>
    </w:p>
    <w:p>
      <w:pPr>
        <w:pStyle w:val="ListParagraph"/>
        <w:numPr>
          <w:ilvl w:val="0"/>
          <w:numId w:val="3"/>
        </w:numPr>
        <w:spacing w:after="50" w:line="260"/>
      </w:pPr>
      <w:r>
        <w:t xml:space="preserve">Concurrently: open co-working LOI talks (OQ-08) and update title (OQ-09).</w:t>
      </w:r>
    </w:p>
    <w:p>
      <w:pPr>
        <w:pStyle w:val="ListParagraph"/>
        <w:numPr>
          <w:ilvl w:val="0"/>
          <w:numId w:val="3"/>
        </w:numPr>
        <w:spacing w:after="50" w:line="260"/>
      </w:pPr>
      <w:r>
        <w:t xml:space="preserve">Finally: price convertibility (OQ-10) and decide final height (OQ-11) inside the financial model; clean up records (OQ-12).</w:t>
      </w:r>
    </w:p>
    <w:p>
      <w:pPr>
        <w:spacing w:after="60"/>
      </w:pPr>
    </w:p>
    <w:p>
      <w:pPr>
        <w:pBdr>
          <w:top w:val="single" w:color="2E5496" w:sz="6" w:space="4"/>
        </w:pBdr>
        <w:spacing w:after="80" w:before="80"/>
      </w:pPr>
      <w:r>
        <w:rPr>
          <w:b/>
          <w:bCs/>
          <w:color w:val="2E5496"/>
          <w:sz w:val="20"/>
          <w:szCs w:val="20"/>
        </w:rPr>
        <w:t xml:space="preserve">Chapter Close-Out</w:t>
      </w:r>
    </w:p>
    <w:p>
      <w:pPr>
        <w:spacing w:after="30" w:before="60"/>
      </w:pPr>
      <w:r>
        <w:rPr>
          <w:b/>
          <w:bCs/>
          <w:color w:val="1F3864"/>
          <w:sz w:val="18"/>
          <w:szCs w:val="18"/>
        </w:rPr>
        <w:t xml:space="preserve">Key Decisions</w:t>
      </w:r>
    </w:p>
    <w:p>
      <w:pPr>
        <w:pStyle w:val="ListParagraph"/>
        <w:numPr>
          <w:ilvl w:val="0"/>
          <w:numId w:val="2"/>
        </w:numPr>
        <w:spacing w:after="20" w:line="250"/>
      </w:pPr>
      <w:r>
        <w:rPr>
          <w:sz w:val="18"/>
          <w:szCs w:val="18"/>
        </w:rPr>
        <w:t xml:space="preserve">Resolve OQ-01 first; run zoning, test-fit, and traffic as the immediate parallel workstreams.</w:t>
      </w:r>
    </w:p>
    <w:p>
      <w:pPr>
        <w:spacing w:after="30" w:before="60"/>
      </w:pPr>
      <w:r>
        <w:rPr>
          <w:b/>
          <w:bCs/>
          <w:color w:val="548235"/>
          <w:sz w:val="18"/>
          <w:szCs w:val="18"/>
        </w:rPr>
        <w:t xml:space="preserve">Supporting Evidence</w:t>
      </w:r>
    </w:p>
    <w:p>
      <w:pPr>
        <w:pStyle w:val="ListParagraph"/>
        <w:numPr>
          <w:ilvl w:val="0"/>
          <w:numId w:val="2"/>
        </w:numPr>
        <w:spacing w:after="20" w:line="250"/>
      </w:pPr>
      <w:r>
        <w:rPr>
          <w:sz w:val="18"/>
          <w:szCs w:val="18"/>
        </w:rPr>
        <w:t xml:space="preserve">Derived from the research library and the gating logic of the entitlement roadmap (Ch.10).</w:t>
      </w:r>
    </w:p>
    <w:p>
      <w:pPr>
        <w:spacing w:after="30" w:before="60"/>
      </w:pPr>
      <w:r>
        <w:rPr>
          <w:b/>
          <w:bCs/>
          <w:color w:val="BF8F00"/>
          <w:sz w:val="18"/>
          <w:szCs w:val="18"/>
        </w:rPr>
        <w:t xml:space="preserve">Remaining Unknowns</w:t>
      </w:r>
    </w:p>
    <w:p>
      <w:pPr>
        <w:pStyle w:val="ListParagraph"/>
        <w:numPr>
          <w:ilvl w:val="0"/>
          <w:numId w:val="2"/>
        </w:numPr>
        <w:spacing w:after="20" w:line="250"/>
      </w:pPr>
      <w:r>
        <w:rPr>
          <w:sz w:val="18"/>
          <w:szCs w:val="18"/>
        </w:rPr>
        <w:t xml:space="preserve">All thirteen items, by definition, remain open until their listed validation is complete.</w:t>
      </w:r>
    </w:p>
    <w:p>
      <w:pPr>
        <w:spacing w:after="30" w:before="60"/>
      </w:pPr>
      <w:r>
        <w:rPr>
          <w:b/>
          <w:bCs/>
          <w:color w:val="2E5496"/>
          <w:sz w:val="18"/>
          <w:szCs w:val="18"/>
        </w:rPr>
        <w:t xml:space="preserve">Recommended Next Actions</w:t>
      </w:r>
    </w:p>
    <w:p>
      <w:pPr>
        <w:pStyle w:val="ListParagraph"/>
        <w:numPr>
          <w:ilvl w:val="0"/>
          <w:numId w:val="2"/>
        </w:numPr>
        <w:spacing w:after="20" w:line="250"/>
      </w:pPr>
      <w:r>
        <w:rPr>
          <w:sz w:val="18"/>
          <w:szCs w:val="18"/>
        </w:rPr>
        <w:t xml:space="preserve">Stand up an Open Questions tracker mirroring this table and review it at every milestone.</w:t>
      </w:r>
    </w:p>
    <w:p>
      <w:r>
        <w:br w:type="page"/>
      </w:r>
    </w:p>
    <w:p>
      <w:pPr>
        <w:pStyle w:val="Heading1"/>
      </w:pPr>
      <w:r>
        <w:t xml:space="preserve">15. Internal Consistency Audit</w:t>
      </w:r>
    </w:p>
    <w:p>
      <w:pPr>
        <w:spacing w:after="120" w:line="264"/>
      </w:pPr>
      <w:r>
        <w:t xml:space="preserve">Performed before issuance, as required. The audit verifies alignment with the governing documents and the research library and confirms the manual can guide the next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300"/>
        <w:gridCol w:w="4660"/>
      </w:tblGrid>
      <w:tr>
        <w:trPr>
          <w:tblHeader/>
        </w:trPr>
        <w:tc>
          <w:tcPr>
            <w:tcW w:type="dxa" w:w="34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line="240"/>
              <w:jc w:val="left"/>
            </w:pPr>
            <w:r>
              <w:rPr>
                <w:b/>
                <w:bCs/>
                <w:color w:val="FFFFFF"/>
                <w:sz w:val="18"/>
                <w:szCs w:val="18"/>
              </w:rPr>
              <w:t xml:space="preserve">Audit check</w:t>
            </w:r>
          </w:p>
        </w:tc>
        <w:tc>
          <w:tcPr>
            <w:tcW w:type="dxa" w:w="13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line="240"/>
              <w:jc w:val="left"/>
            </w:pPr>
            <w:r>
              <w:rPr>
                <w:b/>
                <w:bCs/>
                <w:color w:val="FFFFFF"/>
                <w:sz w:val="18"/>
                <w:szCs w:val="18"/>
              </w:rPr>
              <w:t xml:space="preserve">Result</w:t>
            </w:r>
          </w:p>
        </w:tc>
        <w:tc>
          <w:tcPr>
            <w:tcW w:type="dxa" w:w="46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line="240"/>
              <w:jc w:val="left"/>
            </w:pPr>
            <w:r>
              <w:rPr>
                <w:b/>
                <w:bCs/>
                <w:color w:val="FFFFFF"/>
                <w:sz w:val="18"/>
                <w:szCs w:val="18"/>
              </w:rPr>
              <w:t xml:space="preserve">Notes</w:t>
            </w:r>
          </w:p>
        </w:tc>
      </w:tr>
      <w:tr>
        <w:tc>
          <w:tcPr>
            <w:tcW w:type="dxa" w:w="3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Aligns with Project Constitution</w:t>
            </w:r>
          </w:p>
        </w:tc>
        <w:tc>
          <w:tcPr>
            <w:tcW w:type="dxa" w:w="1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bCs/>
                <w:color w:val="548235"/>
                <w:sz w:val="18"/>
                <w:szCs w:val="18"/>
              </w:rPr>
              <w:t xml:space="preserve">Pass</w:t>
            </w:r>
          </w:p>
        </w:tc>
        <w:tc>
          <w:tcPr>
            <w:tcW w:type="dxa" w:w="46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Mission, Principles 1–12, and the eight decision questions are satisfied (Ch.2)</w:t>
            </w:r>
          </w:p>
        </w:tc>
      </w:tr>
      <w:tr>
        <w:tc>
          <w:tcPr>
            <w:tcW w:type="dxa" w:w="34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No active decision contradicted without explanation</w:t>
            </w:r>
          </w:p>
        </w:tc>
        <w:tc>
          <w:tcPr>
            <w:tcW w:type="dxa" w:w="13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bCs/>
                <w:color w:val="548235"/>
                <w:sz w:val="18"/>
                <w:szCs w:val="18"/>
              </w:rPr>
              <w:t xml:space="preserve">Pass</w:t>
            </w:r>
          </w:p>
        </w:tc>
        <w:tc>
          <w:tcPr>
            <w:tcW w:type="dxa" w:w="46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Decisions 001–003 reaffirmed; the only tension (Nexus thesis) is explicitly surfaced, not silently overridden (Ch.0, OQ-01)</w:t>
            </w:r>
          </w:p>
        </w:tc>
      </w:tr>
      <w:tr>
        <w:tc>
          <w:tcPr>
            <w:tcW w:type="dxa" w:w="3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Consistent with Site Intelligence Report</w:t>
            </w:r>
          </w:p>
        </w:tc>
        <w:tc>
          <w:tcPr>
            <w:tcW w:type="dxa" w:w="1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bCs/>
                <w:color w:val="548235"/>
                <w:sz w:val="18"/>
                <w:szCs w:val="18"/>
              </w:rPr>
              <w:t xml:space="preserve">Pass</w:t>
            </w:r>
          </w:p>
        </w:tc>
        <w:tc>
          <w:tcPr>
            <w:tcW w:type="dxa" w:w="46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Zoning, FEMA AE, utilities, QOZ, mobility-hub context carried through Ch.3, 6, 9–11</w:t>
            </w:r>
          </w:p>
        </w:tc>
      </w:tr>
      <w:tr>
        <w:tc>
          <w:tcPr>
            <w:tcW w:type="dxa" w:w="34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Consistent with Healthcare Market &amp; HBU Analysis</w:t>
            </w:r>
          </w:p>
        </w:tc>
        <w:tc>
          <w:tcPr>
            <w:tcW w:type="dxa" w:w="13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bCs/>
                <w:color w:val="548235"/>
                <w:sz w:val="18"/>
                <w:szCs w:val="18"/>
              </w:rPr>
              <w:t xml:space="preserve">Pass</w:t>
            </w:r>
          </w:p>
        </w:tc>
        <w:tc>
          <w:tcPr>
            <w:tcW w:type="dxa" w:w="46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Adopts the study’s “Highest”-rated mixed-use clinical &amp; mobility recommendation (Ch.1, 7)</w:t>
            </w:r>
          </w:p>
        </w:tc>
      </w:tr>
      <w:tr>
        <w:tc>
          <w:tcPr>
            <w:tcW w:type="dxa" w:w="3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Consistent with Feasibility &amp; Benchmark Study</w:t>
            </w:r>
          </w:p>
        </w:tc>
        <w:tc>
          <w:tcPr>
            <w:tcW w:type="dxa" w:w="1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bCs/>
                <w:color w:val="548235"/>
                <w:sz w:val="18"/>
                <w:szCs w:val="18"/>
              </w:rPr>
              <w:t xml:space="preserve">Pass</w:t>
            </w:r>
          </w:p>
        </w:tc>
        <w:tc>
          <w:tcPr>
            <w:tcW w:type="dxa" w:w="46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Structure, phasing, future-proofing, and operations track the benchmarks and failure cases (Ch.5, 8, 9)</w:t>
            </w:r>
          </w:p>
        </w:tc>
      </w:tr>
      <w:tr>
        <w:tc>
          <w:tcPr>
            <w:tcW w:type="dxa" w:w="34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Assumptions distinguished from verified facts</w:t>
            </w:r>
          </w:p>
        </w:tc>
        <w:tc>
          <w:tcPr>
            <w:tcW w:type="dxa" w:w="13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bCs/>
                <w:color w:val="548235"/>
                <w:sz w:val="18"/>
                <w:szCs w:val="18"/>
              </w:rPr>
              <w:t xml:space="preserve">Pass</w:t>
            </w:r>
          </w:p>
        </w:tc>
        <w:tc>
          <w:tcPr>
            <w:tcW w:type="dxa" w:w="46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FACT/ASSUMPTION/FORECAST/JUDGMENT tagging applied throughout</w:t>
            </w:r>
          </w:p>
        </w:tc>
      </w:tr>
      <w:tr>
        <w:tc>
          <w:tcPr>
            <w:tcW w:type="dxa" w:w="3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Usable by architects, engineers, modelers, counsel, partners</w:t>
            </w:r>
          </w:p>
        </w:tc>
        <w:tc>
          <w:tcPr>
            <w:tcW w:type="dxa" w:w="1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bCs/>
                <w:color w:val="548235"/>
                <w:sz w:val="18"/>
                <w:szCs w:val="18"/>
              </w:rPr>
              <w:t xml:space="preserve">Pass</w:t>
            </w:r>
          </w:p>
        </w:tc>
        <w:tc>
          <w:tcPr>
            <w:tcW w:type="dxa" w:w="46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40"/>
              <w:jc w:val="left"/>
            </w:pPr>
            <w:r>
              <w:rPr>
                <w:b w:val="false"/>
                <w:bCs w:val="false"/>
                <w:color w:val="000000"/>
                <w:sz w:val="18"/>
                <w:szCs w:val="18"/>
              </w:rPr>
              <w:t xml:space="preserve">Each chapter closes with decisions, evidence, unknowns, and next actions</w:t>
            </w:r>
          </w:p>
        </w:tc>
      </w:tr>
      <w:tr>
        <w:tc>
          <w:tcPr>
            <w:tcW w:type="dxa" w:w="34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Appraisal used only as background</w:t>
            </w:r>
          </w:p>
        </w:tc>
        <w:tc>
          <w:tcPr>
            <w:tcW w:type="dxa" w:w="13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bCs/>
                <w:color w:val="548235"/>
                <w:sz w:val="18"/>
                <w:szCs w:val="18"/>
              </w:rPr>
              <w:t xml:space="preserve">Pass</w:t>
            </w:r>
          </w:p>
        </w:tc>
        <w:tc>
          <w:tcPr>
            <w:tcW w:type="dxa" w:w="46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40"/>
              <w:jc w:val="left"/>
            </w:pPr>
            <w:r>
              <w:rPr>
                <w:b w:val="false"/>
                <w:bCs w:val="false"/>
                <w:color w:val="000000"/>
                <w:sz w:val="18"/>
                <w:szCs w:val="18"/>
              </w:rPr>
              <w:t xml:space="preserve">Site data corroborated; never used as sole planning authority (Ch.0, Ch.3)</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F0F8" w:sz="1"/>
              <w:left w:val="single" w:color="1F3864" w:sz="24"/>
              <w:bottom w:val="single" w:color="EAF0F8" w:sz="1"/>
              <w:right w:val="single" w:color="EAF0F8" w:sz="1"/>
            </w:tcBorders>
            <w:shd w:fill="EAF0F8" w:val="clear"/>
            <w:tcMar>
              <w:top w:type="dxa" w:w="120"/>
              <w:left w:type="dxa" w:w="200"/>
              <w:bottom w:type="dxa" w:w="120"/>
              <w:right w:type="dxa" w:w="160"/>
            </w:tcMar>
          </w:tcPr>
          <w:p>
            <w:pPr>
              <w:spacing w:after="60"/>
            </w:pPr>
            <w:r>
              <w:rPr>
                <w:b/>
                <w:bCs/>
                <w:color w:val="1F3864"/>
                <w:sz w:val="19"/>
                <w:szCs w:val="19"/>
              </w:rPr>
              <w:t xml:space="preserve">Issuance statement</w:t>
            </w:r>
          </w:p>
          <w:p>
            <w:pPr>
              <w:spacing w:after="40" w:line="252"/>
            </w:pPr>
            <w:r>
              <w:t xml:space="preserve">This Owner’s Development Program is internally consistent with the Project Constitution and the Project Decision Log, is grounded in the research library, and clearly separates verified facts from assumptions, forecasts, and professional judgment. The single material open governance item — ratification of the project thesis (OQ-01) — is surfaced for the Owner’s decision and does not alter any active decision until the Owner rules. The manual is suitable to govern the project from this point through schematic design and beyond.</w:t>
            </w:r>
          </w:p>
        </w:tc>
      </w:tr>
    </w:tbl>
    <w:p>
      <w:pPr>
        <w:spacing w:after="80"/>
      </w:pPr>
    </w:p>
    <w:p>
      <w:pPr>
        <w:spacing w:before="120"/>
      </w:pPr>
      <w:r>
        <w:rPr>
          <w:i/>
          <w:iCs/>
        </w:rPr>
        <w:t xml:space="preserve">Prepared by the Owner’s Representative · Version 1.0 · Governing Document · Subordinate to the Project Constitution and Project Decision Log. To be maintained as a living manual; material changes should be reflected in the Decision Log.</w:t>
      </w:r>
    </w:p>
    <w:sectPr>
      <w:headerReference w:type="default" r:id="rId7"/>
      <w:footerReference w:type="default" r:id="rId8"/>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4" w:space="6"/>
      </w:pBdr>
      <w:tabs>
        <w:tab w:val="center" w:pos="4680"/>
        <w:tab w:val="right" w:pos="9360"/>
      </w:tabs>
    </w:pPr>
    <w:r>
      <w:rPr>
        <w:color w:val="595959"/>
        <w:sz w:val="14"/>
        <w:szCs w:val="14"/>
      </w:rPr>
      <w:t xml:space="preserve">South Andrews Clinical &amp; Mobility Center</w:t>
    </w:r>
    <w:r>
      <w:rPr>
        <w:color w:val="595959"/>
        <w:sz w:val="14"/>
        <w:szCs w:val="14"/>
      </w:rPr>
      <w:t xml:space="preserve">	Owner’s Development Program v1.0	</w:t>
    </w:r>
    <w:r>
      <w:rPr>
        <w:color w:val="595959"/>
        <w:sz w:val="14"/>
        <w:szCs w:val="14"/>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3"/>
        <w:szCs w:val="13"/>
      </w:rPr>
      <w:t xml:space="preserve">CONFIDENTIAL — FOR INVESTMENT COMMITTEE &amp; PROJECT TEAM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280"/>
      </w:pPr>
    </w:lvl>
  </w:abstractNum>
  <w:abstractNum w:abstractNumId="4" w15:restartNumberingAfterBreak="0">
    <w:multiLevelType w:val="hybridMultilevel"/>
    <w:lvl w:ilvl="0" w15:tentative="1">
      <w:start w:val="1"/>
      <w:numFmt w:val="decimal"/>
      <w:lvlText w:val="%1."/>
      <w:lvlJc w:val="left"/>
      <w:pPr>
        <w:ind w:left="48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5496" w:sz="8" w:space="4"/>
      </w:pBdr>
      <w:spacing w:after="160" w:before="28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00" w:before="200"/>
      <w:outlineLvl w:val="1"/>
    </w:pPr>
    <w:rPr>
      <w:rFonts w:ascii="Calibri" w:cs="Calibri" w:eastAsia="Calibri" w:hAnsi="Calibri"/>
      <w:b/>
      <w:bCs/>
      <w:color w:val="2E5496"/>
      <w:sz w:val="25"/>
      <w:szCs w:val="25"/>
    </w:rPr>
  </w:style>
  <w:style w:type="paragraph" w:styleId="Heading3">
    <w:name w:val="Heading 3"/>
    <w:basedOn w:val="Normal"/>
    <w:next w:val="Normal"/>
    <w:qFormat/>
    <w:pPr>
      <w:spacing w:after="80" w:before="140"/>
      <w:outlineLvl w:val="2"/>
    </w:pPr>
    <w:rPr>
      <w:rFonts w:ascii="Calibri" w:cs="Calibri" w:eastAsia="Calibri" w:hAnsi="Calibri"/>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South Andrews Clinical &amp; Mobility Center — Owner's Development Program</dc:title>
  <dc:creator>Owner's Representative</dc:creator>
  <cp:lastModifiedBy>Un-named</cp:lastModifiedBy>
  <cp:revision>1</cp:revision>
  <dcterms:created xsi:type="dcterms:W3CDTF">2026-06-26T23:31:56.007Z</dcterms:created>
  <dcterms:modified xsi:type="dcterms:W3CDTF">2026-06-26T23:31:56.007Z</dcterms:modified>
</cp:coreProperties>
</file>

<file path=docProps/custom.xml><?xml version="1.0" encoding="utf-8"?>
<Properties xmlns="http://schemas.openxmlformats.org/officeDocument/2006/custom-properties" xmlns:vt="http://schemas.openxmlformats.org/officeDocument/2006/docPropsVTypes"/>
</file>