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Design Intelligence Launch Brief</w:t>
      </w:r>
    </w:p>
    <w:p>
      <w:r>
        <w:rPr>
          <w:rFonts w:ascii="Arial" w:hAnsi="Arial"/>
          <w:sz w:val="22"/>
        </w:rPr>
        <w:t>Date: August 20, 2026</w:t>
      </w:r>
    </w:p>
    <w:p>
      <w:pPr>
        <w:pStyle w:val="Heading1"/>
      </w:pPr>
      <w:r>
        <w:t>Recommendation</w:t>
      </w:r>
    </w:p>
    <w:p>
      <w:r>
        <w:t>Treat Design Intelligence as a governed operating layer, not a pile of prompts. The project now has a clear route from request to authority selection, subagent routing, implementation, review, and artifact delivery.</w:t>
      </w:r>
    </w:p>
    <w:p>
      <w:pPr>
        <w:pStyle w:val="Heading1"/>
      </w:pPr>
      <w:r>
        <w:t>What exists now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source-of-truth registry for approved, experimental, candidate, rejected, and license-review design sources.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first-pass orchestrator for deciding the right agent and skill route.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Specialist subagents for registry curation, consumer integration, implementation review, accessibility, mobile UX, anti-slop review, motion review, and harness verification.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Non-secret connection records for Google Drive, Sites, and browser verification.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A local harness that checks the operating layer before handoff.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Brief artifacts for quick sharing: Google Doc, PDF, and HTML site.</w:t>
      </w:r>
    </w:p>
    <w:p>
      <w:pPr>
        <w:pStyle w:val="Heading1"/>
      </w:pPr>
      <w:r>
        <w:t>How to use it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Start with agents/design-intelligence-orchestrator.md for setup or package requests.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Use registry.yaml before recommending or installing any design skill.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Use agents/AGENT_GRAPH.md to pick subagents.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Use connections/design-intelligence.connections.json to understand connector boundaries.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Run harness/validate.mjs before shipping a structure change.</w:t>
      </w:r>
    </w:p>
    <w:p>
      <w:pPr>
        <w:pStyle w:val="Heading1"/>
      </w:pPr>
      <w:r>
        <w:t>Boundaries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stack competing design-opinion skills.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copy the registry into consumer projects.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store credentials in connection files.</w:t>
      </w:r>
    </w:p>
    <w:p>
      <w:pPr>
        <w:pStyle w:val="ListBullet"/>
        <w:spacing w:after="80"/>
      </w:pPr>
      <w:r>
        <w:rPr>
          <w:rFonts w:ascii="Arial" w:hAnsi="Arial"/>
          <w:sz w:val="22"/>
        </w:rPr>
        <w:t>Do not call a document, PDF, frontend, or motion artifact verified until its medium-specific check has run.</w:t>
      </w:r>
    </w:p>
    <w:p>
      <w:pPr>
        <w:pStyle w:val="Heading1"/>
      </w:pPr>
      <w:r>
        <w:t>Next useful step</w:t>
      </w:r>
    </w:p>
    <w:p>
      <w:r>
        <w:t>Use this structure as the default package shape for future Design Intelligence work, then promote only the pieces that survive real project use.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