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8904F" w14:textId="77777777" w:rsidR="003F725B" w:rsidRPr="003F725B" w:rsidRDefault="003F725B" w:rsidP="003F725B">
      <w:pPr>
        <w:spacing w:before="120" w:after="0"/>
        <w:jc w:val="center"/>
        <w:rPr>
          <w:rFonts w:ascii="Times New Roman" w:hAnsi="Times New Roman" w:cs="Times New Roman"/>
          <w:b/>
          <w:bCs/>
          <w:sz w:val="24"/>
          <w:szCs w:val="24"/>
        </w:rPr>
      </w:pPr>
      <w:r w:rsidRPr="003F725B">
        <w:rPr>
          <w:rFonts w:ascii="Times New Roman" w:hAnsi="Times New Roman" w:cs="Times New Roman"/>
          <w:b/>
          <w:bCs/>
          <w:sz w:val="24"/>
          <w:szCs w:val="24"/>
        </w:rPr>
        <w:t>Project 2: Causes of Death in 1980 and 2016</w:t>
      </w:r>
    </w:p>
    <w:p w14:paraId="5E1AC41E" w14:textId="1BCCA69C" w:rsidR="003F725B" w:rsidRDefault="003F725B" w:rsidP="003F725B">
      <w:pPr>
        <w:spacing w:before="120" w:after="0"/>
        <w:jc w:val="center"/>
        <w:rPr>
          <w:rFonts w:ascii="Times New Roman" w:hAnsi="Times New Roman" w:cs="Times New Roman"/>
          <w:sz w:val="24"/>
          <w:szCs w:val="24"/>
        </w:rPr>
      </w:pPr>
      <w:r>
        <w:rPr>
          <w:rFonts w:ascii="Times New Roman" w:hAnsi="Times New Roman" w:cs="Times New Roman"/>
          <w:sz w:val="24"/>
          <w:szCs w:val="24"/>
        </w:rPr>
        <w:t>Bella Vaccaro</w:t>
      </w:r>
    </w:p>
    <w:p w14:paraId="1ABD6B4D" w14:textId="77777777" w:rsidR="003F725B" w:rsidRPr="003F725B" w:rsidRDefault="003F725B" w:rsidP="003F725B">
      <w:pPr>
        <w:spacing w:before="120" w:after="0"/>
        <w:rPr>
          <w:rFonts w:ascii="Times New Roman" w:hAnsi="Times New Roman" w:cs="Times New Roman"/>
          <w:sz w:val="24"/>
          <w:szCs w:val="24"/>
        </w:rPr>
      </w:pPr>
    </w:p>
    <w:p w14:paraId="65691E64" w14:textId="77777777" w:rsidR="003F725B" w:rsidRPr="003F725B" w:rsidRDefault="003F725B" w:rsidP="003F725B">
      <w:pPr>
        <w:spacing w:before="120" w:after="0"/>
        <w:rPr>
          <w:rFonts w:ascii="Times New Roman" w:hAnsi="Times New Roman" w:cs="Times New Roman"/>
          <w:b/>
          <w:bCs/>
          <w:sz w:val="24"/>
          <w:szCs w:val="24"/>
        </w:rPr>
      </w:pPr>
      <w:r w:rsidRPr="003F725B">
        <w:rPr>
          <w:rFonts w:ascii="Times New Roman" w:hAnsi="Times New Roman" w:cs="Times New Roman"/>
          <w:b/>
          <w:bCs/>
          <w:sz w:val="24"/>
          <w:szCs w:val="24"/>
        </w:rPr>
        <w:t>Deaths per 1,000 People in Each Age Group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2314"/>
        <w:gridCol w:w="2329"/>
      </w:tblGrid>
      <w:tr w:rsidR="003F725B" w:rsidRPr="003F725B" w14:paraId="78E6F792" w14:textId="77777777" w:rsidTr="003F725B">
        <w:trPr>
          <w:tblHeader/>
          <w:tblCellSpacing w:w="15" w:type="dxa"/>
        </w:trPr>
        <w:tc>
          <w:tcPr>
            <w:tcW w:w="0" w:type="auto"/>
            <w:vAlign w:val="center"/>
            <w:hideMark/>
          </w:tcPr>
          <w:p w14:paraId="0CBFCAA2" w14:textId="77777777" w:rsidR="003F725B" w:rsidRPr="003F725B" w:rsidRDefault="003F725B" w:rsidP="003F725B">
            <w:pPr>
              <w:spacing w:before="120" w:after="0"/>
              <w:rPr>
                <w:rFonts w:ascii="Times New Roman" w:hAnsi="Times New Roman" w:cs="Times New Roman"/>
                <w:b/>
                <w:bCs/>
                <w:sz w:val="24"/>
                <w:szCs w:val="24"/>
              </w:rPr>
            </w:pPr>
            <w:r w:rsidRPr="003F725B">
              <w:rPr>
                <w:rFonts w:ascii="Times New Roman" w:hAnsi="Times New Roman" w:cs="Times New Roman"/>
                <w:b/>
                <w:bCs/>
                <w:sz w:val="24"/>
                <w:szCs w:val="24"/>
              </w:rPr>
              <w:t>Age Group</w:t>
            </w:r>
          </w:p>
        </w:tc>
        <w:tc>
          <w:tcPr>
            <w:tcW w:w="0" w:type="auto"/>
            <w:vAlign w:val="center"/>
            <w:hideMark/>
          </w:tcPr>
          <w:p w14:paraId="34CD5656" w14:textId="77777777" w:rsidR="003F725B" w:rsidRPr="003F725B" w:rsidRDefault="003F725B" w:rsidP="003F725B">
            <w:pPr>
              <w:spacing w:before="120" w:after="0"/>
              <w:rPr>
                <w:rFonts w:ascii="Times New Roman" w:hAnsi="Times New Roman" w:cs="Times New Roman"/>
                <w:b/>
                <w:bCs/>
                <w:sz w:val="24"/>
                <w:szCs w:val="24"/>
              </w:rPr>
            </w:pPr>
            <w:r w:rsidRPr="003F725B">
              <w:rPr>
                <w:rFonts w:ascii="Times New Roman" w:hAnsi="Times New Roman" w:cs="Times New Roman"/>
                <w:b/>
                <w:bCs/>
                <w:sz w:val="24"/>
                <w:szCs w:val="24"/>
              </w:rPr>
              <w:t>1980 Deaths per 1,000</w:t>
            </w:r>
          </w:p>
        </w:tc>
        <w:tc>
          <w:tcPr>
            <w:tcW w:w="0" w:type="auto"/>
            <w:vAlign w:val="center"/>
            <w:hideMark/>
          </w:tcPr>
          <w:p w14:paraId="4475DE89" w14:textId="77777777" w:rsidR="003F725B" w:rsidRPr="003F725B" w:rsidRDefault="003F725B" w:rsidP="003F725B">
            <w:pPr>
              <w:spacing w:before="120" w:after="0"/>
              <w:rPr>
                <w:rFonts w:ascii="Times New Roman" w:hAnsi="Times New Roman" w:cs="Times New Roman"/>
                <w:b/>
                <w:bCs/>
                <w:sz w:val="24"/>
                <w:szCs w:val="24"/>
              </w:rPr>
            </w:pPr>
            <w:r w:rsidRPr="003F725B">
              <w:rPr>
                <w:rFonts w:ascii="Times New Roman" w:hAnsi="Times New Roman" w:cs="Times New Roman"/>
                <w:b/>
                <w:bCs/>
                <w:sz w:val="24"/>
                <w:szCs w:val="24"/>
              </w:rPr>
              <w:t>2016 Deaths per 1,000</w:t>
            </w:r>
          </w:p>
        </w:tc>
      </w:tr>
      <w:tr w:rsidR="003F725B" w:rsidRPr="003F725B" w14:paraId="200D4018" w14:textId="77777777" w:rsidTr="003F725B">
        <w:trPr>
          <w:tblCellSpacing w:w="15" w:type="dxa"/>
        </w:trPr>
        <w:tc>
          <w:tcPr>
            <w:tcW w:w="0" w:type="auto"/>
            <w:vAlign w:val="center"/>
            <w:hideMark/>
          </w:tcPr>
          <w:p w14:paraId="4FB49905" w14:textId="77777777" w:rsidR="003F725B" w:rsidRPr="003F725B" w:rsidRDefault="003F725B" w:rsidP="003F725B">
            <w:pPr>
              <w:spacing w:before="120" w:after="0"/>
              <w:rPr>
                <w:rFonts w:ascii="Times New Roman" w:hAnsi="Times New Roman" w:cs="Times New Roman"/>
                <w:sz w:val="24"/>
                <w:szCs w:val="24"/>
              </w:rPr>
            </w:pPr>
            <w:r w:rsidRPr="003F725B">
              <w:rPr>
                <w:rFonts w:ascii="Times New Roman" w:hAnsi="Times New Roman" w:cs="Times New Roman"/>
                <w:sz w:val="24"/>
                <w:szCs w:val="24"/>
              </w:rPr>
              <w:t>15–24</w:t>
            </w:r>
          </w:p>
        </w:tc>
        <w:tc>
          <w:tcPr>
            <w:tcW w:w="0" w:type="auto"/>
            <w:vAlign w:val="center"/>
            <w:hideMark/>
          </w:tcPr>
          <w:p w14:paraId="5E5F2DC1" w14:textId="77777777" w:rsidR="003F725B" w:rsidRPr="003F725B" w:rsidRDefault="003F725B" w:rsidP="003F725B">
            <w:pPr>
              <w:spacing w:before="120" w:after="0"/>
              <w:rPr>
                <w:rFonts w:ascii="Times New Roman" w:hAnsi="Times New Roman" w:cs="Times New Roman"/>
                <w:sz w:val="24"/>
                <w:szCs w:val="24"/>
              </w:rPr>
            </w:pPr>
            <w:r w:rsidRPr="003F725B">
              <w:rPr>
                <w:rFonts w:ascii="Times New Roman" w:hAnsi="Times New Roman" w:cs="Times New Roman"/>
                <w:sz w:val="24"/>
                <w:szCs w:val="24"/>
              </w:rPr>
              <w:t>46.85</w:t>
            </w:r>
          </w:p>
        </w:tc>
        <w:tc>
          <w:tcPr>
            <w:tcW w:w="0" w:type="auto"/>
            <w:vAlign w:val="center"/>
            <w:hideMark/>
          </w:tcPr>
          <w:p w14:paraId="046B3642" w14:textId="77777777" w:rsidR="003F725B" w:rsidRPr="003F725B" w:rsidRDefault="003F725B" w:rsidP="003F725B">
            <w:pPr>
              <w:spacing w:before="120" w:after="0"/>
              <w:rPr>
                <w:rFonts w:ascii="Times New Roman" w:hAnsi="Times New Roman" w:cs="Times New Roman"/>
                <w:sz w:val="24"/>
                <w:szCs w:val="24"/>
              </w:rPr>
            </w:pPr>
            <w:r w:rsidRPr="003F725B">
              <w:rPr>
                <w:rFonts w:ascii="Times New Roman" w:hAnsi="Times New Roman" w:cs="Times New Roman"/>
                <w:sz w:val="24"/>
                <w:szCs w:val="24"/>
              </w:rPr>
              <w:t>63.09</w:t>
            </w:r>
          </w:p>
        </w:tc>
      </w:tr>
      <w:tr w:rsidR="003F725B" w:rsidRPr="003F725B" w14:paraId="115614CD" w14:textId="77777777" w:rsidTr="003F725B">
        <w:trPr>
          <w:tblCellSpacing w:w="15" w:type="dxa"/>
        </w:trPr>
        <w:tc>
          <w:tcPr>
            <w:tcW w:w="0" w:type="auto"/>
            <w:vAlign w:val="center"/>
            <w:hideMark/>
          </w:tcPr>
          <w:p w14:paraId="3760A273" w14:textId="77777777" w:rsidR="003F725B" w:rsidRPr="003F725B" w:rsidRDefault="003F725B" w:rsidP="003F725B">
            <w:pPr>
              <w:spacing w:before="120" w:after="0"/>
              <w:rPr>
                <w:rFonts w:ascii="Times New Roman" w:hAnsi="Times New Roman" w:cs="Times New Roman"/>
                <w:sz w:val="24"/>
                <w:szCs w:val="24"/>
              </w:rPr>
            </w:pPr>
            <w:r w:rsidRPr="003F725B">
              <w:rPr>
                <w:rFonts w:ascii="Times New Roman" w:hAnsi="Times New Roman" w:cs="Times New Roman"/>
                <w:sz w:val="24"/>
                <w:szCs w:val="24"/>
              </w:rPr>
              <w:t>25–44</w:t>
            </w:r>
          </w:p>
        </w:tc>
        <w:tc>
          <w:tcPr>
            <w:tcW w:w="0" w:type="auto"/>
            <w:vAlign w:val="center"/>
            <w:hideMark/>
          </w:tcPr>
          <w:p w14:paraId="1144E56E" w14:textId="77777777" w:rsidR="003F725B" w:rsidRPr="003F725B" w:rsidRDefault="003F725B" w:rsidP="003F725B">
            <w:pPr>
              <w:spacing w:before="120" w:after="0"/>
              <w:rPr>
                <w:rFonts w:ascii="Times New Roman" w:hAnsi="Times New Roman" w:cs="Times New Roman"/>
                <w:sz w:val="24"/>
                <w:szCs w:val="24"/>
              </w:rPr>
            </w:pPr>
            <w:r w:rsidRPr="003F725B">
              <w:rPr>
                <w:rFonts w:ascii="Times New Roman" w:hAnsi="Times New Roman" w:cs="Times New Roman"/>
                <w:sz w:val="24"/>
                <w:szCs w:val="24"/>
              </w:rPr>
              <w:t>12.14</w:t>
            </w:r>
          </w:p>
        </w:tc>
        <w:tc>
          <w:tcPr>
            <w:tcW w:w="0" w:type="auto"/>
            <w:vAlign w:val="center"/>
            <w:hideMark/>
          </w:tcPr>
          <w:p w14:paraId="1B2263A9" w14:textId="77777777" w:rsidR="003F725B" w:rsidRPr="003F725B" w:rsidRDefault="003F725B" w:rsidP="003F725B">
            <w:pPr>
              <w:spacing w:before="120" w:after="0"/>
              <w:rPr>
                <w:rFonts w:ascii="Times New Roman" w:hAnsi="Times New Roman" w:cs="Times New Roman"/>
                <w:sz w:val="24"/>
                <w:szCs w:val="24"/>
              </w:rPr>
            </w:pPr>
            <w:r w:rsidRPr="003F725B">
              <w:rPr>
                <w:rFonts w:ascii="Times New Roman" w:hAnsi="Times New Roman" w:cs="Times New Roman"/>
                <w:sz w:val="24"/>
                <w:szCs w:val="24"/>
              </w:rPr>
              <w:t>7.46</w:t>
            </w:r>
          </w:p>
        </w:tc>
      </w:tr>
      <w:tr w:rsidR="003F725B" w:rsidRPr="003F725B" w14:paraId="604EB9AB" w14:textId="77777777" w:rsidTr="003F725B">
        <w:trPr>
          <w:tblCellSpacing w:w="15" w:type="dxa"/>
        </w:trPr>
        <w:tc>
          <w:tcPr>
            <w:tcW w:w="0" w:type="auto"/>
            <w:vAlign w:val="center"/>
            <w:hideMark/>
          </w:tcPr>
          <w:p w14:paraId="2E68BE1C" w14:textId="77777777" w:rsidR="003F725B" w:rsidRPr="003F725B" w:rsidRDefault="003F725B" w:rsidP="003F725B">
            <w:pPr>
              <w:spacing w:before="120" w:after="0"/>
              <w:rPr>
                <w:rFonts w:ascii="Times New Roman" w:hAnsi="Times New Roman" w:cs="Times New Roman"/>
                <w:sz w:val="24"/>
                <w:szCs w:val="24"/>
              </w:rPr>
            </w:pPr>
            <w:r w:rsidRPr="003F725B">
              <w:rPr>
                <w:rFonts w:ascii="Times New Roman" w:hAnsi="Times New Roman" w:cs="Times New Roman"/>
                <w:sz w:val="24"/>
                <w:szCs w:val="24"/>
              </w:rPr>
              <w:t>45–64</w:t>
            </w:r>
          </w:p>
        </w:tc>
        <w:tc>
          <w:tcPr>
            <w:tcW w:w="0" w:type="auto"/>
            <w:vAlign w:val="center"/>
            <w:hideMark/>
          </w:tcPr>
          <w:p w14:paraId="03521683" w14:textId="77777777" w:rsidR="003F725B" w:rsidRPr="003F725B" w:rsidRDefault="003F725B" w:rsidP="003F725B">
            <w:pPr>
              <w:spacing w:before="120" w:after="0"/>
              <w:rPr>
                <w:rFonts w:ascii="Times New Roman" w:hAnsi="Times New Roman" w:cs="Times New Roman"/>
                <w:sz w:val="24"/>
                <w:szCs w:val="24"/>
              </w:rPr>
            </w:pPr>
            <w:r w:rsidRPr="003F725B">
              <w:rPr>
                <w:rFonts w:ascii="Times New Roman" w:hAnsi="Times New Roman" w:cs="Times New Roman"/>
                <w:sz w:val="24"/>
                <w:szCs w:val="24"/>
              </w:rPr>
              <w:t>9.36</w:t>
            </w:r>
          </w:p>
        </w:tc>
        <w:tc>
          <w:tcPr>
            <w:tcW w:w="0" w:type="auto"/>
            <w:vAlign w:val="center"/>
            <w:hideMark/>
          </w:tcPr>
          <w:p w14:paraId="7F364700" w14:textId="77777777" w:rsidR="003F725B" w:rsidRPr="003F725B" w:rsidRDefault="003F725B" w:rsidP="003F725B">
            <w:pPr>
              <w:spacing w:before="120" w:after="0"/>
              <w:rPr>
                <w:rFonts w:ascii="Times New Roman" w:hAnsi="Times New Roman" w:cs="Times New Roman"/>
                <w:sz w:val="24"/>
                <w:szCs w:val="24"/>
              </w:rPr>
            </w:pPr>
            <w:r w:rsidRPr="003F725B">
              <w:rPr>
                <w:rFonts w:ascii="Times New Roman" w:hAnsi="Times New Roman" w:cs="Times New Roman"/>
                <w:sz w:val="24"/>
                <w:szCs w:val="24"/>
              </w:rPr>
              <w:t>7.09</w:t>
            </w:r>
          </w:p>
        </w:tc>
      </w:tr>
    </w:tbl>
    <w:p w14:paraId="4735D0D4" w14:textId="77777777" w:rsidR="003F725B" w:rsidRPr="003F725B" w:rsidRDefault="003F725B" w:rsidP="003F725B">
      <w:pPr>
        <w:spacing w:before="120" w:after="0"/>
        <w:rPr>
          <w:rFonts w:ascii="Times New Roman" w:hAnsi="Times New Roman" w:cs="Times New Roman"/>
          <w:sz w:val="24"/>
          <w:szCs w:val="24"/>
        </w:rPr>
      </w:pPr>
      <w:r w:rsidRPr="003F725B">
        <w:rPr>
          <w:rFonts w:ascii="Times New Roman" w:hAnsi="Times New Roman" w:cs="Times New Roman"/>
          <w:sz w:val="24"/>
          <w:szCs w:val="24"/>
        </w:rPr>
        <w:pict w14:anchorId="574E5342">
          <v:rect id="_x0000_i1068" style="width:0;height:1.5pt" o:hralign="center" o:hrstd="t" o:hr="t" fillcolor="#a0a0a0" stroked="f"/>
        </w:pict>
      </w:r>
    </w:p>
    <w:p w14:paraId="76992A95" w14:textId="77777777" w:rsidR="003F725B" w:rsidRPr="003F725B" w:rsidRDefault="003F725B" w:rsidP="003F725B">
      <w:pPr>
        <w:spacing w:before="120" w:after="0"/>
        <w:rPr>
          <w:rFonts w:ascii="Times New Roman" w:hAnsi="Times New Roman" w:cs="Times New Roman"/>
          <w:b/>
          <w:bCs/>
          <w:sz w:val="24"/>
          <w:szCs w:val="24"/>
        </w:rPr>
      </w:pPr>
      <w:r w:rsidRPr="003F725B">
        <w:rPr>
          <w:rFonts w:ascii="Times New Roman" w:hAnsi="Times New Roman" w:cs="Times New Roman"/>
          <w:b/>
          <w:bCs/>
          <w:sz w:val="24"/>
          <w:szCs w:val="24"/>
        </w:rPr>
        <w:t>Discussion on Changes in Mortality Rates (Ages 15–24)</w:t>
      </w:r>
    </w:p>
    <w:p w14:paraId="6D038099" w14:textId="02B127B9" w:rsidR="003F725B" w:rsidRPr="003F725B" w:rsidRDefault="003F725B" w:rsidP="003F725B">
      <w:pPr>
        <w:spacing w:before="120" w:after="0"/>
        <w:rPr>
          <w:rFonts w:ascii="Times New Roman" w:hAnsi="Times New Roman" w:cs="Times New Roman"/>
          <w:sz w:val="24"/>
          <w:szCs w:val="24"/>
        </w:rPr>
      </w:pPr>
      <w:r w:rsidRPr="003F725B">
        <w:rPr>
          <w:rFonts w:ascii="Times New Roman" w:hAnsi="Times New Roman" w:cs="Times New Roman"/>
          <w:sz w:val="24"/>
          <w:szCs w:val="24"/>
        </w:rPr>
        <w:t xml:space="preserve">Between 1980 and 2016, the death rate for the 15–24 age group increased significantly from </w:t>
      </w:r>
      <w:r w:rsidRPr="003F725B">
        <w:rPr>
          <w:rFonts w:ascii="Times New Roman" w:hAnsi="Times New Roman" w:cs="Times New Roman"/>
          <w:b/>
          <w:bCs/>
          <w:sz w:val="24"/>
          <w:szCs w:val="24"/>
        </w:rPr>
        <w:t>46.85 to 63.09 deaths per 1,000 people</w:t>
      </w:r>
      <w:r w:rsidRPr="003F725B">
        <w:rPr>
          <w:rFonts w:ascii="Times New Roman" w:hAnsi="Times New Roman" w:cs="Times New Roman"/>
          <w:sz w:val="24"/>
          <w:szCs w:val="24"/>
        </w:rPr>
        <w:t>. Several contributing factors include a sharp rise in drug overdose deaths</w:t>
      </w:r>
      <w:r>
        <w:rPr>
          <w:rFonts w:ascii="Times New Roman" w:hAnsi="Times New Roman" w:cs="Times New Roman"/>
          <w:sz w:val="24"/>
          <w:szCs w:val="24"/>
        </w:rPr>
        <w:t xml:space="preserve"> (</w:t>
      </w:r>
      <w:r w:rsidRPr="003F725B">
        <w:rPr>
          <w:rFonts w:ascii="Times New Roman" w:hAnsi="Times New Roman" w:cs="Times New Roman"/>
          <w:sz w:val="24"/>
          <w:szCs w:val="24"/>
        </w:rPr>
        <w:t>particularly from opioids</w:t>
      </w:r>
      <w:r>
        <w:rPr>
          <w:rFonts w:ascii="Times New Roman" w:hAnsi="Times New Roman" w:cs="Times New Roman"/>
          <w:sz w:val="24"/>
          <w:szCs w:val="24"/>
        </w:rPr>
        <w:t xml:space="preserve">) </w:t>
      </w:r>
      <w:r w:rsidRPr="003F725B">
        <w:rPr>
          <w:rFonts w:ascii="Times New Roman" w:hAnsi="Times New Roman" w:cs="Times New Roman"/>
          <w:sz w:val="24"/>
          <w:szCs w:val="24"/>
        </w:rPr>
        <w:t>as well as increases in suicide and accident-related fatalities. The Centers for Disease Control and Prevention (CDC) has reported that the opioid epidemic dramatically increased mortality among young adults. In addition, rising mental health challenges and suicide rates have worsened outcomes for this demographic (Hedegaard et al., 2018).</w:t>
      </w:r>
    </w:p>
    <w:p w14:paraId="3A697221" w14:textId="77777777" w:rsidR="003F725B" w:rsidRPr="003F725B" w:rsidRDefault="003F725B" w:rsidP="003F725B">
      <w:pPr>
        <w:spacing w:before="120" w:after="0"/>
        <w:rPr>
          <w:rFonts w:ascii="Times New Roman" w:hAnsi="Times New Roman" w:cs="Times New Roman"/>
          <w:sz w:val="24"/>
          <w:szCs w:val="24"/>
        </w:rPr>
      </w:pPr>
      <w:r w:rsidRPr="003F725B">
        <w:rPr>
          <w:rFonts w:ascii="Times New Roman" w:hAnsi="Times New Roman" w:cs="Times New Roman"/>
          <w:sz w:val="24"/>
          <w:szCs w:val="24"/>
        </w:rPr>
        <w:pict w14:anchorId="72DCEE41">
          <v:rect id="_x0000_i1069" style="width:0;height:1.5pt" o:hralign="center" o:hrstd="t" o:hr="t" fillcolor="#a0a0a0" stroked="f"/>
        </w:pict>
      </w:r>
    </w:p>
    <w:p w14:paraId="7A4C4243" w14:textId="77777777" w:rsidR="003F725B" w:rsidRPr="003F725B" w:rsidRDefault="003F725B" w:rsidP="003F725B">
      <w:pPr>
        <w:spacing w:before="120" w:after="0"/>
        <w:rPr>
          <w:rFonts w:ascii="Times New Roman" w:hAnsi="Times New Roman" w:cs="Times New Roman"/>
          <w:b/>
          <w:bCs/>
          <w:sz w:val="24"/>
          <w:szCs w:val="24"/>
        </w:rPr>
      </w:pPr>
      <w:r w:rsidRPr="003F725B">
        <w:rPr>
          <w:rFonts w:ascii="Times New Roman" w:hAnsi="Times New Roman" w:cs="Times New Roman"/>
          <w:b/>
          <w:bCs/>
          <w:sz w:val="24"/>
          <w:szCs w:val="24"/>
        </w:rPr>
        <w:t>Leading Cause of Death Across Both Years for One Age Group</w:t>
      </w:r>
    </w:p>
    <w:p w14:paraId="5A970238" w14:textId="77777777" w:rsidR="003F725B" w:rsidRPr="003F725B" w:rsidRDefault="003F725B" w:rsidP="003F725B">
      <w:pPr>
        <w:spacing w:before="120" w:after="0"/>
        <w:rPr>
          <w:rFonts w:ascii="Times New Roman" w:hAnsi="Times New Roman" w:cs="Times New Roman"/>
          <w:b/>
          <w:bCs/>
          <w:sz w:val="24"/>
          <w:szCs w:val="24"/>
        </w:rPr>
      </w:pPr>
      <w:r w:rsidRPr="003F725B">
        <w:rPr>
          <w:rFonts w:ascii="Times New Roman" w:hAnsi="Times New Roman" w:cs="Times New Roman"/>
          <w:b/>
          <w:bCs/>
          <w:sz w:val="24"/>
          <w:szCs w:val="24"/>
        </w:rPr>
        <w:t>“Diseases of the Heart” (Ages 45–64)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1789"/>
      </w:tblGrid>
      <w:tr w:rsidR="003F725B" w:rsidRPr="003F725B" w14:paraId="7300342D" w14:textId="77777777" w:rsidTr="003F725B">
        <w:trPr>
          <w:tblHeader/>
          <w:tblCellSpacing w:w="15" w:type="dxa"/>
        </w:trPr>
        <w:tc>
          <w:tcPr>
            <w:tcW w:w="0" w:type="auto"/>
            <w:vAlign w:val="center"/>
            <w:hideMark/>
          </w:tcPr>
          <w:p w14:paraId="6E3CFE2D" w14:textId="77777777" w:rsidR="003F725B" w:rsidRPr="003F725B" w:rsidRDefault="003F725B" w:rsidP="003F725B">
            <w:pPr>
              <w:spacing w:before="120" w:after="0"/>
              <w:rPr>
                <w:rFonts w:ascii="Times New Roman" w:hAnsi="Times New Roman" w:cs="Times New Roman"/>
                <w:b/>
                <w:bCs/>
                <w:sz w:val="24"/>
                <w:szCs w:val="24"/>
              </w:rPr>
            </w:pPr>
            <w:r w:rsidRPr="003F725B">
              <w:rPr>
                <w:rFonts w:ascii="Times New Roman" w:hAnsi="Times New Roman" w:cs="Times New Roman"/>
                <w:b/>
                <w:bCs/>
                <w:sz w:val="24"/>
                <w:szCs w:val="24"/>
              </w:rPr>
              <w:t>Year</w:t>
            </w:r>
          </w:p>
        </w:tc>
        <w:tc>
          <w:tcPr>
            <w:tcW w:w="0" w:type="auto"/>
            <w:vAlign w:val="center"/>
            <w:hideMark/>
          </w:tcPr>
          <w:p w14:paraId="34EFEA67" w14:textId="77777777" w:rsidR="003F725B" w:rsidRPr="003F725B" w:rsidRDefault="003F725B" w:rsidP="003F725B">
            <w:pPr>
              <w:spacing w:before="120" w:after="0"/>
              <w:rPr>
                <w:rFonts w:ascii="Times New Roman" w:hAnsi="Times New Roman" w:cs="Times New Roman"/>
                <w:b/>
                <w:bCs/>
                <w:sz w:val="24"/>
                <w:szCs w:val="24"/>
              </w:rPr>
            </w:pPr>
            <w:r w:rsidRPr="003F725B">
              <w:rPr>
                <w:rFonts w:ascii="Times New Roman" w:hAnsi="Times New Roman" w:cs="Times New Roman"/>
                <w:b/>
                <w:bCs/>
                <w:sz w:val="24"/>
                <w:szCs w:val="24"/>
              </w:rPr>
              <w:t>Deaths per 1,000</w:t>
            </w:r>
          </w:p>
        </w:tc>
      </w:tr>
      <w:tr w:rsidR="003F725B" w:rsidRPr="003F725B" w14:paraId="7795852D" w14:textId="77777777" w:rsidTr="003F725B">
        <w:trPr>
          <w:tblCellSpacing w:w="15" w:type="dxa"/>
        </w:trPr>
        <w:tc>
          <w:tcPr>
            <w:tcW w:w="0" w:type="auto"/>
            <w:vAlign w:val="center"/>
            <w:hideMark/>
          </w:tcPr>
          <w:p w14:paraId="69DE9C7B" w14:textId="77777777" w:rsidR="003F725B" w:rsidRPr="003F725B" w:rsidRDefault="003F725B" w:rsidP="003F725B">
            <w:pPr>
              <w:spacing w:before="120" w:after="0"/>
              <w:rPr>
                <w:rFonts w:ascii="Times New Roman" w:hAnsi="Times New Roman" w:cs="Times New Roman"/>
                <w:sz w:val="24"/>
                <w:szCs w:val="24"/>
              </w:rPr>
            </w:pPr>
            <w:r w:rsidRPr="003F725B">
              <w:rPr>
                <w:rFonts w:ascii="Times New Roman" w:hAnsi="Times New Roman" w:cs="Times New Roman"/>
                <w:sz w:val="24"/>
                <w:szCs w:val="24"/>
              </w:rPr>
              <w:t>1980</w:t>
            </w:r>
          </w:p>
        </w:tc>
        <w:tc>
          <w:tcPr>
            <w:tcW w:w="0" w:type="auto"/>
            <w:vAlign w:val="center"/>
            <w:hideMark/>
          </w:tcPr>
          <w:p w14:paraId="1C25F786" w14:textId="77777777" w:rsidR="003F725B" w:rsidRPr="003F725B" w:rsidRDefault="003F725B" w:rsidP="003F725B">
            <w:pPr>
              <w:spacing w:before="120" w:after="0"/>
              <w:rPr>
                <w:rFonts w:ascii="Times New Roman" w:hAnsi="Times New Roman" w:cs="Times New Roman"/>
                <w:sz w:val="24"/>
                <w:szCs w:val="24"/>
              </w:rPr>
            </w:pPr>
            <w:r w:rsidRPr="003F725B">
              <w:rPr>
                <w:rFonts w:ascii="Times New Roman" w:hAnsi="Times New Roman" w:cs="Times New Roman"/>
                <w:sz w:val="24"/>
                <w:szCs w:val="24"/>
              </w:rPr>
              <w:t>17.10</w:t>
            </w:r>
          </w:p>
        </w:tc>
      </w:tr>
      <w:tr w:rsidR="003F725B" w:rsidRPr="003F725B" w14:paraId="4D9760BA" w14:textId="77777777" w:rsidTr="003F725B">
        <w:trPr>
          <w:tblCellSpacing w:w="15" w:type="dxa"/>
        </w:trPr>
        <w:tc>
          <w:tcPr>
            <w:tcW w:w="0" w:type="auto"/>
            <w:vAlign w:val="center"/>
            <w:hideMark/>
          </w:tcPr>
          <w:p w14:paraId="3E2303B6" w14:textId="77777777" w:rsidR="003F725B" w:rsidRPr="003F725B" w:rsidRDefault="003F725B" w:rsidP="003F725B">
            <w:pPr>
              <w:spacing w:before="120" w:after="0"/>
              <w:rPr>
                <w:rFonts w:ascii="Times New Roman" w:hAnsi="Times New Roman" w:cs="Times New Roman"/>
                <w:sz w:val="24"/>
                <w:szCs w:val="24"/>
              </w:rPr>
            </w:pPr>
            <w:r w:rsidRPr="003F725B">
              <w:rPr>
                <w:rFonts w:ascii="Times New Roman" w:hAnsi="Times New Roman" w:cs="Times New Roman"/>
                <w:sz w:val="24"/>
                <w:szCs w:val="24"/>
              </w:rPr>
              <w:t>2016</w:t>
            </w:r>
          </w:p>
        </w:tc>
        <w:tc>
          <w:tcPr>
            <w:tcW w:w="0" w:type="auto"/>
            <w:vAlign w:val="center"/>
            <w:hideMark/>
          </w:tcPr>
          <w:p w14:paraId="60523A67" w14:textId="77777777" w:rsidR="003F725B" w:rsidRPr="003F725B" w:rsidRDefault="003F725B" w:rsidP="003F725B">
            <w:pPr>
              <w:spacing w:before="120" w:after="0"/>
              <w:rPr>
                <w:rFonts w:ascii="Times New Roman" w:hAnsi="Times New Roman" w:cs="Times New Roman"/>
                <w:sz w:val="24"/>
                <w:szCs w:val="24"/>
              </w:rPr>
            </w:pPr>
            <w:r w:rsidRPr="003F725B">
              <w:rPr>
                <w:rFonts w:ascii="Times New Roman" w:hAnsi="Times New Roman" w:cs="Times New Roman"/>
                <w:sz w:val="24"/>
                <w:szCs w:val="24"/>
              </w:rPr>
              <w:t>7.54</w:t>
            </w:r>
          </w:p>
        </w:tc>
      </w:tr>
    </w:tbl>
    <w:p w14:paraId="43669B35" w14:textId="77777777" w:rsidR="003F725B" w:rsidRPr="003F725B" w:rsidRDefault="003F725B" w:rsidP="003F725B">
      <w:pPr>
        <w:spacing w:before="120" w:after="0"/>
        <w:rPr>
          <w:rFonts w:ascii="Times New Roman" w:hAnsi="Times New Roman" w:cs="Times New Roman"/>
          <w:b/>
          <w:bCs/>
          <w:sz w:val="24"/>
          <w:szCs w:val="24"/>
        </w:rPr>
      </w:pPr>
      <w:r w:rsidRPr="003F725B">
        <w:rPr>
          <w:rFonts w:ascii="Times New Roman" w:hAnsi="Times New Roman" w:cs="Times New Roman"/>
          <w:b/>
          <w:bCs/>
          <w:sz w:val="24"/>
          <w:szCs w:val="24"/>
        </w:rPr>
        <w:t>Discussion on Changes in "Diseases of the Heart"</w:t>
      </w:r>
    </w:p>
    <w:p w14:paraId="525D1FB6" w14:textId="1A8B5291" w:rsidR="003F725B" w:rsidRPr="003F725B" w:rsidRDefault="003F725B" w:rsidP="003F725B">
      <w:pPr>
        <w:spacing w:before="120" w:after="0"/>
        <w:rPr>
          <w:rFonts w:ascii="Times New Roman" w:hAnsi="Times New Roman" w:cs="Times New Roman"/>
          <w:sz w:val="24"/>
          <w:szCs w:val="24"/>
        </w:rPr>
      </w:pPr>
      <w:r w:rsidRPr="003F725B">
        <w:rPr>
          <w:rFonts w:ascii="Times New Roman" w:hAnsi="Times New Roman" w:cs="Times New Roman"/>
          <w:sz w:val="24"/>
          <w:szCs w:val="24"/>
        </w:rPr>
        <w:t>There was a substantial decrease in deaths due to heart disease in the 45–64 age group between 1980 and 2016. This decline is likely the result of advancements in medical care, including better emergency responses, widespread use of cholesterol-lowering medications, and public health efforts targeting diet, exercise, and smoking. The American Heart Association attributes these improvements to early intervention and an increased focus on preventive care (Benjamin et al., 2017).</w:t>
      </w:r>
    </w:p>
    <w:p w14:paraId="599672B1" w14:textId="77777777" w:rsidR="003F725B" w:rsidRPr="003F725B" w:rsidRDefault="003F725B" w:rsidP="003F725B">
      <w:pPr>
        <w:spacing w:before="120" w:after="0"/>
        <w:rPr>
          <w:rFonts w:ascii="Times New Roman" w:hAnsi="Times New Roman" w:cs="Times New Roman"/>
          <w:sz w:val="24"/>
          <w:szCs w:val="24"/>
        </w:rPr>
      </w:pPr>
      <w:r w:rsidRPr="003F725B">
        <w:rPr>
          <w:rFonts w:ascii="Times New Roman" w:hAnsi="Times New Roman" w:cs="Times New Roman"/>
          <w:sz w:val="24"/>
          <w:szCs w:val="24"/>
        </w:rPr>
        <w:pict w14:anchorId="20AD274E">
          <v:rect id="_x0000_i1070" style="width:0;height:1.5pt" o:hralign="center" o:hrstd="t" o:hr="t" fillcolor="#a0a0a0" stroked="f"/>
        </w:pict>
      </w:r>
    </w:p>
    <w:p w14:paraId="79BCFC20" w14:textId="77777777" w:rsidR="003F725B" w:rsidRDefault="003F725B" w:rsidP="003F725B">
      <w:pPr>
        <w:spacing w:before="120" w:after="0"/>
        <w:rPr>
          <w:rFonts w:ascii="Times New Roman" w:hAnsi="Times New Roman" w:cs="Times New Roman"/>
          <w:b/>
          <w:bCs/>
          <w:sz w:val="24"/>
          <w:szCs w:val="24"/>
        </w:rPr>
      </w:pPr>
    </w:p>
    <w:p w14:paraId="3167720A" w14:textId="77777777" w:rsidR="003F725B" w:rsidRDefault="003F725B" w:rsidP="003F725B">
      <w:pPr>
        <w:spacing w:before="120" w:after="0"/>
        <w:rPr>
          <w:rFonts w:ascii="Times New Roman" w:hAnsi="Times New Roman" w:cs="Times New Roman"/>
          <w:b/>
          <w:bCs/>
          <w:sz w:val="24"/>
          <w:szCs w:val="24"/>
        </w:rPr>
      </w:pPr>
    </w:p>
    <w:p w14:paraId="7BBAC784" w14:textId="6221452B" w:rsidR="003F725B" w:rsidRPr="003F725B" w:rsidRDefault="003F725B" w:rsidP="003F725B">
      <w:pPr>
        <w:spacing w:before="120" w:after="0"/>
        <w:rPr>
          <w:rFonts w:ascii="Times New Roman" w:hAnsi="Times New Roman" w:cs="Times New Roman"/>
          <w:b/>
          <w:bCs/>
          <w:sz w:val="24"/>
          <w:szCs w:val="24"/>
        </w:rPr>
      </w:pPr>
      <w:r w:rsidRPr="003F725B">
        <w:rPr>
          <w:rFonts w:ascii="Times New Roman" w:hAnsi="Times New Roman" w:cs="Times New Roman"/>
          <w:b/>
          <w:bCs/>
          <w:sz w:val="24"/>
          <w:szCs w:val="24"/>
        </w:rPr>
        <w:lastRenderedPageBreak/>
        <w:t>Comparison of a Cause of Death Between Age Groups in 2016</w:t>
      </w:r>
    </w:p>
    <w:p w14:paraId="4784FD47" w14:textId="77777777" w:rsidR="003F725B" w:rsidRPr="003F725B" w:rsidRDefault="003F725B" w:rsidP="003F725B">
      <w:pPr>
        <w:spacing w:before="120" w:after="0"/>
        <w:rPr>
          <w:rFonts w:ascii="Times New Roman" w:hAnsi="Times New Roman" w:cs="Times New Roman"/>
          <w:b/>
          <w:bCs/>
          <w:sz w:val="24"/>
          <w:szCs w:val="24"/>
        </w:rPr>
      </w:pPr>
      <w:r w:rsidRPr="003F725B">
        <w:rPr>
          <w:rFonts w:ascii="Times New Roman" w:hAnsi="Times New Roman" w:cs="Times New Roman"/>
          <w:b/>
          <w:bCs/>
          <w:sz w:val="24"/>
          <w:szCs w:val="24"/>
        </w:rPr>
        <w:t>“Malignant Neoplasms” (Cancer)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2329"/>
      </w:tblGrid>
      <w:tr w:rsidR="003F725B" w:rsidRPr="003F725B" w14:paraId="07F0CA11" w14:textId="77777777" w:rsidTr="003F725B">
        <w:trPr>
          <w:tblHeader/>
          <w:tblCellSpacing w:w="15" w:type="dxa"/>
        </w:trPr>
        <w:tc>
          <w:tcPr>
            <w:tcW w:w="0" w:type="auto"/>
            <w:vAlign w:val="center"/>
            <w:hideMark/>
          </w:tcPr>
          <w:p w14:paraId="53F55D0A" w14:textId="77777777" w:rsidR="003F725B" w:rsidRPr="003F725B" w:rsidRDefault="003F725B" w:rsidP="003F725B">
            <w:pPr>
              <w:spacing w:before="120" w:after="0"/>
              <w:rPr>
                <w:rFonts w:ascii="Times New Roman" w:hAnsi="Times New Roman" w:cs="Times New Roman"/>
                <w:b/>
                <w:bCs/>
                <w:sz w:val="24"/>
                <w:szCs w:val="24"/>
              </w:rPr>
            </w:pPr>
            <w:r w:rsidRPr="003F725B">
              <w:rPr>
                <w:rFonts w:ascii="Times New Roman" w:hAnsi="Times New Roman" w:cs="Times New Roman"/>
                <w:b/>
                <w:bCs/>
                <w:sz w:val="24"/>
                <w:szCs w:val="24"/>
              </w:rPr>
              <w:t>Age Group</w:t>
            </w:r>
          </w:p>
        </w:tc>
        <w:tc>
          <w:tcPr>
            <w:tcW w:w="0" w:type="auto"/>
            <w:vAlign w:val="center"/>
            <w:hideMark/>
          </w:tcPr>
          <w:p w14:paraId="06FF3715" w14:textId="77777777" w:rsidR="003F725B" w:rsidRPr="003F725B" w:rsidRDefault="003F725B" w:rsidP="003F725B">
            <w:pPr>
              <w:spacing w:before="120" w:after="0"/>
              <w:rPr>
                <w:rFonts w:ascii="Times New Roman" w:hAnsi="Times New Roman" w:cs="Times New Roman"/>
                <w:b/>
                <w:bCs/>
                <w:sz w:val="24"/>
                <w:szCs w:val="24"/>
              </w:rPr>
            </w:pPr>
            <w:r w:rsidRPr="003F725B">
              <w:rPr>
                <w:rFonts w:ascii="Times New Roman" w:hAnsi="Times New Roman" w:cs="Times New Roman"/>
                <w:b/>
                <w:bCs/>
                <w:sz w:val="24"/>
                <w:szCs w:val="24"/>
              </w:rPr>
              <w:t>2016 Deaths per 1,000</w:t>
            </w:r>
          </w:p>
        </w:tc>
      </w:tr>
      <w:tr w:rsidR="003F725B" w:rsidRPr="003F725B" w14:paraId="7FE57CF4" w14:textId="77777777" w:rsidTr="003F725B">
        <w:trPr>
          <w:tblCellSpacing w:w="15" w:type="dxa"/>
        </w:trPr>
        <w:tc>
          <w:tcPr>
            <w:tcW w:w="0" w:type="auto"/>
            <w:vAlign w:val="center"/>
            <w:hideMark/>
          </w:tcPr>
          <w:p w14:paraId="3B84B2D0" w14:textId="77777777" w:rsidR="003F725B" w:rsidRPr="003F725B" w:rsidRDefault="003F725B" w:rsidP="003F725B">
            <w:pPr>
              <w:spacing w:before="120" w:after="0"/>
              <w:rPr>
                <w:rFonts w:ascii="Times New Roman" w:hAnsi="Times New Roman" w:cs="Times New Roman"/>
                <w:sz w:val="24"/>
                <w:szCs w:val="24"/>
              </w:rPr>
            </w:pPr>
            <w:r w:rsidRPr="003F725B">
              <w:rPr>
                <w:rFonts w:ascii="Times New Roman" w:hAnsi="Times New Roman" w:cs="Times New Roman"/>
                <w:sz w:val="24"/>
                <w:szCs w:val="24"/>
              </w:rPr>
              <w:t>25–44</w:t>
            </w:r>
          </w:p>
        </w:tc>
        <w:tc>
          <w:tcPr>
            <w:tcW w:w="0" w:type="auto"/>
            <w:vAlign w:val="center"/>
            <w:hideMark/>
          </w:tcPr>
          <w:p w14:paraId="6CCC97B9" w14:textId="77777777" w:rsidR="003F725B" w:rsidRPr="003F725B" w:rsidRDefault="003F725B" w:rsidP="003F725B">
            <w:pPr>
              <w:spacing w:before="120" w:after="0"/>
              <w:rPr>
                <w:rFonts w:ascii="Times New Roman" w:hAnsi="Times New Roman" w:cs="Times New Roman"/>
                <w:sz w:val="24"/>
                <w:szCs w:val="24"/>
              </w:rPr>
            </w:pPr>
            <w:r w:rsidRPr="003F725B">
              <w:rPr>
                <w:rFonts w:ascii="Times New Roman" w:hAnsi="Times New Roman" w:cs="Times New Roman"/>
                <w:sz w:val="24"/>
                <w:szCs w:val="24"/>
              </w:rPr>
              <w:t>7.02</w:t>
            </w:r>
          </w:p>
        </w:tc>
      </w:tr>
      <w:tr w:rsidR="003F725B" w:rsidRPr="003F725B" w14:paraId="4467CDD6" w14:textId="77777777" w:rsidTr="003F725B">
        <w:trPr>
          <w:tblCellSpacing w:w="15" w:type="dxa"/>
        </w:trPr>
        <w:tc>
          <w:tcPr>
            <w:tcW w:w="0" w:type="auto"/>
            <w:vAlign w:val="center"/>
            <w:hideMark/>
          </w:tcPr>
          <w:p w14:paraId="21F79A73" w14:textId="77777777" w:rsidR="003F725B" w:rsidRPr="003F725B" w:rsidRDefault="003F725B" w:rsidP="003F725B">
            <w:pPr>
              <w:spacing w:before="120" w:after="0"/>
              <w:rPr>
                <w:rFonts w:ascii="Times New Roman" w:hAnsi="Times New Roman" w:cs="Times New Roman"/>
                <w:sz w:val="24"/>
                <w:szCs w:val="24"/>
              </w:rPr>
            </w:pPr>
            <w:r w:rsidRPr="003F725B">
              <w:rPr>
                <w:rFonts w:ascii="Times New Roman" w:hAnsi="Times New Roman" w:cs="Times New Roman"/>
                <w:sz w:val="24"/>
                <w:szCs w:val="24"/>
              </w:rPr>
              <w:t>45–64</w:t>
            </w:r>
          </w:p>
        </w:tc>
        <w:tc>
          <w:tcPr>
            <w:tcW w:w="0" w:type="auto"/>
            <w:vAlign w:val="center"/>
            <w:hideMark/>
          </w:tcPr>
          <w:p w14:paraId="32ECE05B" w14:textId="77777777" w:rsidR="003F725B" w:rsidRPr="003F725B" w:rsidRDefault="003F725B" w:rsidP="003F725B">
            <w:pPr>
              <w:spacing w:before="120" w:after="0"/>
              <w:rPr>
                <w:rFonts w:ascii="Times New Roman" w:hAnsi="Times New Roman" w:cs="Times New Roman"/>
                <w:sz w:val="24"/>
                <w:szCs w:val="24"/>
              </w:rPr>
            </w:pPr>
            <w:r w:rsidRPr="003F725B">
              <w:rPr>
                <w:rFonts w:ascii="Times New Roman" w:hAnsi="Times New Roman" w:cs="Times New Roman"/>
                <w:sz w:val="24"/>
                <w:szCs w:val="24"/>
              </w:rPr>
              <w:t>7.09</w:t>
            </w:r>
          </w:p>
        </w:tc>
      </w:tr>
    </w:tbl>
    <w:p w14:paraId="5D506F38" w14:textId="77777777" w:rsidR="003F725B" w:rsidRPr="003F725B" w:rsidRDefault="003F725B" w:rsidP="003F725B">
      <w:pPr>
        <w:spacing w:before="120" w:after="0"/>
        <w:rPr>
          <w:rFonts w:ascii="Times New Roman" w:hAnsi="Times New Roman" w:cs="Times New Roman"/>
          <w:b/>
          <w:bCs/>
          <w:sz w:val="24"/>
          <w:szCs w:val="24"/>
        </w:rPr>
      </w:pPr>
      <w:r w:rsidRPr="003F725B">
        <w:rPr>
          <w:rFonts w:ascii="Times New Roman" w:hAnsi="Times New Roman" w:cs="Times New Roman"/>
          <w:b/>
          <w:bCs/>
          <w:sz w:val="24"/>
          <w:szCs w:val="24"/>
        </w:rPr>
        <w:t>Discussion on Differences in Cancer Mortality Across Age Groups</w:t>
      </w:r>
    </w:p>
    <w:p w14:paraId="71C7A76F" w14:textId="77777777" w:rsidR="003F725B" w:rsidRPr="003F725B" w:rsidRDefault="003F725B" w:rsidP="003F725B">
      <w:pPr>
        <w:spacing w:before="120" w:after="0"/>
        <w:rPr>
          <w:rFonts w:ascii="Times New Roman" w:hAnsi="Times New Roman" w:cs="Times New Roman"/>
          <w:sz w:val="24"/>
          <w:szCs w:val="24"/>
        </w:rPr>
      </w:pPr>
      <w:r w:rsidRPr="003F725B">
        <w:rPr>
          <w:rFonts w:ascii="Times New Roman" w:hAnsi="Times New Roman" w:cs="Times New Roman"/>
          <w:sz w:val="24"/>
          <w:szCs w:val="24"/>
        </w:rPr>
        <w:t>Cancer mortality in 2016 was slightly higher in the 45–64 age group compared to the 25–44 age group. This is consistent with research showing that cancer risk increases with age, due to accumulated genetic mutations and longer exposure to environmental risk factors. Additionally, younger individuals often benefit from earlier diagnoses and better prognoses, whereas older adults may face more aggressive or late-stage cancers (National Cancer Institute, 2022).</w:t>
      </w:r>
    </w:p>
    <w:p w14:paraId="136F4357" w14:textId="77777777" w:rsidR="003F725B" w:rsidRPr="003F725B" w:rsidRDefault="003F725B" w:rsidP="003F725B">
      <w:pPr>
        <w:spacing w:before="120" w:after="0"/>
        <w:rPr>
          <w:rFonts w:ascii="Times New Roman" w:hAnsi="Times New Roman" w:cs="Times New Roman"/>
          <w:sz w:val="24"/>
          <w:szCs w:val="24"/>
        </w:rPr>
      </w:pPr>
      <w:r w:rsidRPr="003F725B">
        <w:rPr>
          <w:rFonts w:ascii="Times New Roman" w:hAnsi="Times New Roman" w:cs="Times New Roman"/>
          <w:sz w:val="24"/>
          <w:szCs w:val="24"/>
        </w:rPr>
        <w:pict w14:anchorId="2DC9A032">
          <v:rect id="_x0000_i1071" style="width:0;height:1.5pt" o:hralign="center" o:hrstd="t" o:hr="t" fillcolor="#a0a0a0" stroked="f"/>
        </w:pict>
      </w:r>
    </w:p>
    <w:p w14:paraId="2E771761" w14:textId="77777777" w:rsidR="003F725B" w:rsidRPr="003F725B" w:rsidRDefault="003F725B" w:rsidP="003F725B">
      <w:pPr>
        <w:spacing w:before="120" w:after="0"/>
        <w:rPr>
          <w:rFonts w:ascii="Times New Roman" w:hAnsi="Times New Roman" w:cs="Times New Roman"/>
          <w:b/>
          <w:bCs/>
          <w:sz w:val="24"/>
          <w:szCs w:val="24"/>
        </w:rPr>
      </w:pPr>
      <w:r w:rsidRPr="003F725B">
        <w:rPr>
          <w:rFonts w:ascii="Times New Roman" w:hAnsi="Times New Roman" w:cs="Times New Roman"/>
          <w:b/>
          <w:bCs/>
          <w:sz w:val="24"/>
          <w:szCs w:val="24"/>
        </w:rPr>
        <w:t>Reflection on Mortality and Its Significance</w:t>
      </w:r>
    </w:p>
    <w:p w14:paraId="29C8B59D" w14:textId="77777777" w:rsidR="003F725B" w:rsidRPr="003F725B" w:rsidRDefault="003F725B" w:rsidP="003F725B">
      <w:pPr>
        <w:spacing w:before="120" w:after="0"/>
        <w:rPr>
          <w:rFonts w:ascii="Times New Roman" w:hAnsi="Times New Roman" w:cs="Times New Roman"/>
          <w:sz w:val="24"/>
          <w:szCs w:val="24"/>
        </w:rPr>
      </w:pPr>
      <w:r w:rsidRPr="003F725B">
        <w:rPr>
          <w:rFonts w:ascii="Times New Roman" w:hAnsi="Times New Roman" w:cs="Times New Roman"/>
          <w:sz w:val="24"/>
          <w:szCs w:val="24"/>
        </w:rPr>
        <w:t>Ecclesiastes 7:2–4 states:</w:t>
      </w:r>
    </w:p>
    <w:p w14:paraId="13EC058E" w14:textId="77777777" w:rsidR="003F725B" w:rsidRPr="003F725B" w:rsidRDefault="003F725B" w:rsidP="003F725B">
      <w:pPr>
        <w:spacing w:before="120" w:after="0"/>
        <w:rPr>
          <w:rFonts w:ascii="Times New Roman" w:hAnsi="Times New Roman" w:cs="Times New Roman"/>
          <w:sz w:val="24"/>
          <w:szCs w:val="24"/>
        </w:rPr>
      </w:pPr>
      <w:r w:rsidRPr="003F725B">
        <w:rPr>
          <w:rFonts w:ascii="Times New Roman" w:hAnsi="Times New Roman" w:cs="Times New Roman"/>
          <w:sz w:val="24"/>
          <w:szCs w:val="24"/>
        </w:rPr>
        <w:t>“It is better to go to the house of mourning than to go to the house of feasting,</w:t>
      </w:r>
      <w:r w:rsidRPr="003F725B">
        <w:rPr>
          <w:rFonts w:ascii="Times New Roman" w:hAnsi="Times New Roman" w:cs="Times New Roman"/>
          <w:sz w:val="24"/>
          <w:szCs w:val="24"/>
        </w:rPr>
        <w:br/>
        <w:t>for this is the end of all mankind, and the living will lay it to heart.”</w:t>
      </w:r>
    </w:p>
    <w:p w14:paraId="609DD0EE" w14:textId="77777777" w:rsidR="003F725B" w:rsidRPr="003F725B" w:rsidRDefault="003F725B" w:rsidP="003F725B">
      <w:pPr>
        <w:spacing w:before="120" w:after="0"/>
        <w:rPr>
          <w:rFonts w:ascii="Times New Roman" w:hAnsi="Times New Roman" w:cs="Times New Roman"/>
          <w:sz w:val="24"/>
          <w:szCs w:val="24"/>
        </w:rPr>
      </w:pPr>
      <w:r w:rsidRPr="003F725B">
        <w:rPr>
          <w:rFonts w:ascii="Times New Roman" w:hAnsi="Times New Roman" w:cs="Times New Roman"/>
          <w:sz w:val="24"/>
          <w:szCs w:val="24"/>
        </w:rPr>
        <w:t>This passage encourages us to reflect on the reality of death. By understanding trends and causes of mortality, we are reminded of life’s fragility and motivated to make wise, healthy choices. Awareness of our limited time can foster more intentional living, encouraging us to cherish relationships, focus on purpose, and nurture both physical and spiritual well-being.</w:t>
      </w:r>
    </w:p>
    <w:p w14:paraId="21652B15" w14:textId="77777777" w:rsidR="003F725B" w:rsidRPr="003F725B" w:rsidRDefault="003F725B" w:rsidP="003F725B">
      <w:pPr>
        <w:spacing w:before="120" w:after="0"/>
        <w:rPr>
          <w:rFonts w:ascii="Times New Roman" w:hAnsi="Times New Roman" w:cs="Times New Roman"/>
          <w:sz w:val="24"/>
          <w:szCs w:val="24"/>
        </w:rPr>
      </w:pPr>
      <w:r w:rsidRPr="003F725B">
        <w:rPr>
          <w:rFonts w:ascii="Times New Roman" w:hAnsi="Times New Roman" w:cs="Times New Roman"/>
          <w:sz w:val="24"/>
          <w:szCs w:val="24"/>
        </w:rPr>
        <w:pict w14:anchorId="2B13753B">
          <v:rect id="_x0000_i1072" style="width:0;height:1.5pt" o:hralign="center" o:hrstd="t" o:hr="t" fillcolor="#a0a0a0" stroked="f"/>
        </w:pict>
      </w:r>
    </w:p>
    <w:p w14:paraId="41327854" w14:textId="258A1313" w:rsidR="003F725B" w:rsidRPr="003F725B" w:rsidRDefault="003F725B" w:rsidP="003F725B">
      <w:pPr>
        <w:spacing w:before="120" w:after="0"/>
        <w:rPr>
          <w:rFonts w:ascii="Times New Roman" w:hAnsi="Times New Roman" w:cs="Times New Roman"/>
          <w:b/>
          <w:bCs/>
          <w:sz w:val="24"/>
          <w:szCs w:val="24"/>
        </w:rPr>
      </w:pPr>
      <w:r w:rsidRPr="003F725B">
        <w:rPr>
          <w:rFonts w:ascii="Times New Roman" w:hAnsi="Times New Roman" w:cs="Times New Roman"/>
          <w:b/>
          <w:bCs/>
          <w:sz w:val="24"/>
          <w:szCs w:val="24"/>
        </w:rPr>
        <w:t>References</w:t>
      </w:r>
    </w:p>
    <w:p w14:paraId="483F1518" w14:textId="77777777" w:rsidR="003F725B" w:rsidRPr="003F725B" w:rsidRDefault="003F725B" w:rsidP="003F725B">
      <w:pPr>
        <w:spacing w:before="120" w:after="0"/>
        <w:rPr>
          <w:rFonts w:ascii="Times New Roman" w:hAnsi="Times New Roman" w:cs="Times New Roman"/>
          <w:sz w:val="24"/>
          <w:szCs w:val="24"/>
        </w:rPr>
      </w:pPr>
      <w:r w:rsidRPr="003F725B">
        <w:rPr>
          <w:rFonts w:ascii="Times New Roman" w:hAnsi="Times New Roman" w:cs="Times New Roman"/>
          <w:sz w:val="24"/>
          <w:szCs w:val="24"/>
        </w:rPr>
        <w:t xml:space="preserve">Benjamin, E. J., Virani, S. S., Callaway, C. W., Chamberlain, A. M., Chang, A. R., Cheng, S., ... &amp; Muntner, P. (2017). </w:t>
      </w:r>
      <w:r w:rsidRPr="003F725B">
        <w:rPr>
          <w:rFonts w:ascii="Times New Roman" w:hAnsi="Times New Roman" w:cs="Times New Roman"/>
          <w:i/>
          <w:iCs/>
          <w:sz w:val="24"/>
          <w:szCs w:val="24"/>
        </w:rPr>
        <w:t>Heart disease and stroke statistics—2017 update: A report from the American Heart Association</w:t>
      </w:r>
      <w:r w:rsidRPr="003F725B">
        <w:rPr>
          <w:rFonts w:ascii="Times New Roman" w:hAnsi="Times New Roman" w:cs="Times New Roman"/>
          <w:sz w:val="24"/>
          <w:szCs w:val="24"/>
        </w:rPr>
        <w:t xml:space="preserve">. Circulation, 135(10), e146–e603. </w:t>
      </w:r>
      <w:hyperlink r:id="rId7" w:history="1">
        <w:r w:rsidRPr="003F725B">
          <w:rPr>
            <w:rStyle w:val="Hyperlink"/>
            <w:rFonts w:ascii="Times New Roman" w:hAnsi="Times New Roman" w:cs="Times New Roman"/>
            <w:sz w:val="24"/>
            <w:szCs w:val="24"/>
          </w:rPr>
          <w:t>https://doi.org/10.1161/CIR.0000000000000485</w:t>
        </w:r>
      </w:hyperlink>
    </w:p>
    <w:p w14:paraId="371906BF" w14:textId="77777777" w:rsidR="003F725B" w:rsidRPr="003F725B" w:rsidRDefault="003F725B" w:rsidP="003F725B">
      <w:pPr>
        <w:spacing w:before="120" w:after="0"/>
        <w:rPr>
          <w:rFonts w:ascii="Times New Roman" w:hAnsi="Times New Roman" w:cs="Times New Roman"/>
          <w:sz w:val="24"/>
          <w:szCs w:val="24"/>
        </w:rPr>
      </w:pPr>
      <w:r w:rsidRPr="003F725B">
        <w:rPr>
          <w:rFonts w:ascii="Times New Roman" w:hAnsi="Times New Roman" w:cs="Times New Roman"/>
          <w:sz w:val="24"/>
          <w:szCs w:val="24"/>
        </w:rPr>
        <w:t xml:space="preserve">Hedegaard, H., Curtin, S. C., &amp; Warner, M. (2018). </w:t>
      </w:r>
      <w:r w:rsidRPr="003F725B">
        <w:rPr>
          <w:rFonts w:ascii="Times New Roman" w:hAnsi="Times New Roman" w:cs="Times New Roman"/>
          <w:i/>
          <w:iCs/>
          <w:sz w:val="24"/>
          <w:szCs w:val="24"/>
        </w:rPr>
        <w:t>Suicide mortality in the United States, 1999–2017</w:t>
      </w:r>
      <w:r w:rsidRPr="003F725B">
        <w:rPr>
          <w:rFonts w:ascii="Times New Roman" w:hAnsi="Times New Roman" w:cs="Times New Roman"/>
          <w:sz w:val="24"/>
          <w:szCs w:val="24"/>
        </w:rPr>
        <w:t xml:space="preserve"> (NCHS Data Brief No. 330). National Center for Health Statistics. </w:t>
      </w:r>
      <w:hyperlink r:id="rId8" w:history="1">
        <w:r w:rsidRPr="003F725B">
          <w:rPr>
            <w:rStyle w:val="Hyperlink"/>
            <w:rFonts w:ascii="Times New Roman" w:hAnsi="Times New Roman" w:cs="Times New Roman"/>
            <w:sz w:val="24"/>
            <w:szCs w:val="24"/>
          </w:rPr>
          <w:t>https://www.cdc.gov/nchs/products/databriefs/db330.htm</w:t>
        </w:r>
      </w:hyperlink>
    </w:p>
    <w:p w14:paraId="56249CBC" w14:textId="77777777" w:rsidR="003F725B" w:rsidRPr="003F725B" w:rsidRDefault="003F725B" w:rsidP="003F725B">
      <w:pPr>
        <w:spacing w:before="120" w:after="0"/>
        <w:rPr>
          <w:rFonts w:ascii="Times New Roman" w:hAnsi="Times New Roman" w:cs="Times New Roman"/>
          <w:sz w:val="24"/>
          <w:szCs w:val="24"/>
        </w:rPr>
      </w:pPr>
      <w:r w:rsidRPr="003F725B">
        <w:rPr>
          <w:rFonts w:ascii="Times New Roman" w:hAnsi="Times New Roman" w:cs="Times New Roman"/>
          <w:sz w:val="24"/>
          <w:szCs w:val="24"/>
        </w:rPr>
        <w:t xml:space="preserve">National Cancer Institute. (2022). </w:t>
      </w:r>
      <w:r w:rsidRPr="003F725B">
        <w:rPr>
          <w:rFonts w:ascii="Times New Roman" w:hAnsi="Times New Roman" w:cs="Times New Roman"/>
          <w:i/>
          <w:iCs/>
          <w:sz w:val="24"/>
          <w:szCs w:val="24"/>
        </w:rPr>
        <w:t>Age and cancer risk</w:t>
      </w:r>
      <w:r w:rsidRPr="003F725B">
        <w:rPr>
          <w:rFonts w:ascii="Times New Roman" w:hAnsi="Times New Roman" w:cs="Times New Roman"/>
          <w:sz w:val="24"/>
          <w:szCs w:val="24"/>
        </w:rPr>
        <w:t xml:space="preserve">. National Institutes of Health. </w:t>
      </w:r>
      <w:hyperlink r:id="rId9" w:history="1">
        <w:r w:rsidRPr="003F725B">
          <w:rPr>
            <w:rStyle w:val="Hyperlink"/>
            <w:rFonts w:ascii="Times New Roman" w:hAnsi="Times New Roman" w:cs="Times New Roman"/>
            <w:sz w:val="24"/>
            <w:szCs w:val="24"/>
          </w:rPr>
          <w:t>https://www.cancer.gov/about-cancer/causes-prevention/risk/age</w:t>
        </w:r>
      </w:hyperlink>
    </w:p>
    <w:p w14:paraId="559DBFD9" w14:textId="77777777" w:rsidR="003F725B" w:rsidRPr="003F725B" w:rsidRDefault="003F725B" w:rsidP="003F725B">
      <w:pPr>
        <w:spacing w:before="120" w:after="0"/>
        <w:rPr>
          <w:rFonts w:ascii="Times New Roman" w:hAnsi="Times New Roman" w:cs="Times New Roman"/>
          <w:sz w:val="24"/>
          <w:szCs w:val="24"/>
        </w:rPr>
      </w:pPr>
      <w:r w:rsidRPr="003F725B">
        <w:rPr>
          <w:rFonts w:ascii="Times New Roman" w:hAnsi="Times New Roman" w:cs="Times New Roman"/>
          <w:sz w:val="24"/>
          <w:szCs w:val="24"/>
        </w:rPr>
        <w:pict w14:anchorId="248534D2">
          <v:rect id="_x0000_i1073" style="width:0;height:1.5pt" o:hralign="center" o:hrstd="t" o:hr="t" fillcolor="#a0a0a0" stroked="f"/>
        </w:pict>
      </w:r>
    </w:p>
    <w:p w14:paraId="6B080848" w14:textId="0EAB631B" w:rsidR="00990E91" w:rsidRPr="00990E91" w:rsidRDefault="00990E91" w:rsidP="003F725B">
      <w:pPr>
        <w:spacing w:before="120" w:after="0"/>
        <w:rPr>
          <w:rFonts w:ascii="Times New Roman" w:hAnsi="Times New Roman" w:cs="Times New Roman"/>
          <w:sz w:val="24"/>
          <w:szCs w:val="24"/>
        </w:rPr>
      </w:pPr>
    </w:p>
    <w:sectPr w:rsidR="00990E91" w:rsidRPr="00990E91">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847DC" w14:textId="77777777" w:rsidR="00943EDE" w:rsidRDefault="00943EDE" w:rsidP="00DA4BE3">
      <w:pPr>
        <w:spacing w:after="0" w:line="240" w:lineRule="auto"/>
      </w:pPr>
      <w:r>
        <w:separator/>
      </w:r>
    </w:p>
  </w:endnote>
  <w:endnote w:type="continuationSeparator" w:id="0">
    <w:p w14:paraId="61FE266B" w14:textId="77777777" w:rsidR="00943EDE" w:rsidRDefault="00943EDE" w:rsidP="00DA4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0"/>
        <w:szCs w:val="20"/>
      </w:rPr>
      <w:id w:val="1286076269"/>
      <w:docPartObj>
        <w:docPartGallery w:val="Page Numbers (Bottom of Page)"/>
        <w:docPartUnique/>
      </w:docPartObj>
    </w:sdtPr>
    <w:sdtEndPr/>
    <w:sdtContent>
      <w:sdt>
        <w:sdtPr>
          <w:rPr>
            <w:rFonts w:ascii="Times New Roman" w:hAnsi="Times New Roman" w:cs="Times New Roman"/>
            <w:sz w:val="20"/>
            <w:szCs w:val="20"/>
          </w:rPr>
          <w:id w:val="-1769616900"/>
          <w:docPartObj>
            <w:docPartGallery w:val="Page Numbers (Top of Page)"/>
            <w:docPartUnique/>
          </w:docPartObj>
        </w:sdtPr>
        <w:sdtEndPr/>
        <w:sdtContent>
          <w:p w14:paraId="32C0ABEB" w14:textId="258307DF" w:rsidR="00010638" w:rsidRPr="00EB6295" w:rsidRDefault="00010638" w:rsidP="00EB6295">
            <w:pPr>
              <w:pStyle w:val="Footer"/>
              <w:jc w:val="right"/>
              <w:rPr>
                <w:rFonts w:ascii="Times New Roman" w:hAnsi="Times New Roman" w:cs="Times New Roman"/>
                <w:sz w:val="20"/>
                <w:szCs w:val="20"/>
              </w:rPr>
            </w:pPr>
            <w:r w:rsidRPr="00EB6295">
              <w:rPr>
                <w:rFonts w:ascii="Times New Roman" w:hAnsi="Times New Roman" w:cs="Times New Roman"/>
                <w:sz w:val="20"/>
                <w:szCs w:val="20"/>
              </w:rPr>
              <w:t xml:space="preserve">Page </w:t>
            </w:r>
            <w:r w:rsidRPr="00EB6295">
              <w:rPr>
                <w:rFonts w:ascii="Times New Roman" w:hAnsi="Times New Roman" w:cs="Times New Roman"/>
                <w:bCs/>
                <w:sz w:val="20"/>
                <w:szCs w:val="20"/>
              </w:rPr>
              <w:fldChar w:fldCharType="begin"/>
            </w:r>
            <w:r w:rsidRPr="00EB6295">
              <w:rPr>
                <w:rFonts w:ascii="Times New Roman" w:hAnsi="Times New Roman" w:cs="Times New Roman"/>
                <w:bCs/>
                <w:sz w:val="20"/>
                <w:szCs w:val="20"/>
              </w:rPr>
              <w:instrText xml:space="preserve"> PAGE </w:instrText>
            </w:r>
            <w:r w:rsidRPr="00EB6295">
              <w:rPr>
                <w:rFonts w:ascii="Times New Roman" w:hAnsi="Times New Roman" w:cs="Times New Roman"/>
                <w:bCs/>
                <w:sz w:val="20"/>
                <w:szCs w:val="20"/>
              </w:rPr>
              <w:fldChar w:fldCharType="separate"/>
            </w:r>
            <w:r w:rsidR="000B01AB">
              <w:rPr>
                <w:rFonts w:ascii="Times New Roman" w:hAnsi="Times New Roman" w:cs="Times New Roman"/>
                <w:bCs/>
                <w:noProof/>
                <w:sz w:val="20"/>
                <w:szCs w:val="20"/>
              </w:rPr>
              <w:t>2</w:t>
            </w:r>
            <w:r w:rsidRPr="00EB6295">
              <w:rPr>
                <w:rFonts w:ascii="Times New Roman" w:hAnsi="Times New Roman" w:cs="Times New Roman"/>
                <w:bCs/>
                <w:sz w:val="20"/>
                <w:szCs w:val="20"/>
              </w:rPr>
              <w:fldChar w:fldCharType="end"/>
            </w:r>
            <w:r w:rsidRPr="00EB6295">
              <w:rPr>
                <w:rFonts w:ascii="Times New Roman" w:hAnsi="Times New Roman" w:cs="Times New Roman"/>
                <w:sz w:val="20"/>
                <w:szCs w:val="20"/>
              </w:rPr>
              <w:t xml:space="preserve"> of </w:t>
            </w:r>
            <w:r w:rsidRPr="00EB6295">
              <w:rPr>
                <w:rFonts w:ascii="Times New Roman" w:hAnsi="Times New Roman" w:cs="Times New Roman"/>
                <w:bCs/>
                <w:sz w:val="20"/>
                <w:szCs w:val="20"/>
              </w:rPr>
              <w:fldChar w:fldCharType="begin"/>
            </w:r>
            <w:r w:rsidRPr="00EB6295">
              <w:rPr>
                <w:rFonts w:ascii="Times New Roman" w:hAnsi="Times New Roman" w:cs="Times New Roman"/>
                <w:bCs/>
                <w:sz w:val="20"/>
                <w:szCs w:val="20"/>
              </w:rPr>
              <w:instrText xml:space="preserve"> NUMPAGES  </w:instrText>
            </w:r>
            <w:r w:rsidRPr="00EB6295">
              <w:rPr>
                <w:rFonts w:ascii="Times New Roman" w:hAnsi="Times New Roman" w:cs="Times New Roman"/>
                <w:bCs/>
                <w:sz w:val="20"/>
                <w:szCs w:val="20"/>
              </w:rPr>
              <w:fldChar w:fldCharType="separate"/>
            </w:r>
            <w:r w:rsidR="000B01AB">
              <w:rPr>
                <w:rFonts w:ascii="Times New Roman" w:hAnsi="Times New Roman" w:cs="Times New Roman"/>
                <w:bCs/>
                <w:noProof/>
                <w:sz w:val="20"/>
                <w:szCs w:val="20"/>
              </w:rPr>
              <w:t>2</w:t>
            </w:r>
            <w:r w:rsidRPr="00EB6295">
              <w:rPr>
                <w:rFonts w:ascii="Times New Roman" w:hAnsi="Times New Roman" w:cs="Times New Roman"/>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310AF" w14:textId="77777777" w:rsidR="00943EDE" w:rsidRDefault="00943EDE" w:rsidP="00DA4BE3">
      <w:pPr>
        <w:spacing w:after="0" w:line="240" w:lineRule="auto"/>
      </w:pPr>
      <w:r>
        <w:separator/>
      </w:r>
    </w:p>
  </w:footnote>
  <w:footnote w:type="continuationSeparator" w:id="0">
    <w:p w14:paraId="1E7D5FE4" w14:textId="77777777" w:rsidR="00943EDE" w:rsidRDefault="00943EDE" w:rsidP="00DA4B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A26EA" w14:textId="21571E92" w:rsidR="00DA4BE3" w:rsidRPr="00EB6295" w:rsidRDefault="000B338E" w:rsidP="00EB6295">
    <w:pPr>
      <w:pStyle w:val="Header"/>
      <w:jc w:val="right"/>
      <w:rPr>
        <w:rFonts w:ascii="Times New Roman" w:hAnsi="Times New Roman" w:cs="Times New Roman"/>
        <w:sz w:val="20"/>
        <w:szCs w:val="20"/>
      </w:rPr>
    </w:pPr>
    <w:r w:rsidRPr="00010638">
      <w:rPr>
        <w:rFonts w:ascii="Times New Roman" w:hAnsi="Times New Roman" w:cs="Times New Roman"/>
        <w:sz w:val="20"/>
        <w:szCs w:val="20"/>
      </w:rPr>
      <w:t>MATH 114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13469"/>
    <w:multiLevelType w:val="hybridMultilevel"/>
    <w:tmpl w:val="1A2A3274"/>
    <w:lvl w:ilvl="0" w:tplc="ED1CD85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9526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BE3"/>
    <w:rsid w:val="00010638"/>
    <w:rsid w:val="00024EE8"/>
    <w:rsid w:val="00066AB1"/>
    <w:rsid w:val="000B01AB"/>
    <w:rsid w:val="000B338E"/>
    <w:rsid w:val="00163323"/>
    <w:rsid w:val="001A4178"/>
    <w:rsid w:val="001C41B5"/>
    <w:rsid w:val="00252589"/>
    <w:rsid w:val="002B1EEE"/>
    <w:rsid w:val="0038196D"/>
    <w:rsid w:val="003F725B"/>
    <w:rsid w:val="004007D3"/>
    <w:rsid w:val="00404398"/>
    <w:rsid w:val="00483E94"/>
    <w:rsid w:val="004B5C99"/>
    <w:rsid w:val="004E5BC1"/>
    <w:rsid w:val="004F7A6F"/>
    <w:rsid w:val="00591ED1"/>
    <w:rsid w:val="0068056F"/>
    <w:rsid w:val="007A5017"/>
    <w:rsid w:val="007B0E9F"/>
    <w:rsid w:val="007C3DF6"/>
    <w:rsid w:val="007C74AA"/>
    <w:rsid w:val="00821A46"/>
    <w:rsid w:val="00825CC9"/>
    <w:rsid w:val="008535BB"/>
    <w:rsid w:val="008C066C"/>
    <w:rsid w:val="008F1858"/>
    <w:rsid w:val="00924D76"/>
    <w:rsid w:val="00935F66"/>
    <w:rsid w:val="0094317B"/>
    <w:rsid w:val="00943EDE"/>
    <w:rsid w:val="0098595D"/>
    <w:rsid w:val="00990E91"/>
    <w:rsid w:val="009D4E6F"/>
    <w:rsid w:val="009E4FD1"/>
    <w:rsid w:val="00A103E1"/>
    <w:rsid w:val="00A33319"/>
    <w:rsid w:val="00A46282"/>
    <w:rsid w:val="00A66F04"/>
    <w:rsid w:val="00AB1B27"/>
    <w:rsid w:val="00B102E5"/>
    <w:rsid w:val="00B14515"/>
    <w:rsid w:val="00B87CAC"/>
    <w:rsid w:val="00BE0908"/>
    <w:rsid w:val="00BE3279"/>
    <w:rsid w:val="00C31A38"/>
    <w:rsid w:val="00C436A8"/>
    <w:rsid w:val="00C74094"/>
    <w:rsid w:val="00C77446"/>
    <w:rsid w:val="00D13130"/>
    <w:rsid w:val="00D17072"/>
    <w:rsid w:val="00D45C15"/>
    <w:rsid w:val="00DA4BE3"/>
    <w:rsid w:val="00DB7B56"/>
    <w:rsid w:val="00E12A94"/>
    <w:rsid w:val="00EB3E11"/>
    <w:rsid w:val="00EB6295"/>
    <w:rsid w:val="00EC38A8"/>
    <w:rsid w:val="00EC679F"/>
    <w:rsid w:val="00ED32FD"/>
    <w:rsid w:val="00EE3844"/>
    <w:rsid w:val="00F94826"/>
    <w:rsid w:val="00F97C32"/>
    <w:rsid w:val="00FA3873"/>
    <w:rsid w:val="00FD0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8AC07"/>
  <w15:chartTrackingRefBased/>
  <w15:docId w15:val="{DA03792F-BE02-43DE-8E07-280BF61B1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4B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4BE3"/>
  </w:style>
  <w:style w:type="paragraph" w:styleId="Footer">
    <w:name w:val="footer"/>
    <w:basedOn w:val="Normal"/>
    <w:link w:val="FooterChar"/>
    <w:uiPriority w:val="99"/>
    <w:unhideWhenUsed/>
    <w:rsid w:val="00DA4B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BE3"/>
  </w:style>
  <w:style w:type="table" w:styleId="TableGrid">
    <w:name w:val="Table Grid"/>
    <w:basedOn w:val="TableNormal"/>
    <w:uiPriority w:val="39"/>
    <w:rsid w:val="004007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F7A6F"/>
    <w:pPr>
      <w:ind w:left="720"/>
      <w:contextualSpacing/>
    </w:pPr>
  </w:style>
  <w:style w:type="character" w:styleId="CommentReference">
    <w:name w:val="annotation reference"/>
    <w:basedOn w:val="DefaultParagraphFont"/>
    <w:uiPriority w:val="99"/>
    <w:semiHidden/>
    <w:unhideWhenUsed/>
    <w:rsid w:val="00A46282"/>
    <w:rPr>
      <w:sz w:val="16"/>
      <w:szCs w:val="16"/>
    </w:rPr>
  </w:style>
  <w:style w:type="paragraph" w:styleId="CommentText">
    <w:name w:val="annotation text"/>
    <w:basedOn w:val="Normal"/>
    <w:link w:val="CommentTextChar"/>
    <w:uiPriority w:val="99"/>
    <w:semiHidden/>
    <w:unhideWhenUsed/>
    <w:rsid w:val="00A46282"/>
    <w:pPr>
      <w:spacing w:line="240" w:lineRule="auto"/>
    </w:pPr>
    <w:rPr>
      <w:sz w:val="20"/>
      <w:szCs w:val="20"/>
    </w:rPr>
  </w:style>
  <w:style w:type="character" w:customStyle="1" w:styleId="CommentTextChar">
    <w:name w:val="Comment Text Char"/>
    <w:basedOn w:val="DefaultParagraphFont"/>
    <w:link w:val="CommentText"/>
    <w:uiPriority w:val="99"/>
    <w:semiHidden/>
    <w:rsid w:val="00A46282"/>
    <w:rPr>
      <w:sz w:val="20"/>
      <w:szCs w:val="20"/>
    </w:rPr>
  </w:style>
  <w:style w:type="paragraph" w:styleId="CommentSubject">
    <w:name w:val="annotation subject"/>
    <w:basedOn w:val="CommentText"/>
    <w:next w:val="CommentText"/>
    <w:link w:val="CommentSubjectChar"/>
    <w:uiPriority w:val="99"/>
    <w:semiHidden/>
    <w:unhideWhenUsed/>
    <w:rsid w:val="00A46282"/>
    <w:rPr>
      <w:b/>
      <w:bCs/>
    </w:rPr>
  </w:style>
  <w:style w:type="character" w:customStyle="1" w:styleId="CommentSubjectChar">
    <w:name w:val="Comment Subject Char"/>
    <w:basedOn w:val="CommentTextChar"/>
    <w:link w:val="CommentSubject"/>
    <w:uiPriority w:val="99"/>
    <w:semiHidden/>
    <w:rsid w:val="00A46282"/>
    <w:rPr>
      <w:b/>
      <w:bCs/>
      <w:sz w:val="20"/>
      <w:szCs w:val="20"/>
    </w:rPr>
  </w:style>
  <w:style w:type="paragraph" w:styleId="BalloonText">
    <w:name w:val="Balloon Text"/>
    <w:basedOn w:val="Normal"/>
    <w:link w:val="BalloonTextChar"/>
    <w:uiPriority w:val="99"/>
    <w:semiHidden/>
    <w:unhideWhenUsed/>
    <w:rsid w:val="00A462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6282"/>
    <w:rPr>
      <w:rFonts w:ascii="Segoe UI" w:hAnsi="Segoe UI" w:cs="Segoe UI"/>
      <w:sz w:val="18"/>
      <w:szCs w:val="18"/>
    </w:rPr>
  </w:style>
  <w:style w:type="character" w:styleId="PlaceholderText">
    <w:name w:val="Placeholder Text"/>
    <w:basedOn w:val="DefaultParagraphFont"/>
    <w:uiPriority w:val="99"/>
    <w:semiHidden/>
    <w:rsid w:val="008F1858"/>
    <w:rPr>
      <w:color w:val="808080"/>
    </w:rPr>
  </w:style>
  <w:style w:type="character" w:styleId="Hyperlink">
    <w:name w:val="Hyperlink"/>
    <w:basedOn w:val="DefaultParagraphFont"/>
    <w:uiPriority w:val="99"/>
    <w:unhideWhenUsed/>
    <w:rsid w:val="003F725B"/>
    <w:rPr>
      <w:color w:val="0563C1" w:themeColor="hyperlink"/>
      <w:u w:val="single"/>
    </w:rPr>
  </w:style>
  <w:style w:type="character" w:styleId="UnresolvedMention">
    <w:name w:val="Unresolved Mention"/>
    <w:basedOn w:val="DefaultParagraphFont"/>
    <w:uiPriority w:val="99"/>
    <w:semiHidden/>
    <w:unhideWhenUsed/>
    <w:rsid w:val="003F72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0066461">
      <w:bodyDiv w:val="1"/>
      <w:marLeft w:val="0"/>
      <w:marRight w:val="0"/>
      <w:marTop w:val="0"/>
      <w:marBottom w:val="0"/>
      <w:divBdr>
        <w:top w:val="none" w:sz="0" w:space="0" w:color="auto"/>
        <w:left w:val="none" w:sz="0" w:space="0" w:color="auto"/>
        <w:bottom w:val="none" w:sz="0" w:space="0" w:color="auto"/>
        <w:right w:val="none" w:sz="0" w:space="0" w:color="auto"/>
      </w:divBdr>
      <w:divsChild>
        <w:div w:id="546456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546733">
      <w:bodyDiv w:val="1"/>
      <w:marLeft w:val="0"/>
      <w:marRight w:val="0"/>
      <w:marTop w:val="0"/>
      <w:marBottom w:val="0"/>
      <w:divBdr>
        <w:top w:val="none" w:sz="0" w:space="0" w:color="auto"/>
        <w:left w:val="none" w:sz="0" w:space="0" w:color="auto"/>
        <w:bottom w:val="none" w:sz="0" w:space="0" w:color="auto"/>
        <w:right w:val="none" w:sz="0" w:space="0" w:color="auto"/>
      </w:divBdr>
      <w:divsChild>
        <w:div w:id="1734423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chs/products/databriefs/db330.ht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161/CIR.0000000000000485"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cancer.gov/about-cancer/causes-prevention/risk/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549</Words>
  <Characters>3133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Liberty University</Company>
  <LinksUpToDate>false</LinksUpToDate>
  <CharactersWithSpaces>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Anderton, Benjamin David (Center for Curriculum Development)</dc:creator>
  <cp:keywords/>
  <dc:description/>
  <cp:lastModifiedBy>Giancarlo Scolaro</cp:lastModifiedBy>
  <cp:revision>3</cp:revision>
  <dcterms:created xsi:type="dcterms:W3CDTF">2025-03-22T03:44:00Z</dcterms:created>
  <dcterms:modified xsi:type="dcterms:W3CDTF">2025-03-22T03:44:00Z</dcterms:modified>
</cp:coreProperties>
</file>