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</w:pPr>
      <w:r>
        <w:t xml:space="preserve">Vivo — Vial Label SOP</w:t>
      </w:r>
    </w:p>
    <w:p>
      <w:pPr>
        <w:spacing w:after="60"/>
      </w:pPr>
      <w:r>
        <w:rPr>
          <w:i/>
          <w:iCs/>
          <w:color w:val="6A6058"/>
          <w:sz w:val="22"/>
          <w:szCs w:val="22"/>
        </w:rPr>
        <w:t xml:space="preserve">How to apply the brand design elements to a peptide vial label.</w:t>
      </w:r>
    </w:p>
    <w:p>
      <w:pPr>
        <w:spacing w:after="180"/>
      </w:pPr>
      <w:r>
        <w:rPr>
          <w:color w:val="6A6058"/>
          <w:sz w:val="19"/>
          <w:szCs w:val="19"/>
        </w:rPr>
        <w:t xml:space="preserve">Worked example: BPC-157, 5 MG, on Clay Burgundy </w:t>
      </w:r>
      <w:r>
        <w:rPr>
          <w:rFonts w:ascii="Consolas" w:cs="Consolas" w:eastAsia="Consolas" w:hAnsi="Consolas"/>
          <w:b/>
          <w:bCs/>
          <w:color w:val="7B3B34"/>
        </w:rPr>
        <w:t xml:space="preserve">#7B3B34</w:t>
      </w:r>
      <w:r>
        <w:rPr>
          <w:color w:val="6A6058"/>
          <w:sz w:val="19"/>
          <w:szCs w:val="19"/>
        </w:rPr>
        <w:t xml:space="preserve">.  Version 1.0 — June 2026.</w:t>
      </w:r>
    </w:p>
    <w:p>
      <w:pPr>
        <w:pStyle w:val="Heading1"/>
      </w:pPr>
      <w:r>
        <w:t xml:space="preserve">1. Purpose</w:t>
      </w:r>
    </w:p>
    <w:p>
      <w:pPr>
        <w:spacing w:after="120" w:line="276"/>
      </w:pPr>
      <w:r>
        <w:t xml:space="preserve">This SOP defines the fixed recipe for laying out a Vivo vial label so any product reads as one family. Follow the element order, spacing, color logic, and type rules below. Only two things change between products: the </w:t>
      </w:r>
      <w:r>
        <w:rPr>
          <w:b/>
          <w:bCs/>
        </w:rPr>
        <w:t xml:space="preserve">product name / dose</w:t>
      </w:r>
      <w:r>
        <w:t xml:space="preserve"> and the </w:t>
      </w:r>
      <w:r>
        <w:rPr>
          <w:b/>
          <w:bCs/>
        </w:rPr>
        <w:t xml:space="preserve">category color</w:t>
      </w:r>
      <w:r>
        <w:t xml:space="preserve"> (Section 7). Everything else stays constant.</w:t>
      </w:r>
    </w:p>
    <w:p>
      <w:pPr>
        <w:pStyle w:val="Heading1"/>
      </w:pPr>
      <w:r>
        <w:t xml:space="preserve">2. The reference layout</w:t>
      </w:r>
    </w:p>
    <w:p>
      <w:pPr>
        <w:spacing w:after="120" w:line="276"/>
      </w:pPr>
      <w:r>
        <w:t xml:space="preserve">Every label is a single vertical stack on a full-bleed color field. The logo anchors the top; the product name and dose anchor the bottom; the middle stays empty. This negative space is the brand — do not fill it.</w:t>
      </w:r>
    </w:p>
    <w:p>
      <w:pPr>
        <w:spacing w:after="60" w:before="80"/>
        <w:jc w:val="center"/>
      </w:pPr>
      <w:r>
        <w:drawing>
          <wp:inline distT="0" distB="0" distL="0" distR="0">
            <wp:extent cx="2381250" cy="2647950"/>
            <wp:effectExtent t="0" r="0" b="0" l="0"/>
            <wp:docPr id="1" name="labelRef" descr="Reference Vivo vial label" title="BPC-157 clay label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81250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rPr>
          <w:i/>
          <w:iCs/>
          <w:color w:val="8A8076"/>
          <w:sz w:val="17"/>
          <w:szCs w:val="17"/>
        </w:rPr>
        <w:t xml:space="preserve">Reference build of the supplied tile — logo top, name + dose bottom, empty middle.</w:t>
      </w:r>
    </w:p>
    <w:p>
      <w:pPr>
        <w:pStyle w:val="Heading1"/>
      </w:pPr>
      <w:r>
        <w:t xml:space="preserve">3. Apply the elements (in order)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Set the canvas. </w:t>
      </w:r>
      <w:r>
        <w:t xml:space="preserve">Fill the entire label with one flat brand color, edge to edge, no gradient or texture. For this product the field is Clay Burgundy </w:t>
      </w:r>
      <w:r>
        <w:rPr>
          <w:rFonts w:ascii="Consolas" w:cs="Consolas" w:eastAsia="Consolas" w:hAnsi="Consolas"/>
          <w:b/>
          <w:bCs/>
          <w:color w:val="7B3B34"/>
        </w:rPr>
        <w:t xml:space="preserve">#7B3B34</w:t>
      </w:r>
      <w:r>
        <w:t xml:space="preserve">. The color is chosen by category (Section 7), not by preference.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Place the logo. </w:t>
      </w:r>
      <w:r>
        <w:t xml:space="preserve">Use the white wordmark (</w:t>
      </w:r>
      <w:r>
        <w:rPr>
          <w:rFonts w:ascii="Consolas" w:cs="Consolas" w:eastAsia="Consolas" w:hAnsi="Consolas"/>
          <w:b/>
          <w:bCs/>
          <w:color w:val="7B3B34"/>
        </w:rPr>
        <w:t xml:space="preserve">logo_white.png</w:t>
      </w:r>
      <w:r>
        <w:t xml:space="preserve">) centered horizontally, sitting in the top third. Width ≈ 60% of the label width. Pick the logo color by background lightness (Section 6) — white on dark fields, clay or black on light fields.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Set the product name. </w:t>
      </w:r>
      <w:r>
        <w:t xml:space="preserve">Centered, directly readable, in the functional sans (SF Pro Display, Medium). It is the largest type on the label. Keep it on one line; hyphenate the compound exactly as the molecule is written (</w:t>
      </w:r>
      <w:r>
        <w:rPr>
          <w:rFonts w:ascii="Consolas" w:cs="Consolas" w:eastAsia="Consolas" w:hAnsi="Consolas"/>
          <w:b/>
          <w:bCs/>
          <w:color w:val="7B3B34"/>
        </w:rPr>
        <w:t xml:space="preserve">BPC-157</w:t>
      </w:r>
      <w:r>
        <w:t xml:space="preserve">).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Set the dose. </w:t>
      </w:r>
      <w:r>
        <w:t xml:space="preserve">Centered, below the name, in all caps with wide letter-spacing (≈ 3 px / 0.2em). Format as number + unit with no space: </w:t>
      </w:r>
      <w:r>
        <w:rPr>
          <w:rFonts w:ascii="Consolas" w:cs="Consolas" w:eastAsia="Consolas" w:hAnsi="Consolas"/>
          <w:b/>
          <w:bCs/>
          <w:color w:val="7B3B34"/>
        </w:rPr>
        <w:t xml:space="preserve">5MG</w:t>
      </w:r>
      <w:r>
        <w:t xml:space="preserve">. Tone is muted — warm-white at ~70% opacity — so it reads as a quiet sub-line, not a headline.</w:t>
      </w:r>
    </w:p>
    <w:p>
      <w:pPr>
        <w:pStyle w:val="ListParagraph"/>
        <w:numPr>
          <w:ilvl w:val="0"/>
          <w:numId w:val="2"/>
        </w:numPr>
        <w:spacing w:after="80" w:line="276"/>
      </w:pPr>
      <w:r>
        <w:rPr>
          <w:b/>
          <w:bCs/>
        </w:rPr>
        <w:t xml:space="preserve">Lock the spacing. </w:t>
      </w:r>
      <w:r>
        <w:t xml:space="preserve">Equal side margins. Logo group pinned to the top, name+dose group pinned to the bottom, both with matching breathing room from their edges. The vertical gap between name and dose is small (one rhythm unit); the gap between logo and name is large (the empty middle).</w:t>
      </w:r>
    </w:p>
    <w:p>
      <w:pPr>
        <w:pStyle w:val="Heading1"/>
      </w:pPr>
      <w:r>
        <w:t xml:space="preserve">4. Element specification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140"/>
        <w:gridCol w:w="3500"/>
      </w:tblGrid>
      <w:tr>
        <w:trPr>
          <w:tblHeader/>
        </w:trPr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Element</w:t>
            </w:r>
          </w:p>
        </w:tc>
        <w:tc>
          <w:tcPr>
            <w:tcW w:type="dxa" w:w="41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Specification</w:t>
            </w:r>
          </w:p>
        </w:tc>
        <w:tc>
          <w:tcPr>
            <w:tcW w:type="dxa" w:w="35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Notes</w:t>
            </w:r>
          </w:p>
        </w:tc>
      </w:tr>
      <w:tr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Background</w:t>
            </w:r>
          </w:p>
        </w:tc>
        <w:tc>
          <w:tcPr>
            <w:tcW w:type="dxa" w:w="41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Flat fill, full bleed. Category color (e.g. Clay #7B3B34).</w:t>
            </w:r>
          </w:p>
        </w:tc>
        <w:tc>
          <w:tcPr>
            <w:tcW w:type="dxa" w:w="35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No gradient on the flat tile. No border.</w:t>
            </w:r>
          </w:p>
        </w:tc>
      </w:tr>
      <w:tr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Logo</w:t>
            </w:r>
          </w:p>
        </w:tc>
        <w:tc>
          <w:tcPr>
            <w:tcW w:type="dxa" w:w="41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Wordmark, centered, top third. Width ≈ 60% of label width.</w:t>
            </w:r>
          </w:p>
        </w:tc>
        <w:tc>
          <w:tcPr>
            <w:tcW w:type="dxa" w:w="35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Color chosen by contrast — see Section 6.</w:t>
            </w:r>
          </w:p>
        </w:tc>
      </w:tr>
      <w:tr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Product name</w:t>
            </w:r>
          </w:p>
        </w:tc>
        <w:tc>
          <w:tcPr>
            <w:tcW w:type="dxa" w:w="41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SF Pro Display Medium, centered, largest type, one line.</w:t>
            </w:r>
          </w:p>
        </w:tc>
        <w:tc>
          <w:tcPr>
            <w:tcW w:type="dxa" w:w="35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Warm-white #FAF8F4. Never pure white.</w:t>
            </w:r>
          </w:p>
        </w:tc>
      </w:tr>
      <w:tr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Dose</w:t>
            </w:r>
          </w:p>
        </w:tc>
        <w:tc>
          <w:tcPr>
            <w:tcW w:type="dxa" w:w="41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All caps, ~0.2em tracking, number+unit no space (5MG).</w:t>
            </w:r>
          </w:p>
        </w:tc>
        <w:tc>
          <w:tcPr>
            <w:tcW w:type="dxa" w:w="35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Muted: warm-white at ~70% opacity, or champagne accent.</w:t>
            </w:r>
          </w:p>
        </w:tc>
      </w:tr>
      <w:tr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Margins</w:t>
            </w:r>
          </w:p>
        </w:tc>
        <w:tc>
          <w:tcPr>
            <w:tcW w:type="dxa" w:w="41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Equal left/right. Logo and name+dose groups pinned to top/bottom.</w:t>
            </w:r>
          </w:p>
        </w:tc>
        <w:tc>
          <w:tcPr>
            <w:tcW w:type="dxa" w:w="35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Protect the empty middle.</w:t>
            </w:r>
          </w:p>
        </w:tc>
      </w:tr>
    </w:tbl>
    <w:p>
      <w:pPr>
        <w:pStyle w:val="Heading1"/>
      </w:pPr>
      <w:r>
        <w:t xml:space="preserve">5. Color &amp; contrast rule</w:t>
      </w:r>
    </w:p>
    <w:p>
      <w:pPr>
        <w:spacing w:after="120" w:line="276"/>
      </w:pPr>
      <w:r>
        <w:t xml:space="preserve">Backgrounds are never pure black or white. Type is warm-white </w:t>
      </w:r>
      <w:r>
        <w:rPr>
          <w:rFonts w:ascii="Consolas" w:cs="Consolas" w:eastAsia="Consolas" w:hAnsi="Consolas"/>
          <w:b/>
          <w:bCs/>
          <w:color w:val="7B3B34"/>
        </w:rPr>
        <w:t xml:space="preserve">#FAF8F4</w:t>
      </w:r>
      <w:r>
        <w:t xml:space="preserve"> or warm-black </w:t>
      </w:r>
      <w:r>
        <w:rPr>
          <w:rFonts w:ascii="Consolas" w:cs="Consolas" w:eastAsia="Consolas" w:hAnsi="Consolas"/>
          <w:b/>
          <w:bCs/>
          <w:color w:val="7B3B34"/>
        </w:rPr>
        <w:t xml:space="preserve">#1C1A17</w:t>
      </w:r>
      <w:r>
        <w:t xml:space="preserve">. The accent color (used for the dose or a rule) must clear WCAG AA contrast on its field: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On dark fields (clay, sage, slate): use </w:t>
      </w:r>
      <w:r>
        <w:rPr>
          <w:b/>
          <w:bCs/>
        </w:rPr>
        <w:t xml:space="preserve">Champagne #E4BC7A</w:t>
      </w:r>
      <w:r>
        <w:t xml:space="preserve"> for accents — ~4.7:1, passes AA. 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Do </w:t>
      </w:r>
      <w:r>
        <w:rPr>
          <w:b/>
          <w:bCs/>
        </w:rPr>
        <w:t xml:space="preserve">not</w:t>
      </w:r>
      <w:r>
        <w:t xml:space="preserve"> use Amber #C4913A as an accent on clay — it lands near 3:1 and fails AA.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t xml:space="preserve">On light fields (sand, amber): use </w:t>
      </w:r>
      <w:r>
        <w:rPr>
          <w:b/>
          <w:bCs/>
        </w:rPr>
        <w:t xml:space="preserve">Clay #7B3B34</w:t>
      </w:r>
      <w:r>
        <w:t xml:space="preserve"> or deep clay as the accent.</w:t>
      </w:r>
    </w:p>
    <w:p>
      <w:pPr>
        <w:pStyle w:val="Heading1"/>
      </w:pPr>
      <w:r>
        <w:t xml:space="preserve">6. Logo color selection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13"/>
        <w:gridCol w:w="3213"/>
        <w:gridCol w:w="3214"/>
      </w:tblGrid>
      <w:tr>
        <w:trPr>
          <w:tblHeader/>
        </w:trPr>
        <w:tc>
          <w:tcPr>
            <w:tcW w:type="dxa" w:w="3213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C1A1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lightness</w:t>
            </w:r>
          </w:p>
        </w:tc>
        <w:tc>
          <w:tcPr>
            <w:tcW w:type="dxa" w:w="3213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C1A1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Logo file</w:t>
            </w:r>
          </w:p>
        </w:tc>
        <w:tc>
          <w:tcPr>
            <w:tcW w:type="dxa" w:w="3214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1C1A17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Examples</w:t>
            </w:r>
          </w:p>
        </w:tc>
      </w:tr>
      <w:tr>
        <w:tc>
          <w:tcPr>
            <w:tcW w:type="dxa" w:w="3213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Dark field</w:t>
            </w:r>
          </w:p>
        </w:tc>
        <w:tc>
          <w:tcPr>
            <w:tcW w:type="dxa" w:w="3213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logo_white.png</w:t>
            </w:r>
          </w:p>
        </w:tc>
        <w:tc>
          <w:tcPr>
            <w:tcW w:type="dxa" w:w="3214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Clay, Sage, Slate</w:t>
            </w:r>
          </w:p>
        </w:tc>
      </w:tr>
      <w:tr>
        <w:tc>
          <w:tcPr>
            <w:tcW w:type="dxa" w:w="3213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1C1A17"/>
                <w:sz w:val="19"/>
                <w:szCs w:val="19"/>
              </w:rPr>
              <w:t xml:space="preserve">Light field</w:t>
            </w:r>
          </w:p>
        </w:tc>
        <w:tc>
          <w:tcPr>
            <w:tcW w:type="dxa" w:w="3213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logo_black.png or logo_clay.png</w:t>
            </w:r>
          </w:p>
        </w:tc>
        <w:tc>
          <w:tcPr>
            <w:tcW w:type="dxa" w:w="3214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Sand, Amber</w:t>
            </w:r>
          </w:p>
        </w:tc>
      </w:tr>
    </w:tbl>
    <w:p>
      <w:pPr>
        <w:pStyle w:val="Heading1"/>
      </w:pPr>
      <w:r>
        <w:t xml:space="preserve">7. Category-color system</w:t>
      </w:r>
    </w:p>
    <w:p>
      <w:pPr>
        <w:spacing w:after="120" w:line="276"/>
      </w:pPr>
      <w:r>
        <w:t xml:space="preserve">Color carries meaning: each product category owns one field color. Match the molecule to its category color so the shelf reads as a coded set. The supplied tile pairs BPC-157 with clay — </w:t>
      </w:r>
      <w:r>
        <w:rPr>
          <w:b/>
          <w:bCs/>
        </w:rPr>
        <w:t xml:space="preserve">see the flag in Section 9</w:t>
      </w:r>
      <w:r>
        <w:t xml:space="preserve"> before locking that pairing.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1900"/>
        <w:gridCol w:w="800"/>
        <w:gridCol w:w="2000"/>
        <w:gridCol w:w="2340"/>
      </w:tblGrid>
      <w:tr>
        <w:trPr>
          <w:tblHeader/>
        </w:trPr>
        <w:tc>
          <w:tcPr>
            <w:tcW w:type="dxa" w:w="26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Category</w:t>
            </w:r>
          </w:p>
        </w:tc>
        <w:tc>
          <w:tcPr>
            <w:tcW w:type="dxa" w:w="19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Field color</w:t>
            </w:r>
          </w:p>
        </w:tc>
        <w:tc>
          <w:tcPr>
            <w:tcW w:type="dxa" w:w="8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Logo</w:t>
            </w:r>
          </w:p>
        </w:tc>
        <w:tc>
          <w:tcPr>
            <w:tcW w:type="dxa" w:w="23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Accent</w:t>
            </w:r>
          </w:p>
        </w:tc>
      </w:tr>
      <w:tr>
        <w:tc>
          <w:tcPr>
            <w:tcW w:type="dxa" w:w="26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Recovery &amp; Healing</w:t>
            </w:r>
          </w:p>
        </w:tc>
        <w:tc>
          <w:tcPr>
            <w:tcW w:type="dxa" w:w="19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Sage #3D5C36</w:t>
            </w:r>
          </w:p>
        </w:tc>
        <w:tc>
          <w:tcPr>
            <w:tcW w:type="dxa" w:w="8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3D5C3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White</w:t>
            </w:r>
          </w:p>
        </w:tc>
        <w:tc>
          <w:tcPr>
            <w:tcW w:type="dxa" w:w="23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Champagne #E4BC7A</w:t>
            </w:r>
          </w:p>
        </w:tc>
      </w:tr>
      <w:tr>
        <w:tc>
          <w:tcPr>
            <w:tcW w:type="dxa" w:w="26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Skin &amp; Anti-Aging</w:t>
            </w:r>
          </w:p>
        </w:tc>
        <w:tc>
          <w:tcPr>
            <w:tcW w:type="dxa" w:w="19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Amber #C4913A</w:t>
            </w:r>
          </w:p>
        </w:tc>
        <w:tc>
          <w:tcPr>
            <w:tcW w:type="dxa" w:w="8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C4913A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Black</w:t>
            </w:r>
          </w:p>
        </w:tc>
        <w:tc>
          <w:tcPr>
            <w:tcW w:type="dxa" w:w="23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Deep clay #5C2A24</w:t>
            </w:r>
          </w:p>
        </w:tc>
      </w:tr>
      <w:tr>
        <w:tc>
          <w:tcPr>
            <w:tcW w:type="dxa" w:w="26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Mind, Mood &amp; Sleep</w:t>
            </w:r>
          </w:p>
        </w:tc>
        <w:tc>
          <w:tcPr>
            <w:tcW w:type="dxa" w:w="19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Slate #3A5268</w:t>
            </w:r>
          </w:p>
        </w:tc>
        <w:tc>
          <w:tcPr>
            <w:tcW w:type="dxa" w:w="8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3A5268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White</w:t>
            </w:r>
          </w:p>
        </w:tc>
        <w:tc>
          <w:tcPr>
            <w:tcW w:type="dxa" w:w="23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Champagne #E4BC7A</w:t>
            </w:r>
          </w:p>
        </w:tc>
      </w:tr>
      <w:tr>
        <w:tc>
          <w:tcPr>
            <w:tcW w:type="dxa" w:w="26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Weight &amp; Metabolism</w:t>
            </w:r>
          </w:p>
        </w:tc>
        <w:tc>
          <w:tcPr>
            <w:tcW w:type="dxa" w:w="19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Clay #7B3B34</w:t>
            </w:r>
          </w:p>
        </w:tc>
        <w:tc>
          <w:tcPr>
            <w:tcW w:type="dxa" w:w="8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7B3B34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White</w:t>
            </w:r>
          </w:p>
        </w:tc>
        <w:tc>
          <w:tcPr>
            <w:tcW w:type="dxa" w:w="23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Champagne #E4BC7A</w:t>
            </w:r>
          </w:p>
        </w:tc>
      </w:tr>
      <w:tr>
        <w:tc>
          <w:tcPr>
            <w:tcW w:type="dxa" w:w="26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Muscle &amp; Performance</w:t>
            </w:r>
          </w:p>
        </w:tc>
        <w:tc>
          <w:tcPr>
            <w:tcW w:type="dxa" w:w="19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Sand #EDE4D0</w:t>
            </w:r>
          </w:p>
        </w:tc>
        <w:tc>
          <w:tcPr>
            <w:tcW w:type="dxa" w:w="8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EDE4D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r>
              <w:rPr>
                <w:sz w:val="19"/>
                <w:szCs w:val="19"/>
              </w:rPr>
              <w:t xml:space="preserve"/>
            </w:r>
          </w:p>
        </w:tc>
        <w:tc>
          <w:tcPr>
            <w:tcW w:type="dxa" w:w="200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Clay</w:t>
            </w:r>
          </w:p>
        </w:tc>
        <w:tc>
          <w:tcPr>
            <w:tcW w:type="dxa" w:w="234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Clay #7B3B34</w:t>
            </w:r>
          </w:p>
        </w:tc>
      </w:tr>
    </w:tbl>
    <w:p>
      <w:pPr>
        <w:pStyle w:val="Heading1"/>
      </w:pPr>
      <w:r>
        <w:t xml:space="preserve">8. Do &amp; don't</w:t>
      </w:r>
    </w:p>
    <w:tbl>
      <w:tblPr>
        <w:tblW w:type="dxa" w:w="96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20"/>
        <w:gridCol w:w="4820"/>
      </w:tblGrid>
      <w:tr>
        <w:trPr>
          <w:tblHeader/>
        </w:trPr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3D5C36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</w:t>
            </w:r>
          </w:p>
        </w:tc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shd w:fill="8A3A30" w:val="clear"/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Don’t</w:t>
            </w:r>
          </w:p>
        </w:tc>
      </w:tr>
      <w:tr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Keep the middle empty — it is the brand.</w:t>
            </w:r>
          </w:p>
        </w:tc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Crowd the label with extra lines or icons.</w:t>
            </w:r>
          </w:p>
        </w:tc>
      </w:tr>
      <w:tr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Center everything on one vertical axis.</w:t>
            </w:r>
          </w:p>
        </w:tc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Left-align or stagger the text.</w:t>
            </w:r>
          </w:p>
        </w:tc>
      </w:tr>
      <w:tr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Use warm-white / warm-black, never pure.</w:t>
            </w:r>
          </w:p>
        </w:tc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Use #000000 or #FFFFFF.</w:t>
            </w:r>
          </w:p>
        </w:tc>
      </w:tr>
      <w:tr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Verify accent passes AA on its field.</w:t>
            </w:r>
          </w:p>
        </w:tc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Put amber accents on clay (fails AA).</w:t>
            </w:r>
          </w:p>
        </w:tc>
      </w:tr>
      <w:tr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Keep the molecule name on one line.</w:t>
            </w:r>
          </w:p>
        </w:tc>
        <w:tc>
          <w:tcPr>
            <w:tcW w:type="dxa" w:w="4820"/>
            <w:tcBorders>
              <w:top w:val="single" w:color="D8CFC0" w:sz="4"/>
              <w:left w:val="single" w:color="D8CFC0" w:sz="4"/>
              <w:bottom w:val="single" w:color="D8CFC0" w:sz="4"/>
              <w:right w:val="single" w:color="D8CFC0" w:sz="4"/>
            </w:tcBorders>
            <w:tcMar>
              <w:top w:type="dxa" w:w="70"/>
              <w:left w:type="dxa" w:w="120"/>
              <w:bottom w:type="dxa" w:w="70"/>
              <w:right w:type="dxa" w:w="120"/>
            </w:tcMar>
            <w:vAlign w:val="center"/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1C1A17"/>
                <w:sz w:val="19"/>
                <w:szCs w:val="19"/>
              </w:rPr>
              <w:t xml:space="preserve">Shrink or wrap the name to fit decoration.</w:t>
            </w:r>
          </w:p>
        </w:tc>
      </w:tr>
    </w:tbl>
    <w:p>
      <w:pPr>
        <w:pStyle w:val="Heading1"/>
      </w:pPr>
      <w:r>
        <w:t xml:space="preserve">9. Open decisions (flag before mass production)</w:t>
      </w:r>
    </w:p>
    <w:p>
      <w:pPr>
        <w:spacing w:after="120" w:line="276"/>
      </w:pPr>
      <w:r>
        <w:t xml:space="preserve">Two divergences between the supplied tile and the existing 5-vial production lineup. Resolve them so the system stays coherent — either is defensible, but pick one and apply it everywhere.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Type style. </w:t>
      </w:r>
      <w:r>
        <w:t xml:space="preserve">The supplied tile sets the product name in the functional </w:t>
      </w:r>
      <w:r>
        <w:rPr>
          <w:b/>
          <w:bCs/>
        </w:rPr>
        <w:t xml:space="preserve">sans</w:t>
      </w:r>
      <w:r>
        <w:t xml:space="preserve">, while the production vials set it in the </w:t>
      </w:r>
      <w:r>
        <w:rPr>
          <w:b/>
          <w:bCs/>
        </w:rPr>
        <w:t xml:space="preserve">Late Serif</w:t>
      </w:r>
      <w:r>
        <w:t xml:space="preserve">. One must win across the whole range. The serif reads more premium/editorial; the sans reads cleaner/clinical and matches this tile.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Color–category pairing. </w:t>
      </w:r>
      <w:r>
        <w:t xml:space="preserve">The tile puts BPC-157 (Recovery) on </w:t>
      </w:r>
      <w:r>
        <w:rPr>
          <w:b/>
          <w:bCs/>
        </w:rPr>
        <w:t xml:space="preserve">clay</w:t>
      </w:r>
      <w:r>
        <w:t xml:space="preserve">, but in the lineup clay is owned by </w:t>
      </w:r>
      <w:r>
        <w:rPr>
          <w:b/>
          <w:bCs/>
        </w:rPr>
        <w:t xml:space="preserve">Weight &amp; Metabolism (AOD-9604)</w:t>
      </w:r>
      <w:r>
        <w:t xml:space="preserve"> and BPC-157 is </w:t>
      </w:r>
      <w:r>
        <w:rPr>
          <w:b/>
          <w:bCs/>
        </w:rPr>
        <w:t xml:space="preserve">sage</w:t>
      </w:r>
      <w:r>
        <w:t xml:space="preserve">. If color codes category, BPC-157 should be sage — otherwise the coding breaks.</w:t>
      </w:r>
    </w:p>
    <w:p>
      <w:pPr>
        <w:pStyle w:val="ListParagraph"/>
        <w:numPr>
          <w:ilvl w:val="0"/>
          <w:numId w:val="3"/>
        </w:numPr>
        <w:spacing w:after="80" w:line="276"/>
      </w:pPr>
      <w:r>
        <w:rPr>
          <w:b/>
          <w:bCs/>
        </w:rPr>
        <w:t xml:space="preserve">Stripped elements. </w:t>
      </w:r>
      <w:r>
        <w:t xml:space="preserve">The tile drops the category kicker, divider rule, descriptor, “Lyophilized,” and “Research Use Only” lines present on the production labels. Confirm whether this minimal face is the new standard or a marketing-only variant — “Research Use Only” in particular may be a compliance requirement.</w:t>
      </w:r>
    </w:p>
    <w:p>
      <w:pPr>
        <w:spacing w:before="200"/>
      </w:pPr>
      <w:r>
        <w:rPr>
          <w:i/>
          <w:iCs/>
          <w:color w:val="8A8076"/>
          <w:sz w:val="17"/>
          <w:szCs w:val="17"/>
        </w:rPr>
        <w:t xml:space="preserve">Source files: _source/vials.html (label spec), logo_white / logo_black / logo_clay.png, brand palette per Vivo Brand Identity.</w:t>
      </w:r>
    </w:p>
    <w:sectPr>
      <w:pgSz w:w="12240" w:h="15840" w:orient="portrait"/>
      <w:pgMar w:top="1100" w:right="1300" w:bottom="1100" w:left="13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60" w:hanging="260"/>
      </w:pPr>
      <w:rPr>
        <w:color w:val="7B3B34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60" w:hanging="300"/>
      </w:pPr>
    </w:lvl>
  </w:abstractNum>
  <w:num w:numId="1">
    <w:abstractNumId w:val="1"/>
    <w:lvlOverride w:ilvl="0">
      <w:startOverride w:val="1"/>
    </w:lvlOverride>
  </w:num>
  <w:num w:numId="2">
    <w:abstractNumId w:val="3"/>
    <w:lvlOverride w:ilvl="0">
      <w:startOverride w:val="1"/>
    </w:lvlOverride>
  </w:num>
  <w:num w:numId="3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B2622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Title">
    <w:name w:val="Title"/>
    <w:basedOn w:val="Normal"/>
    <w:next w:val="Normal"/>
    <w:pPr>
      <w:spacing w:after="60"/>
    </w:pPr>
    <w:rPr>
      <w:rFonts w:ascii="Arial" w:cs="Arial" w:eastAsia="Arial" w:hAnsi="Arial"/>
      <w:b/>
      <w:bCs/>
      <w:color w:val="7B3B34"/>
      <w:sz w:val="46"/>
      <w:szCs w:val="46"/>
    </w:rPr>
  </w:style>
  <w:style w:type="paragraph" w:styleId="Heading1">
    <w:name w:val="Heading 1"/>
    <w:basedOn w:val="Normal"/>
    <w:next w:val="Normal"/>
    <w:qFormat/>
    <w:pPr>
      <w:pBdr>
        <w:bottom w:val="single" w:color="E4BC7A" w:sz="6" w:space="4"/>
      </w:pBdr>
      <w:spacing w:after="140" w:before="300"/>
      <w:outlineLvl w:val="0"/>
    </w:pPr>
    <w:rPr>
      <w:rFonts w:ascii="Arial" w:cs="Arial" w:eastAsia="Arial" w:hAnsi="Arial"/>
      <w:b/>
      <w:bCs/>
      <w:color w:val="7B3B34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00" w:before="180"/>
      <w:outlineLvl w:val="1"/>
    </w:pPr>
    <w:rPr>
      <w:rFonts w:ascii="Arial" w:cs="Arial" w:eastAsia="Arial" w:hAnsi="Arial"/>
      <w:b/>
      <w:bCs/>
      <w:color w:val="1C1A17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f623fbacb39aa0c50ad7d6a0cf8d95f854ebb465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2026-06-25T13:44:00.181Z</dcterms:created>
  <dcterms:modified xsi:type="dcterms:W3CDTF">2026-06-25T13:44:00.181Z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