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Client Data Access Schema Brief</w:t>
      </w:r>
    </w:p>
    <w:p>
      <w:r>
        <w:rPr>
          <w:b/>
        </w:rPr>
        <w:t>GraphQL semantic access for clients • SQL/Parquet analytical access for internal users</w:t>
      </w:r>
    </w:p>
    <w:p>
      <w:pPr>
        <w:pStyle w:val="Heading1"/>
      </w:pPr>
      <w:r>
        <w:t>1. Executive Summary</w:t>
      </w:r>
    </w:p>
    <w:p>
      <w:r>
        <w:t>The proposed architecture separates the client-facing semantic query layer from the underlying analytical storage layer. Clients interact only through natural-language agents. Those agents resolve business intent and entities, then issue constrained, typed queries against a GraphQL schema. GraphQL can resolve fields from current JSON/operational data, Parquet-backed analytical data, or other stores without exposing storage details to the client.</w:t>
      </w:r>
    </w:p>
    <w:p>
      <w:r>
        <w:t>Internally, Parquet remains directly queryable through SQL (for example via DuckDB or Trino) so sophisticated analytical questions are not forced through GraphQL. The result is one governed business ontology for client access and a separate, flexible analytical plane for internal use.</w:t>
      </w:r>
    </w:p>
    <w:p>
      <w:pPr>
        <w:pStyle w:val="Heading1"/>
      </w:pPr>
      <w:r>
        <w:t>2. Target Architecture</w:t>
      </w:r>
    </w:p>
    <w:p>
      <w:pPr>
        <w:pStyle w:val="Code"/>
        <w:spacing w:after="0"/>
      </w:pPr>
      <w:r>
        <w:t>CLIENT: Natural-language question</w:t>
      </w:r>
    </w:p>
    <w:p>
      <w:pPr>
        <w:pStyle w:val="Code"/>
        <w:spacing w:after="0"/>
      </w:pPr>
      <w:r>
        <w:t>↓</w:t>
      </w:r>
    </w:p>
    <w:p>
      <w:pPr>
        <w:pStyle w:val="Code"/>
        <w:spacing w:after="0"/>
      </w:pPr>
      <w:r>
        <w:t>Agent: intent + entity resolution</w:t>
      </w:r>
    </w:p>
    <w:p>
      <w:pPr>
        <w:pStyle w:val="Code"/>
        <w:spacing w:after="0"/>
      </w:pPr>
      <w:r>
        <w:t>↓</w:t>
      </w:r>
    </w:p>
    <w:p>
      <w:pPr>
        <w:pStyle w:val="Code"/>
        <w:spacing w:after="0"/>
      </w:pPr>
      <w:r>
        <w:t>Business tools / GraphQL query</w:t>
      </w:r>
    </w:p>
    <w:p>
      <w:pPr>
        <w:pStyle w:val="Code"/>
        <w:spacing w:after="0"/>
      </w:pPr>
      <w:r>
        <w:t>↓</w:t>
      </w:r>
    </w:p>
    <w:p>
      <w:pPr>
        <w:pStyle w:val="Code"/>
        <w:spacing w:after="0"/>
      </w:pPr>
      <w:r>
        <w:t>GraphQL schema + resolvers</w:t>
      </w:r>
    </w:p>
    <w:p>
      <w:pPr>
        <w:pStyle w:val="Code"/>
        <w:spacing w:after="0"/>
      </w:pPr>
      <w:r>
        <w:t>↓</w:t>
      </w:r>
    </w:p>
    <w:p>
      <w:pPr>
        <w:pStyle w:val="Code"/>
        <w:spacing w:after="0"/>
      </w:pPr>
      <w:r>
        <w:t>JSON / operational data     +     Parquet / historical &amp; analytical data</w:t>
      </w:r>
    </w:p>
    <w:p>
      <w:pPr>
        <w:pStyle w:val="Code"/>
        <w:spacing w:after="0"/>
      </w:pPr>
      <w:r/>
    </w:p>
    <w:p>
      <w:pPr>
        <w:pStyle w:val="Code"/>
        <w:spacing w:after="0"/>
      </w:pPr>
      <w:r>
        <w:t>INTERNAL ANALYTICS: SQL → DuckDB / Trino → Parquet</w:t>
      </w:r>
    </w:p>
    <w:p>
      <w:pPr>
        <w:pStyle w:val="Heading1"/>
      </w:pPr>
      <w:r>
        <w:t>3. Design Principles</w:t>
      </w:r>
    </w:p>
    <w:p>
      <w:pPr>
        <w:pStyle w:val="ListBullet"/>
      </w:pPr>
      <w:r>
        <w:t>Business-semantic schema. Expose concepts such as Account, FeeSplit, Performance, Benchmark, Advisor, Strategy, Household, Custodian, and DataIssue—not physical filenames or raw storage columns.</w:t>
      </w:r>
    </w:p>
    <w:p>
      <w:pPr>
        <w:pStyle w:val="ListBullet"/>
      </w:pPr>
      <w:r>
        <w:t>Storage independence. A GraphQL field may resolve from JSON today and Parquet tomorrow without changing the client-facing contract.</w:t>
      </w:r>
    </w:p>
    <w:p>
      <w:pPr>
        <w:pStyle w:val="ListBullet"/>
      </w:pPr>
      <w:r>
        <w:t>Constrained client access. Client agents should use narrowly defined business operations rather than arbitrary SQL or unrestricted data-lake access.</w:t>
      </w:r>
    </w:p>
    <w:p>
      <w:pPr>
        <w:pStyle w:val="ListBullet"/>
      </w:pPr>
      <w:r>
        <w:t>Analytical freedom internally. Internal users retain SQL access to Parquet for ad hoc cross-sectional, historical, and quantitative analysis.</w:t>
      </w:r>
    </w:p>
    <w:p>
      <w:pPr>
        <w:pStyle w:val="ListBullet"/>
      </w:pPr>
      <w:r>
        <w:t>Entity resolution before data retrieval. Fuzzy client language is normalized to canonical entity IDs before downstream queries execute.</w:t>
      </w:r>
    </w:p>
    <w:p>
      <w:pPr>
        <w:pStyle w:val="ListBullet"/>
      </w:pPr>
      <w:r>
        <w:t>Push computation down. Agents should receive only the rows and fields needed to answer the question rather than scanning raw JSON or Parquet themselves.</w:t>
      </w:r>
    </w:p>
    <w:p>
      <w:pPr>
        <w:pStyle w:val="Heading1"/>
      </w:pPr>
      <w:r>
        <w:t>4. Core GraphQL Domain Schema</w:t>
      </w:r>
    </w:p>
    <w:p>
      <w:pPr>
        <w:pStyle w:val="Code"/>
        <w:spacing w:after="0"/>
      </w:pPr>
      <w:r>
        <w:t>type Account {</w:t>
      </w:r>
    </w:p>
    <w:p>
      <w:pPr>
        <w:pStyle w:val="Code"/>
        <w:spacing w:after="0"/>
      </w:pPr>
      <w:r>
        <w:t xml:space="preserve">  id: ID!</w:t>
      </w:r>
    </w:p>
    <w:p>
      <w:pPr>
        <w:pStyle w:val="Code"/>
        <w:spacing w:after="0"/>
      </w:pPr>
      <w:r>
        <w:t xml:space="preserve">  name: String!</w:t>
      </w:r>
    </w:p>
    <w:p>
      <w:pPr>
        <w:pStyle w:val="Code"/>
        <w:spacing w:after="0"/>
      </w:pPr>
      <w:r>
        <w:t xml:space="preserve">  advisor: Advisor</w:t>
      </w:r>
    </w:p>
    <w:p>
      <w:pPr>
        <w:pStyle w:val="Code"/>
        <w:spacing w:after="0"/>
      </w:pPr>
      <w:r>
        <w:t xml:space="preserve">  strategy: Strategy</w:t>
      </w:r>
    </w:p>
    <w:p>
      <w:pPr>
        <w:pStyle w:val="Code"/>
        <w:spacing w:after="0"/>
      </w:pPr>
      <w:r>
        <w:t xml:space="preserve">  custodian: Custodian</w:t>
      </w:r>
    </w:p>
    <w:p>
      <w:pPr>
        <w:pStyle w:val="Code"/>
        <w:spacing w:after="0"/>
      </w:pPr>
      <w:r>
        <w:t xml:space="preserve">  feeSplit: FeeSplit</w:t>
      </w:r>
    </w:p>
    <w:p>
      <w:pPr>
        <w:pStyle w:val="Code"/>
        <w:spacing w:after="0"/>
      </w:pPr>
      <w:r>
        <w:t xml:space="preserve">  performance(period: PerformancePeriod!): Performance</w:t>
      </w:r>
    </w:p>
    <w:p>
      <w:pPr>
        <w:pStyle w:val="Code"/>
        <w:spacing w:after="0"/>
      </w:pPr>
      <w:r>
        <w:t xml:space="preserve">  dataIssues: [DataIssue!]!</w:t>
      </w:r>
    </w:p>
    <w:p>
      <w:pPr>
        <w:pStyle w:val="Code"/>
        <w:spacing w:after="0"/>
      </w:pPr>
      <w:r>
        <w:t>}</w:t>
      </w:r>
    </w:p>
    <w:p>
      <w:pPr>
        <w:pStyle w:val="Code"/>
        <w:spacing w:after="0"/>
      </w:pPr>
      <w:r/>
    </w:p>
    <w:p>
      <w:pPr>
        <w:pStyle w:val="Code"/>
        <w:spacing w:after="0"/>
      </w:pPr>
      <w:r>
        <w:t>type Performance {</w:t>
      </w:r>
    </w:p>
    <w:p>
      <w:pPr>
        <w:pStyle w:val="Code"/>
        <w:spacing w:after="0"/>
      </w:pPr>
      <w:r>
        <w:t xml:space="preserve">  return: Float</w:t>
      </w:r>
    </w:p>
    <w:p>
      <w:pPr>
        <w:pStyle w:val="Code"/>
        <w:spacing w:after="0"/>
      </w:pPr>
      <w:r>
        <w:t xml:space="preserve">  benchmarkReturn: Float</w:t>
      </w:r>
    </w:p>
    <w:p>
      <w:pPr>
        <w:pStyle w:val="Code"/>
        <w:spacing w:after="0"/>
      </w:pPr>
      <w:r>
        <w:t xml:space="preserve">  excessReturn: Float</w:t>
      </w:r>
    </w:p>
    <w:p>
      <w:pPr>
        <w:pStyle w:val="Code"/>
        <w:spacing w:after="0"/>
      </w:pPr>
      <w:r>
        <w:t xml:space="preserve">  beginningMarketValue: Float</w:t>
      </w:r>
    </w:p>
    <w:p>
      <w:pPr>
        <w:pStyle w:val="Code"/>
        <w:spacing w:after="0"/>
      </w:pPr>
      <w:r>
        <w:t xml:space="preserve">  endingMarketValue: Float</w:t>
      </w:r>
    </w:p>
    <w:p>
      <w:pPr>
        <w:pStyle w:val="Code"/>
        <w:spacing w:after="0"/>
      </w:pPr>
      <w:r>
        <w:t>}</w:t>
      </w:r>
    </w:p>
    <w:p>
      <w:pPr>
        <w:pStyle w:val="Code"/>
        <w:spacing w:after="0"/>
      </w:pPr>
      <w:r/>
    </w:p>
    <w:p>
      <w:pPr>
        <w:pStyle w:val="Code"/>
        <w:spacing w:after="0"/>
      </w:pPr>
      <w:r>
        <w:t>type FeeSplit {</w:t>
      </w:r>
    </w:p>
    <w:p>
      <w:pPr>
        <w:pStyle w:val="Code"/>
        <w:spacing w:after="0"/>
      </w:pPr>
      <w:r>
        <w:t xml:space="preserve">  status: FeeSplitStatus!</w:t>
      </w:r>
    </w:p>
    <w:p>
      <w:pPr>
        <w:pStyle w:val="Code"/>
        <w:spacing w:after="0"/>
      </w:pPr>
      <w:r>
        <w:t xml:space="preserve">  components: [FeeSplitComponent!]!</w:t>
      </w:r>
    </w:p>
    <w:p>
      <w:pPr>
        <w:pStyle w:val="Code"/>
        <w:spacing w:after="0"/>
      </w:pPr>
      <w:r>
        <w:t>}</w:t>
      </w:r>
    </w:p>
    <w:p>
      <w:pPr>
        <w:pStyle w:val="Code"/>
        <w:spacing w:after="0"/>
      </w:pPr>
      <w:r/>
    </w:p>
    <w:p>
      <w:pPr>
        <w:pStyle w:val="Code"/>
        <w:spacing w:after="0"/>
      </w:pPr>
      <w:r>
        <w:t>type Query {</w:t>
      </w:r>
    </w:p>
    <w:p>
      <w:pPr>
        <w:pStyle w:val="Code"/>
        <w:spacing w:after="0"/>
      </w:pPr>
      <w:r>
        <w:t xml:space="preserve">  account(id: ID!): Account</w:t>
      </w:r>
    </w:p>
    <w:p>
      <w:pPr>
        <w:pStyle w:val="Code"/>
        <w:spacing w:after="0"/>
      </w:pPr>
      <w:r>
        <w:t xml:space="preserve">  accounts(filter: AccountFilter): [Account!]!</w:t>
      </w:r>
    </w:p>
    <w:p>
      <w:pPr>
        <w:pStyle w:val="Code"/>
        <w:spacing w:after="0"/>
      </w:pPr>
      <w:r>
        <w:t xml:space="preserve">  dataIssues(filter: DataIssueFilter): [DataIssue!]!</w:t>
      </w:r>
    </w:p>
    <w:p>
      <w:pPr>
        <w:pStyle w:val="Code"/>
        <w:spacing w:after="0"/>
      </w:pPr>
      <w:r>
        <w:t>}</w:t>
      </w:r>
    </w:p>
    <w:p>
      <w:pPr>
        <w:pStyle w:val="Heading1"/>
      </w:pPr>
      <w:r>
        <w:t>5. Query Patterns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Client Question</w:t>
            </w:r>
          </w:p>
        </w:tc>
        <w:tc>
          <w:tcPr>
            <w:tcW w:type="dxa" w:w="2520"/>
            <w:vAlign w:val="center"/>
          </w:tcPr>
          <w:p>
            <w:r>
              <w:t>Agent Resolution</w:t>
            </w:r>
          </w:p>
        </w:tc>
        <w:tc>
          <w:tcPr>
            <w:tcW w:type="dxa" w:w="2520"/>
            <w:vAlign w:val="center"/>
          </w:tcPr>
          <w:p>
            <w:r>
              <w:t>GraphQL / Tool Action</w:t>
            </w:r>
          </w:p>
        </w:tc>
        <w:tc>
          <w:tcPr>
            <w:tcW w:type="dxa" w:w="2520"/>
            <w:vAlign w:val="center"/>
          </w:tcPr>
          <w:p>
            <w:r>
              <w:t>Likely Source</w:t>
            </w:r>
          </w:p>
        </w:tc>
      </w:tr>
      <w:tr>
        <w:tc>
          <w:tcPr>
            <w:tcW w:type="dxa" w:w="2520"/>
            <w:vAlign w:val="top"/>
          </w:tcPr>
          <w:p>
            <w:r>
              <w:t>What accounts are currently not listed with fee splits?</w:t>
            </w:r>
          </w:p>
        </w:tc>
        <w:tc>
          <w:tcPr>
            <w:tcW w:type="dxa" w:w="2520"/>
            <w:vAlign w:val="top"/>
          </w:tcPr>
          <w:p>
            <w:r>
              <w:t>Intent: missing fee split; status: active</w:t>
            </w:r>
          </w:p>
        </w:tc>
        <w:tc>
          <w:tcPr>
            <w:tcW w:type="dxa" w:w="2520"/>
            <w:vAlign w:val="top"/>
          </w:tcPr>
          <w:p>
            <w:r>
              <w:t>accounts(filter: {status: ACTIVE, hasFeeSplit: false})</w:t>
            </w:r>
          </w:p>
        </w:tc>
        <w:tc>
          <w:tcPr>
            <w:tcW w:type="dxa" w:w="2520"/>
            <w:vAlign w:val="top"/>
          </w:tcPr>
          <w:p>
            <w:r>
              <w:t>JSON / operational</w:t>
            </w:r>
          </w:p>
        </w:tc>
      </w:tr>
      <w:tr>
        <w:tc>
          <w:tcPr>
            <w:tcW w:type="dxa" w:w="2520"/>
            <w:vAlign w:val="top"/>
          </w:tcPr>
          <w:p>
            <w:r>
              <w:t>Tell me about the QTD performance of the Henderson account.</w:t>
            </w:r>
          </w:p>
        </w:tc>
        <w:tc>
          <w:tcPr>
            <w:tcW w:type="dxa" w:w="2520"/>
            <w:vAlign w:val="top"/>
          </w:tcPr>
          <w:p>
            <w:r>
              <w:t>Resolve “Henderson” → canonical account ID</w:t>
            </w:r>
          </w:p>
        </w:tc>
        <w:tc>
          <w:tcPr>
            <w:tcW w:type="dxa" w:w="2520"/>
            <w:vAlign w:val="top"/>
          </w:tcPr>
          <w:p>
            <w:r>
              <w:t>account(id) → performance(period: QTD)</w:t>
            </w:r>
          </w:p>
        </w:tc>
        <w:tc>
          <w:tcPr>
            <w:tcW w:type="dxa" w:w="2520"/>
            <w:vAlign w:val="top"/>
          </w:tcPr>
          <w:p>
            <w:r>
              <w:t>Parquet / performance</w:t>
            </w:r>
          </w:p>
        </w:tc>
      </w:tr>
      <w:tr>
        <w:tc>
          <w:tcPr>
            <w:tcW w:type="dxa" w:w="2520"/>
            <w:vAlign w:val="top"/>
          </w:tcPr>
          <w:p>
            <w:r>
              <w:t>Who is the advisor on the Smith account?</w:t>
            </w:r>
          </w:p>
        </w:tc>
        <w:tc>
          <w:tcPr>
            <w:tcW w:type="dxa" w:w="2520"/>
            <w:vAlign w:val="top"/>
          </w:tcPr>
          <w:p>
            <w:r>
              <w:t>Resolve fuzzy account name → account ID</w:t>
            </w:r>
          </w:p>
        </w:tc>
        <w:tc>
          <w:tcPr>
            <w:tcW w:type="dxa" w:w="2520"/>
            <w:vAlign w:val="top"/>
          </w:tcPr>
          <w:p>
            <w:r>
              <w:t>account(id) → advisor</w:t>
            </w:r>
          </w:p>
        </w:tc>
        <w:tc>
          <w:tcPr>
            <w:tcW w:type="dxa" w:w="2520"/>
            <w:vAlign w:val="top"/>
          </w:tcPr>
          <w:p>
            <w:r>
              <w:t>JSON / operational</w:t>
            </w:r>
          </w:p>
        </w:tc>
      </w:tr>
    </w:tbl>
    <w:p>
      <w:pPr>
        <w:pStyle w:val="Heading1"/>
      </w:pPr>
      <w:r>
        <w:t>6. Entity Resolution Layer</w:t>
      </w:r>
    </w:p>
    <w:p>
      <w:r>
        <w:t>GraphQL should generally receive canonical IDs rather than perform fuzzy matching itself. The agent first calls an entity-resolution capability that uses normalized names, aliases, account numbers, household/advisor relationships, and lexical similarity.</w:t>
      </w:r>
    </w:p>
    <w:p>
      <w:pPr>
        <w:pStyle w:val="Code"/>
        <w:spacing w:after="0"/>
      </w:pPr>
      <w:r>
        <w:t>"hendrson acct"</w:t>
      </w:r>
    </w:p>
    <w:p>
      <w:pPr>
        <w:pStyle w:val="Code"/>
        <w:spacing w:after="0"/>
      </w:pPr>
      <w:r>
        <w:t>↓  entity resolver</w:t>
      </w:r>
    </w:p>
    <w:p>
      <w:pPr>
        <w:pStyle w:val="Code"/>
        <w:spacing w:after="0"/>
      </w:pPr>
      <w:r>
        <w:t>Henderson Family Trust</w:t>
      </w:r>
    </w:p>
    <w:p>
      <w:pPr>
        <w:pStyle w:val="Code"/>
        <w:spacing w:after="0"/>
      </w:pPr>
      <w:r>
        <w:t>confidence: 0.94</w:t>
      </w:r>
    </w:p>
    <w:p>
      <w:pPr>
        <w:pStyle w:val="Code"/>
        <w:spacing w:after="0"/>
      </w:pPr>
      <w:r>
        <w:t>account_id: 18427</w:t>
      </w:r>
    </w:p>
    <w:p>
      <w:pPr>
        <w:pStyle w:val="Code"/>
        <w:spacing w:after="0"/>
      </w:pPr>
      <w:r>
        <w:t>↓</w:t>
      </w:r>
    </w:p>
    <w:p>
      <w:pPr>
        <w:pStyle w:val="Code"/>
        <w:spacing w:after="0"/>
      </w:pPr>
      <w:r>
        <w:t>GraphQL query using account_id</w:t>
      </w:r>
    </w:p>
    <w:p>
      <w:r>
        <w:t>If multiple candidates are materially plausible, the client agent should ask a disambiguation question rather than execute against an uncertain account.</w:t>
      </w:r>
    </w:p>
    <w:p>
      <w:pPr>
        <w:pStyle w:val="Heading1"/>
      </w:pPr>
      <w:r>
        <w:t>7. Storage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Layer</w:t>
            </w:r>
          </w:p>
        </w:tc>
        <w:tc>
          <w:tcPr>
            <w:tcW w:type="dxa" w:w="3360"/>
          </w:tcPr>
          <w:p>
            <w:r>
              <w:t>Best Suited Data</w:t>
            </w:r>
          </w:p>
        </w:tc>
        <w:tc>
          <w:tcPr>
            <w:tcW w:type="dxa" w:w="3360"/>
          </w:tcPr>
          <w:p>
            <w:r>
              <w:t>Purpose</w:t>
            </w:r>
          </w:p>
        </w:tc>
      </w:tr>
      <w:tr>
        <w:tc>
          <w:tcPr>
            <w:tcW w:type="dxa" w:w="3360"/>
          </w:tcPr>
          <w:p>
            <w:r>
              <w:t>JSON / operational</w:t>
            </w:r>
          </w:p>
        </w:tc>
        <w:tc>
          <w:tcPr>
            <w:tcW w:type="dxa" w:w="3360"/>
          </w:tcPr>
          <w:p>
            <w:r>
              <w:t>Account master, current attributes, fee arrangements, advisor/strategy mappings, status</w:t>
            </w:r>
          </w:p>
        </w:tc>
        <w:tc>
          <w:tcPr>
            <w:tcW w:type="dxa" w:w="3360"/>
          </w:tcPr>
          <w:p>
            <w:r>
              <w:t>Fast entity retrieval and simple filtering</w:t>
            </w:r>
          </w:p>
        </w:tc>
      </w:tr>
      <w:tr>
        <w:tc>
          <w:tcPr>
            <w:tcW w:type="dxa" w:w="3360"/>
          </w:tcPr>
          <w:p>
            <w:r>
              <w:t>Parquet</w:t>
            </w:r>
          </w:p>
        </w:tc>
        <w:tc>
          <w:tcPr>
            <w:tcW w:type="dxa" w:w="3360"/>
          </w:tcPr>
          <w:p>
            <w:r>
              <w:t>Performance history, holdings history, transactions, exposures, benchmark/security history</w:t>
            </w:r>
          </w:p>
        </w:tc>
        <w:tc>
          <w:tcPr>
            <w:tcW w:type="dxa" w:w="3360"/>
          </w:tcPr>
          <w:p>
            <w:r>
              <w:t>Columnar analytical storage and efficient historical queries</w:t>
            </w:r>
          </w:p>
        </w:tc>
      </w:tr>
      <w:tr>
        <w:tc>
          <w:tcPr>
            <w:tcW w:type="dxa" w:w="3360"/>
          </w:tcPr>
          <w:p>
            <w:r>
              <w:t>GraphQL</w:t>
            </w:r>
          </w:p>
        </w:tc>
        <w:tc>
          <w:tcPr>
            <w:tcW w:type="dxa" w:w="3360"/>
          </w:tcPr>
          <w:p>
            <w:r>
              <w:t>Typed business objects assembled from either source</w:t>
            </w:r>
          </w:p>
        </w:tc>
        <w:tc>
          <w:tcPr>
            <w:tcW w:type="dxa" w:w="3360"/>
          </w:tcPr>
          <w:p>
            <w:r>
              <w:t>Stable client-facing semantic contract</w:t>
            </w:r>
          </w:p>
        </w:tc>
      </w:tr>
      <w:tr>
        <w:tc>
          <w:tcPr>
            <w:tcW w:type="dxa" w:w="3360"/>
          </w:tcPr>
          <w:p>
            <w:r>
              <w:t>SQL</w:t>
            </w:r>
          </w:p>
        </w:tc>
        <w:tc>
          <w:tcPr>
            <w:tcW w:type="dxa" w:w="3360"/>
          </w:tcPr>
          <w:p>
            <w:r>
              <w:t>Primarily Parquet-backed data</w:t>
            </w:r>
          </w:p>
        </w:tc>
        <w:tc>
          <w:tcPr>
            <w:tcW w:type="dxa" w:w="3360"/>
          </w:tcPr>
          <w:p>
            <w:r>
              <w:t>Internal ad hoc and advanced analytical access</w:t>
            </w:r>
          </w:p>
        </w:tc>
      </w:tr>
    </w:tbl>
    <w:p>
      <w:pPr>
        <w:pStyle w:val="Heading1"/>
      </w:pPr>
      <w:r>
        <w:t>8. Agent-Facing Tool Surface</w:t>
      </w:r>
    </w:p>
    <w:p>
      <w:r>
        <w:t>The client agent does not necessarily need direct freedom to construct arbitrary GraphQL. A smaller business-tool surface can compile to GraphQL internally, reducing hallucinated fields and unsafe or unnecessarily expensive queries.</w:t>
      </w:r>
    </w:p>
    <w:p>
      <w:pPr>
        <w:pStyle w:val="Code"/>
        <w:spacing w:after="0"/>
      </w:pPr>
      <w:r>
        <w:t>find_account(name)</w:t>
      </w:r>
    </w:p>
    <w:p>
      <w:pPr>
        <w:pStyle w:val="Code"/>
        <w:spacing w:after="0"/>
      </w:pPr>
      <w:r>
        <w:t>get_account_details(account_id)</w:t>
      </w:r>
    </w:p>
    <w:p>
      <w:pPr>
        <w:pStyle w:val="Code"/>
        <w:spacing w:after="0"/>
      </w:pPr>
      <w:r>
        <w:t>get_account_performance(account_id, period)</w:t>
      </w:r>
    </w:p>
    <w:p>
      <w:pPr>
        <w:pStyle w:val="Code"/>
        <w:spacing w:after="0"/>
      </w:pPr>
      <w:r>
        <w:t>find_accounts_missing_fee_splits()</w:t>
      </w:r>
    </w:p>
    <w:p>
      <w:pPr>
        <w:pStyle w:val="Code"/>
        <w:spacing w:after="0"/>
      </w:pPr>
      <w:r>
        <w:t>get_account_data_issues(account_id)</w:t>
      </w:r>
    </w:p>
    <w:p>
      <w:pPr>
        <w:pStyle w:val="Heading1"/>
      </w:pPr>
      <w:r>
        <w:t>9. Guardrails</w:t>
      </w:r>
    </w:p>
    <w:p>
      <w:pPr>
        <w:pStyle w:val="ListBullet"/>
      </w:pPr>
      <w:r>
        <w:t>Tenant/client authorization enforced server-side on every resolver; never rely on the model to scope access correctly.</w:t>
      </w:r>
    </w:p>
    <w:p>
      <w:pPr>
        <w:pStyle w:val="ListBullet"/>
      </w:pPr>
      <w:r>
        <w:t>GraphQL query depth, complexity, row-count, execution-time, and scanned-data limits.</w:t>
      </w:r>
    </w:p>
    <w:p>
      <w:pPr>
        <w:pStyle w:val="ListBullet"/>
      </w:pPr>
      <w:r>
        <w:t>Canonical IDs used after fuzzy resolution; ambiguity triggers clarification.</w:t>
      </w:r>
    </w:p>
    <w:p>
      <w:pPr>
        <w:pStyle w:val="ListBullet"/>
      </w:pPr>
      <w:r>
        <w:t>Schema exposes only approved business fields and relationships.</w:t>
      </w:r>
    </w:p>
    <w:p>
      <w:pPr>
        <w:pStyle w:val="ListBullet"/>
      </w:pPr>
      <w:r>
        <w:t>Audit logging records resolved entity, requested operation, user/client identity, and data accessed.</w:t>
      </w:r>
    </w:p>
    <w:p>
      <w:pPr>
        <w:pStyle w:val="ListBullet"/>
      </w:pPr>
      <w:r>
        <w:t>GraphQL remains read-oriented unless explicit, separately governed mutation workflows are introduced.</w:t>
      </w:r>
    </w:p>
    <w:p>
      <w:pPr>
        <w:pStyle w:val="Heading1"/>
      </w:pPr>
      <w:r>
        <w:t>10. Recommended Initial Scope</w:t>
      </w:r>
    </w:p>
    <w:p>
      <w:r>
        <w:t>Start with a narrow schema covering Account, Advisor, Strategy, Custodian, FeeSplit, Performance, Benchmark, and DataIssue. Implement fuzzy account resolution as a separate service/tool. Keep current/master data in the simplest operational representation available, while performance and other historical series remain in Parquet. Expose internal Parquet through SQL independently. This creates the semantic boundary immediately without requiring a wholesale storage migration.</w:t>
      </w:r>
    </w:p>
    <w:p>
      <w:pPr>
        <w:pStyle w:val="Heading1"/>
      </w:pPr>
      <w:r>
        <w:t>11. Core Architectural Principle</w:t>
      </w:r>
    </w:p>
    <w:p>
      <w:r>
        <w:rPr>
          <w:b/>
        </w:rPr>
        <w:t>The client agent should reason about the business schema, not the storage schema. GraphQL provides the stable semantic contract; resolvers decide where the truth lives. SQL remains the internal analytical escape hatch.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