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r>
        <w:rPr>
          <w:rFonts w:ascii="Liberation Sans" w:hAnsi="Liberation Sans"/>
          <w:b/>
          <w:i w:val="0"/>
          <w:color w:val="2B7A78"/>
          <w:sz w:val="21"/>
        </w:rPr>
        <w:t>D11 / C3MATERIALIZE</w:t>
      </w:r>
    </w:p>
    <w:p>
      <w:pPr>
        <w:pStyle w:val="Title"/>
        <w:spacing w:after="160"/>
      </w:pPr>
      <w:r>
        <w:rPr>
          <w:rFonts w:ascii="Liberation Sans" w:hAnsi="Liberation Sans"/>
          <w:b/>
          <w:i w:val="0"/>
          <w:color w:val="17324D"/>
          <w:sz w:val="54"/>
        </w:rPr>
        <w:t>Identity-State</w:t>
        <w:br/>
        <w:t>Coherence Kernel</w:t>
      </w:r>
    </w:p>
    <w:p>
      <w:pPr>
        <w:spacing w:after="520"/>
      </w:pPr>
      <w:r>
        <w:rPr>
          <w:rFonts w:ascii="Liberation Sans" w:hAnsi="Liberation Sans"/>
          <w:b/>
          <w:i w:val="0"/>
          <w:color w:val="2E5D7B"/>
          <w:sz w:val="30"/>
        </w:rPr>
        <w:t>Synthesis and Recommended Implementation Plan</w:t>
      </w:r>
    </w:p>
    <w:p>
      <w:pPr>
        <w:spacing w:before="0" w:after="360"/>
        <w:pBdr>
          <w:bottom w:val="single" w:sz="18" w:space="1" w:color="2B7A78"/>
        </w:pBdr>
      </w:pPr>
    </w:p>
    <w:p>
      <w:pPr>
        <w:spacing w:after="240"/>
      </w:pPr>
      <w:r>
        <w:rPr>
          <w:rFonts w:ascii="Liberation Sans" w:hAnsi="Liberation Sans"/>
          <w:b w:val="0"/>
          <w:i w:val="0"/>
          <w:color w:val="3E4A54"/>
          <w:sz w:val="25"/>
        </w:rPr>
        <w:t>Bridging the Entity Spine, Materializer Topology, Rule 26 Locality, and Graph-Surface Coherence</w:t>
      </w:r>
    </w:p>
    <w:p>
      <w:pPr>
        <w:spacing w:before="800" w:after="100"/>
      </w:pPr>
      <w:r>
        <w:rPr>
          <w:rFonts w:ascii="Liberation Sans" w:hAnsi="Liberation Sans"/>
          <w:b/>
          <w:i w:val="0"/>
          <w:color w:val="2E5D7B"/>
          <w:sz w:val="18"/>
        </w:rPr>
        <w:t>Prepared for</w:t>
      </w:r>
      <w:r>
        <w:rPr>
          <w:rFonts w:ascii="Liberation Sans" w:hAnsi="Liberation Sans"/>
          <w:b/>
          <w:i w:val="0"/>
          <w:color w:val="17324D"/>
          <w:sz w:val="26"/>
        </w:rPr>
        <w:br/>
        <w:t>Andrew Berman</w:t>
      </w:r>
    </w:p>
    <w:p>
      <w:pPr>
        <w:spacing w:after="100"/>
      </w:pPr>
      <w:r>
        <w:rPr>
          <w:rFonts w:ascii="Liberation Sans" w:hAnsi="Liberation Sans"/>
          <w:b/>
          <w:i w:val="0"/>
          <w:color w:val="2E5D7B"/>
          <w:sz w:val="18"/>
        </w:rPr>
        <w:t>Date</w:t>
      </w:r>
      <w:r>
        <w:rPr>
          <w:rFonts w:ascii="Liberation Sans" w:hAnsi="Liberation Sans"/>
          <w:b w:val="0"/>
          <w:i w:val="0"/>
          <w:color w:val="17324D"/>
          <w:sz w:val="22"/>
        </w:rPr>
        <w:br/>
        <w:t>August 27, 2026</w:t>
      </w:r>
    </w:p>
    <w:p>
      <w:pPr>
        <w:spacing w:after="100"/>
      </w:pPr>
      <w:r>
        <w:rPr>
          <w:rFonts w:ascii="Liberation Sans" w:hAnsi="Liberation Sans"/>
          <w:b/>
          <w:i w:val="0"/>
          <w:color w:val="2E5D7B"/>
          <w:sz w:val="18"/>
        </w:rPr>
        <w:t>Document type</w:t>
      </w:r>
      <w:r>
        <w:rPr>
          <w:rFonts w:ascii="Liberation Sans" w:hAnsi="Liberation Sans"/>
          <w:b w:val="0"/>
          <w:i w:val="0"/>
          <w:color w:val="17324D"/>
          <w:sz w:val="22"/>
        </w:rPr>
        <w:br/>
        <w:t>Decision and implementation memorandum</w:t>
      </w:r>
    </w:p>
    <w:p>
      <w:pPr>
        <w:spacing w:before="1200"/>
        <w:jc w:val="left"/>
      </w:pPr>
      <w:r>
        <w:rPr>
          <w:rFonts w:ascii="Liberation Sans" w:hAnsi="Liberation Sans"/>
          <w:b/>
          <w:i w:val="0"/>
          <w:color w:val="2B7A78"/>
          <w:sz w:val="18"/>
        </w:rPr>
        <w:t>Purpose</w:t>
      </w:r>
      <w:r>
        <w:rPr>
          <w:rFonts w:ascii="Liberation Sans" w:hAnsi="Liberation Sans"/>
          <w:b w:val="0"/>
          <w:i w:val="0"/>
          <w:color w:val="3E4A54"/>
          <w:sz w:val="19"/>
        </w:rPr>
        <w:br/>
        <w:t>Consolidate the source architecture, repository-state findings, and CTO-agent dialogue into one actionable operating model for moving from substrate truth to persistent identity.</w:t>
      </w:r>
    </w:p>
    <w:p>
      <w:r>
        <w:rPr>
          <w:rFonts w:ascii="Liberation Sans" w:hAnsi="Liberation Sans"/>
        </w:rPr>
        <w:br w:type="page"/>
      </w:r>
    </w:p>
    <w:p>
      <w:pPr>
        <w:pStyle w:val="Heading1"/>
        <w:keepNext/>
        <w:keepLines/>
      </w:pPr>
      <w:r>
        <w:rPr>
          <w:rFonts w:ascii="Liberation Sans" w:hAnsi="Liberation Sans"/>
        </w:rPr>
        <w:t>Document Map</w:t>
      </w:r>
    </w:p>
    <w:p>
      <w:pPr>
        <w:pStyle w:val="BodyText"/>
        <w:keepLines/>
      </w:pPr>
      <w:r>
        <w:rPr>
          <w:rFonts w:ascii="Liberation Sans" w:hAnsi="Liberation Sans"/>
          <w:b w:val="0"/>
          <w:i w:val="0"/>
        </w:rPr>
        <w:t>This memorandum is organized to distinguish source-supported facts, architectural interpretation, recommended decisions, and executable next steps. It is not a replacement for the governing PRD; it is the proposed synthesis through which the PRD can be amended and ratified.</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792"/>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Section</w:t>
            </w:r>
          </w:p>
        </w:tc>
        <w:tc>
          <w:tcPr>
            <w:tcW w:type="dxa" w:w="2448"/>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Topic</w:t>
            </w:r>
          </w:p>
        </w:tc>
        <w:tc>
          <w:tcPr>
            <w:tcW w:type="dxa" w:w="6192"/>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Purpose</w:t>
            </w:r>
          </w:p>
        </w:tc>
      </w:tr>
      <w:tr>
        <w:trPr>
          <w:cantSplit/>
        </w:trPr>
        <w:tc>
          <w:tcPr>
            <w:tcW w:type="dxa" w:w="79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1</w:t>
            </w:r>
          </w:p>
        </w:tc>
        <w:tc>
          <w:tcPr>
            <w:tcW w:type="dxa" w:w="2448"/>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Executive synthesis</w:t>
            </w:r>
          </w:p>
        </w:tc>
        <w:tc>
          <w:tcPr>
            <w:tcW w:type="dxa" w:w="619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The core conclusion and the decision fork that must be resolved.</w:t>
            </w:r>
          </w:p>
        </w:tc>
      </w:tr>
      <w:tr>
        <w:trPr>
          <w:cantSplit/>
        </w:trPr>
        <w:tc>
          <w:tcPr>
            <w:tcW w:type="dxa" w:w="79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2</w:t>
            </w:r>
          </w:p>
        </w:tc>
        <w:tc>
          <w:tcPr>
            <w:tcW w:type="dxa" w:w="2448"/>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Current estate and gap</w:t>
            </w:r>
          </w:p>
        </w:tc>
        <w:tc>
          <w:tcPr>
            <w:tcW w:type="dxa" w:w="619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What exists, what is missing, and why the present evidence cannot yet carry identity.</w:t>
            </w:r>
          </w:p>
        </w:tc>
      </w:tr>
      <w:tr>
        <w:trPr>
          <w:cantSplit/>
        </w:trPr>
        <w:tc>
          <w:tcPr>
            <w:tcW w:type="dxa" w:w="79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3</w:t>
            </w:r>
          </w:p>
        </w:tc>
        <w:tc>
          <w:tcPr>
            <w:tcW w:type="dxa" w:w="2448"/>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Operating model</w:t>
            </w:r>
          </w:p>
        </w:tc>
        <w:tc>
          <w:tcPr>
            <w:tcW w:type="dxa" w:w="619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How Issues 1, 2, 3A, and 3B should relate and sequence.</w:t>
            </w:r>
          </w:p>
        </w:tc>
      </w:tr>
      <w:tr>
        <w:trPr>
          <w:cantSplit/>
        </w:trPr>
        <w:tc>
          <w:tcPr>
            <w:tcW w:type="dxa" w:w="79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4</w:t>
            </w:r>
          </w:p>
        </w:tc>
        <w:tc>
          <w:tcPr>
            <w:tcW w:type="dxa" w:w="2448"/>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Identity architecture</w:t>
            </w:r>
          </w:p>
        </w:tc>
        <w:tc>
          <w:tcPr>
            <w:tcW w:type="dxa" w:w="619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The universal identity ledger, bindings, fingerprints, versions, and reconciliation.</w:t>
            </w:r>
          </w:p>
        </w:tc>
      </w:tr>
      <w:tr>
        <w:trPr>
          <w:cantSplit/>
        </w:trPr>
        <w:tc>
          <w:tcPr>
            <w:tcW w:type="dxa" w:w="79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5</w:t>
            </w:r>
          </w:p>
        </w:tc>
        <w:tc>
          <w:tcPr>
            <w:tcW w:type="dxa" w:w="2448"/>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State and coherence mechanics</w:t>
            </w:r>
          </w:p>
        </w:tc>
        <w:tc>
          <w:tcPr>
            <w:tcW w:type="dxa" w:w="619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Source frontiers, authority classes, projection pins, locality, and delta.</w:t>
            </w:r>
          </w:p>
        </w:tc>
      </w:tr>
      <w:tr>
        <w:trPr>
          <w:cantSplit/>
        </w:trPr>
        <w:tc>
          <w:tcPr>
            <w:tcW w:type="dxa" w:w="79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6</w:t>
            </w:r>
          </w:p>
        </w:tc>
        <w:tc>
          <w:tcPr>
            <w:tcW w:type="dxa" w:w="2448"/>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Bridges, fusion, and temporal identity</w:t>
            </w:r>
          </w:p>
        </w:tc>
        <w:tc>
          <w:tcPr>
            <w:tcW w:type="dxa" w:w="619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How the 3A contract changes L3 and L4.</w:t>
            </w:r>
          </w:p>
        </w:tc>
      </w:tr>
      <w:tr>
        <w:trPr>
          <w:cantSplit/>
        </w:trPr>
        <w:tc>
          <w:tcPr>
            <w:tcW w:type="dxa" w:w="79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7</w:t>
            </w:r>
          </w:p>
        </w:tc>
        <w:tc>
          <w:tcPr>
            <w:tcW w:type="dxa" w:w="2448"/>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Implementation program</w:t>
            </w:r>
          </w:p>
        </w:tc>
        <w:tc>
          <w:tcPr>
            <w:tcW w:type="dxa" w:w="619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Ordered work plan, deliverables, owners, and acceptance gates.</w:t>
            </w:r>
          </w:p>
        </w:tc>
      </w:tr>
      <w:tr>
        <w:trPr>
          <w:cantSplit/>
        </w:trPr>
        <w:tc>
          <w:tcPr>
            <w:tcW w:type="dxa" w:w="79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8</w:t>
            </w:r>
          </w:p>
        </w:tc>
        <w:tc>
          <w:tcPr>
            <w:tcW w:type="dxa" w:w="2448"/>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Copy-ready ruling</w:t>
            </w:r>
          </w:p>
        </w:tc>
        <w:tc>
          <w:tcPr>
            <w:tcW w:type="dxa" w:w="619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A directive suitable for issuing directly to the CTO agent.</w:t>
            </w:r>
          </w:p>
        </w:tc>
      </w:tr>
      <w:tr>
        <w:trPr>
          <w:cantSplit/>
        </w:trPr>
        <w:tc>
          <w:tcPr>
            <w:tcW w:type="dxa" w:w="79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A-C</w:t>
            </w:r>
          </w:p>
        </w:tc>
        <w:tc>
          <w:tcPr>
            <w:tcW w:type="dxa" w:w="2448"/>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Appendices</w:t>
            </w:r>
          </w:p>
        </w:tc>
        <w:tc>
          <w:tcPr>
            <w:tcW w:type="dxa" w:w="619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Core contracts, state taxonomies, evidence anchors, and source register.</w:t>
            </w:r>
          </w:p>
        </w:tc>
      </w:tr>
    </w:tbl>
    <w:p>
      <w:pPr>
        <w:spacing w:after="0"/>
      </w:pPr>
    </w:p>
    <w:tbl>
      <w:tblPr>
        <w:tblW w:type="auto" w:w="0"/>
        <w:jc w:val="center"/>
        <w:tblLayout w:type="fixed"/>
        <w:tblLook w:firstColumn="1" w:firstRow="1" w:lastColumn="0" w:lastRow="0" w:noHBand="0" w:noVBand="1" w:val="04A0"/>
      </w:tblPr>
      <w:tblGrid>
        <w:gridCol w:w="9994"/>
      </w:tblGrid>
      <w:tr>
        <w:trPr>
          <w:cantSplit/>
        </w:trPr>
        <w:tc>
          <w:tcPr>
            <w:tcW w:type="dxa" w:w="9576"/>
            <w:shd w:fill="F3F5F7"/>
            <w:tcBorders>
              <w:top w:val="single" w:sz="4" w:color="F3F5F7"/>
              <w:left w:val="single" w:sz="18" w:color="3E4A54"/>
              <w:bottom w:val="single" w:sz="4" w:color="F3F5F7"/>
              <w:right w:val="single" w:sz="4" w:color="F3F5F7"/>
            </w:tcBorders>
            <w:tcMar>
              <w:top w:w="150" w:type="dxa"/>
              <w:start w:w="180" w:type="dxa"/>
              <w:bottom w:w="145" w:type="dxa"/>
              <w:end w:w="180" w:type="dxa"/>
            </w:tcMar>
          </w:tcPr>
          <w:p>
            <w:pPr>
              <w:spacing w:after="80"/>
            </w:pPr>
            <w:r>
              <w:rPr>
                <w:rFonts w:ascii="Liberation Sans" w:hAnsi="Liberation Sans"/>
                <w:b/>
                <w:i w:val="0"/>
                <w:color w:val="3E4A54"/>
                <w:sz w:val="21"/>
              </w:rPr>
              <w:t>Reading convention</w:t>
            </w:r>
          </w:p>
          <w:p>
            <w:pPr>
              <w:spacing w:after="0"/>
            </w:pPr>
            <w:r>
              <w:rPr>
                <w:rFonts w:ascii="Liberation Sans" w:hAnsi="Liberation Sans"/>
                <w:b w:val="0"/>
                <w:i w:val="0"/>
                <w:color w:val="111111"/>
                <w:sz w:val="19"/>
              </w:rPr>
              <w:t>Statements labeled “Source-supported” summarize the supplied documents. Statements labeled “Recommendation” or “Interpretation” are the synthesis proposed in this memorandum. Where the source architecture remains unproven or draft, that status is preserved rather than silently resolved.</w:t>
            </w:r>
          </w:p>
        </w:tc>
      </w:tr>
    </w:tbl>
    <w:p>
      <w:pPr>
        <w:spacing w:after="0"/>
      </w:pPr>
    </w:p>
    <w:p>
      <w:pPr>
        <w:pStyle w:val="Heading1"/>
        <w:keepNext/>
        <w:keepLines/>
        <w:pageBreakBefore/>
      </w:pPr>
      <w:r>
        <w:rPr>
          <w:rFonts w:ascii="Liberation Sans" w:hAnsi="Liberation Sans"/>
        </w:rPr>
        <w:t>1. Executive Synthesis</w:t>
      </w:r>
    </w:p>
    <w:tbl>
      <w:tblPr>
        <w:tblW w:type="auto" w:w="0"/>
        <w:jc w:val="center"/>
        <w:tblLayout w:type="fixed"/>
        <w:tblLook w:firstColumn="1" w:firstRow="1" w:lastColumn="0" w:lastRow="0" w:noHBand="0" w:noVBand="1" w:val="04A0"/>
      </w:tblPr>
      <w:tblGrid>
        <w:gridCol w:w="9994"/>
      </w:tblGrid>
      <w:tr>
        <w:trPr>
          <w:cantSplit/>
        </w:trPr>
        <w:tc>
          <w:tcPr>
            <w:tcW w:type="dxa" w:w="9576"/>
            <w:shd w:fill="E7F2F2"/>
            <w:tcBorders>
              <w:top w:val="single" w:sz="4" w:color="E7F2F2"/>
              <w:left w:val="single" w:sz="18" w:color="2B7A78"/>
              <w:bottom w:val="single" w:sz="4" w:color="E7F2F2"/>
              <w:right w:val="single" w:sz="4" w:color="E7F2F2"/>
            </w:tcBorders>
            <w:tcMar>
              <w:top w:w="150" w:type="dxa"/>
              <w:start w:w="180" w:type="dxa"/>
              <w:bottom w:w="145" w:type="dxa"/>
              <w:end w:w="180" w:type="dxa"/>
            </w:tcMar>
          </w:tcPr>
          <w:p>
            <w:pPr>
              <w:spacing w:after="80"/>
            </w:pPr>
            <w:r>
              <w:rPr>
                <w:rFonts w:ascii="Liberation Sans" w:hAnsi="Liberation Sans"/>
                <w:b/>
                <w:i w:val="0"/>
                <w:color w:val="2B7A78"/>
                <w:sz w:val="21"/>
              </w:rPr>
              <w:t>Central conclusion</w:t>
            </w:r>
          </w:p>
          <w:p>
            <w:pPr>
              <w:spacing w:after="0"/>
            </w:pPr>
            <w:r>
              <w:rPr>
                <w:rFonts w:ascii="Liberation Sans" w:hAnsi="Liberation Sans"/>
                <w:b w:val="0"/>
                <w:i w:val="0"/>
                <w:color w:val="111111"/>
                <w:sz w:val="19"/>
              </w:rPr>
              <w:t>The missing foundation is not a universal hash that collapses all substrate keys into one identifier. It is a universal identity-and-state contract that lets heterogeneous entities retain durable identity while their bindings, observed state, implementations, projections, and locations change.</w:t>
            </w:r>
          </w:p>
        </w:tc>
      </w:tr>
    </w:tbl>
    <w:p>
      <w:pPr>
        <w:spacing w:after="0"/>
      </w:pPr>
    </w:p>
    <w:p>
      <w:pPr>
        <w:pStyle w:val="BodyText"/>
        <w:keepLines/>
      </w:pPr>
      <w:r>
        <w:rPr>
          <w:rFonts w:ascii="Liberation Sans" w:hAnsi="Liberation Sans"/>
          <w:b w:val="0"/>
          <w:i w:val="0"/>
        </w:rPr>
        <w:t>The source documents and CTO-agent dialogue converge on the same failure class at multiple altitudes: identity is repeatedly derived from something mutable. System identity is hashed from a renameable anchor; cross-plane roll-ups are recovered by parsing strings; L0 parts are keyed by free text or inherit identity from the subject they describe. Each mechanism can resolve cleanly while changing meaning underneath the system. The correct response is to stop deriving enduring identity and begin minting it once, then track everything mutable as a relation or observation.</w:t>
      </w:r>
    </w:p>
    <w:p>
      <w:pPr>
        <w:spacing w:before="40" w:after="100"/>
      </w:pPr>
      <w:r>
        <w:rPr>
          <w:rFonts w:ascii="Liberation Sans" w:hAnsi="Liberation Sans"/>
          <w:b w:val="0"/>
          <w:i/>
          <w:color w:val="65727D"/>
          <w:sz w:val="16"/>
        </w:rPr>
        <w:t>Source support: CTO-agent dialogue, lines 9–26 and 63–79; Layer Architecture §§0, 3, and 6; Entity Spine §§2–4; Repo State §§1–4.</w:t>
      </w:r>
    </w:p>
    <w:tbl>
      <w:tblPr>
        <w:tblW w:type="auto" w:w="0"/>
        <w:jc w:val="center"/>
        <w:tblLayout w:type="fixed"/>
        <w:tblLook w:firstColumn="1" w:firstRow="1" w:lastColumn="0" w:lastRow="0" w:noHBand="0" w:noVBand="1" w:val="04A0"/>
      </w:tblPr>
      <w:tblGrid>
        <w:gridCol w:w="9994"/>
      </w:tblGrid>
      <w:tr>
        <w:trPr>
          <w:cantSplit/>
        </w:trPr>
        <w:tc>
          <w:tcPr>
            <w:tcW w:type="dxa" w:w="9432"/>
            <w:shd w:fill="F7F8FA"/>
            <w:tcBorders>
              <w:top w:val="single" w:sz="4" w:color="D5DCE3"/>
              <w:left w:val="single" w:sz="4" w:color="D5DCE3"/>
              <w:bottom w:val="single" w:sz="4" w:color="D5DCE3"/>
              <w:right w:val="single" w:sz="4" w:color="D5DCE3"/>
            </w:tcBorders>
            <w:tcMar>
              <w:top w:w="120" w:type="dxa"/>
              <w:start w:w="155" w:type="dxa"/>
              <w:bottom w:w="120" w:type="dxa"/>
              <w:end w:w="155" w:type="dxa"/>
            </w:tcMar>
          </w:tcPr>
          <w:p>
            <w:pPr>
              <w:spacing w:after="0" w:line="240" w:lineRule="auto"/>
            </w:pPr>
            <w:r>
              <w:rPr>
                <w:rFonts w:ascii="Liberation Mono" w:hAnsi="Liberation Mono"/>
                <w:b w:val="0"/>
                <w:i w:val="0"/>
                <w:color w:val="25313B"/>
                <w:sz w:val="17"/>
              </w:rPr>
              <w:t>SERIAL        = durable identity, minted once</w:t>
              <w:br/>
              <w:t>BINDINGS      = where that identity is referenced in a substrate space</w:t>
              <w:br/>
              <w:t>FINGERPRINTS  = what state was observed, with method and normalization</w:t>
              <w:br/>
              <w:t>VERSIONS      = immutable representations or implementation bundles</w:t>
              <w:br/>
              <w:t>SUCCESSION    = how identity persists, splits, merges, or retires over time</w:t>
            </w:r>
          </w:p>
        </w:tc>
      </w:tr>
    </w:tbl>
    <w:p>
      <w:pPr>
        <w:spacing w:after="0"/>
      </w:pPr>
    </w:p>
    <w:p>
      <w:pPr>
        <w:pStyle w:val="BodyText"/>
        <w:keepLines/>
      </w:pPr>
      <w:r>
        <w:rPr>
          <w:rFonts w:ascii="Liberation Sans" w:hAnsi="Liberation Sans"/>
          <w:b w:val="0"/>
          <w:i w:val="0"/>
        </w:rPr>
        <w:t>Issue 3 is therefore the integration kernel for the existing two-track program. It is not merely a third parallel workstream. Issue 3A defines the shared identity-state contract before the spine, materializer topology, L0 migration, and bridge registry harden around incompatible identifiers. Issue 3B then evaluates whether observed state, authoritative graph versions, materializer versions, and device-local projections remain coherently connected.</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Workstream</w:t>
            </w:r>
          </w:p>
        </w:tc>
        <w:tc>
          <w:tcPr>
            <w:tcW w:type="dxa" w:w="3672"/>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Question</w:t>
            </w:r>
          </w:p>
        </w:tc>
        <w:tc>
          <w:tcPr>
            <w:tcW w:type="dxa" w:w="3816"/>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Primary output</w:t>
            </w:r>
          </w:p>
        </w:tc>
      </w:tr>
      <w:tr>
        <w:trPr>
          <w:cantSplit/>
        </w:trPr>
        <w:tc>
          <w:tcPr>
            <w:tcW w:type="dxa" w:w="2016"/>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Issue 1 — Entity Spine</w:t>
            </w:r>
          </w:p>
        </w:tc>
        <w:tc>
          <w:tcPr>
            <w:tcW w:type="dxa" w:w="367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Who or what is this, at what grain, and how does its identity persist?</w:t>
            </w:r>
          </w:p>
        </w:tc>
        <w:tc>
          <w:tcPr>
            <w:tcW w:type="dxa" w:w="3816"/>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Resolvers, bindings, continuity policies, and cross-plane entity relations.</w:t>
            </w:r>
          </w:p>
        </w:tc>
      </w:tr>
      <w:tr>
        <w:trPr>
          <w:cantSplit/>
        </w:trPr>
        <w:tc>
          <w:tcPr>
            <w:tcW w:type="dxa" w:w="2016"/>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Issue 2 — Materializer Topology</w:t>
            </w:r>
          </w:p>
        </w:tc>
        <w:tc>
          <w:tcPr>
            <w:tcW w:type="dxa" w:w="367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Which process produced which surface from which inputs and opinions?</w:t>
            </w:r>
          </w:p>
        </w:tc>
        <w:tc>
          <w:tcPr>
            <w:tcW w:type="dxa" w:w="3816"/>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Materializer identities, versions, run receipts, and many-to-many production relations.</w:t>
            </w:r>
          </w:p>
        </w:tc>
      </w:tr>
      <w:tr>
        <w:trPr>
          <w:cantSplit/>
        </w:trPr>
        <w:tc>
          <w:tcPr>
            <w:tcW w:type="dxa" w:w="2016"/>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Issue 3A — Identity-State Contract</w:t>
            </w:r>
          </w:p>
        </w:tc>
        <w:tc>
          <w:tcPr>
            <w:tcW w:type="dxa" w:w="367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What universal record types let Issues 1 and 2 speak the same language?</w:t>
            </w:r>
          </w:p>
        </w:tc>
        <w:tc>
          <w:tcPr>
            <w:tcW w:type="dxa" w:w="3816"/>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Entity, binding, observation, version, run, frontier, and succession schemas.</w:t>
            </w:r>
          </w:p>
        </w:tc>
      </w:tr>
      <w:tr>
        <w:trPr>
          <w:cantSplit/>
        </w:trPr>
        <w:tc>
          <w:tcPr>
            <w:tcW w:type="dxa" w:w="2016"/>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Issue 3B — Coherence Mechanics</w:t>
            </w:r>
          </w:p>
        </w:tc>
        <w:tc>
          <w:tcPr>
            <w:tcW w:type="dxa" w:w="367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Are the current observations, authorities, and projections aligned to their declared targets?</w:t>
            </w:r>
          </w:p>
        </w:tc>
        <w:tc>
          <w:tcPr>
            <w:tcW w:type="dxa" w:w="3816"/>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Coherence evaluations, projection pins, and explicit deltas.</w:t>
            </w:r>
          </w:p>
        </w:tc>
      </w:tr>
    </w:tbl>
    <w:p>
      <w:pPr>
        <w:spacing w:after="0"/>
      </w:pPr>
    </w:p>
    <w:p>
      <w:pPr>
        <w:pStyle w:val="Heading2"/>
        <w:keepNext/>
        <w:keepLines/>
      </w:pPr>
      <w:r>
        <w:rPr>
          <w:rFonts w:ascii="Liberation Sans" w:hAnsi="Liberation Sans"/>
        </w:rPr>
        <w:t>1.1 Decisions recommended for ratification</w:t>
      </w:r>
    </w:p>
    <w:p>
      <w:pPr>
        <w:pStyle w:val="ListBullet"/>
        <w:keepLines/>
      </w:pPr>
      <w:r>
        <w:rPr>
          <w:rFonts w:ascii="Liberation Sans" w:hAnsi="Liberation Sans"/>
          <w:b w:val="0"/>
          <w:i w:val="0"/>
        </w:rPr>
        <w:t>Use opaque minted serials for enduring mutable entities and logical processes.</w:t>
      </w:r>
    </w:p>
    <w:p>
      <w:pPr>
        <w:pStyle w:val="ListBullet"/>
        <w:keepLines/>
      </w:pPr>
      <w:r>
        <w:rPr>
          <w:rFonts w:ascii="Liberation Sans" w:hAnsi="Liberation Sans"/>
          <w:b w:val="0"/>
          <w:i w:val="0"/>
        </w:rPr>
        <w:t>Use hashes for immutable observations, versions, execution bundles, and change-detection evidence—not as the identity of an enduring mutable entity.</w:t>
      </w:r>
    </w:p>
    <w:p>
      <w:pPr>
        <w:pStyle w:val="ListBullet"/>
        <w:keepLines/>
      </w:pPr>
      <w:r>
        <w:rPr>
          <w:rFonts w:ascii="Liberation Sans" w:hAnsi="Liberation Sans"/>
          <w:b w:val="0"/>
          <w:i w:val="0"/>
        </w:rPr>
        <w:t>Treat the L0 part registry as a typed projection of one general identity ledger, not as a separate identity system.</w:t>
      </w:r>
    </w:p>
    <w:p>
      <w:pPr>
        <w:pStyle w:val="ListBullet"/>
        <w:keepLines/>
      </w:pPr>
      <w:r>
        <w:rPr>
          <w:rFonts w:ascii="Liberation Sans" w:hAnsi="Liberation Sans"/>
          <w:b w:val="0"/>
          <w:i w:val="0"/>
        </w:rPr>
        <w:t>Distinguish logical surfaces from their physical device or fabric instances.</w:t>
      </w:r>
    </w:p>
    <w:p>
      <w:pPr>
        <w:pStyle w:val="ListBullet"/>
        <w:keepLines/>
      </w:pPr>
      <w:r>
        <w:rPr>
          <w:rFonts w:ascii="Liberation Sans" w:hAnsi="Liberation Sans"/>
          <w:b w:val="0"/>
          <w:i w:val="0"/>
        </w:rPr>
        <w:t>Define C0 as source-addressable entity claims, binding claims, and state observations—not as persistent identity itself.</w:t>
      </w:r>
    </w:p>
    <w:p>
      <w:pPr>
        <w:pStyle w:val="ListBullet"/>
        <w:keepLines/>
      </w:pPr>
      <w:r>
        <w:rPr>
          <w:rFonts w:ascii="Liberation Sans" w:hAnsi="Liberation Sans"/>
          <w:b w:val="0"/>
          <w:i w:val="0"/>
        </w:rPr>
        <w:t>Require every entity class to declare its continuity policy; do not force all entities through fused-signature matching.</w:t>
      </w:r>
    </w:p>
    <w:p>
      <w:pPr>
        <w:pStyle w:val="ListBullet"/>
        <w:keepLines/>
      </w:pPr>
      <w:r>
        <w:rPr>
          <w:rFonts w:ascii="Liberation Sans" w:hAnsi="Liberation Sans"/>
          <w:b w:val="0"/>
          <w:i w:val="0"/>
        </w:rPr>
        <w:t>Make graph membership cover-capable, even if an initial algorithm emits one primary membership.</w:t>
      </w:r>
    </w:p>
    <w:p>
      <w:pPr>
        <w:pStyle w:val="ListBullet"/>
        <w:keepLines/>
      </w:pPr>
      <w:r>
        <w:rPr>
          <w:rFonts w:ascii="Liberation Sans" w:hAnsi="Liberation Sans"/>
          <w:b w:val="0"/>
          <w:i w:val="0"/>
        </w:rPr>
        <w:t>Treat fused signatures as recognition evidence for L4 succession, not as identity itself.</w:t>
      </w:r>
    </w:p>
    <w:p>
      <w:pPr>
        <w:pStyle w:val="ListBullet"/>
        <w:keepLines/>
      </w:pPr>
      <w:r>
        <w:rPr>
          <w:rFonts w:ascii="Liberation Sans" w:hAnsi="Liberation Sans"/>
          <w:b w:val="0"/>
          <w:i w:val="0"/>
        </w:rPr>
        <w:t>Land Issue 3A before populating the 56 bridge cells with production assertions.</w:t>
      </w:r>
    </w:p>
    <w:p>
      <w:pPr>
        <w:pStyle w:val="Heading2"/>
        <w:keepNext/>
        <w:keepLines/>
      </w:pPr>
      <w:r>
        <w:rPr>
          <w:rFonts w:ascii="Liberation Sans" w:hAnsi="Liberation Sans"/>
        </w:rPr>
        <w:t>1.2 Immediate critical path</w:t>
      </w:r>
    </w:p>
    <w:p>
      <w:pPr>
        <w:pStyle w:val="BodyText"/>
        <w:spacing w:after="52"/>
        <w:ind w:left="360" w:hanging="360"/>
        <w:keepLines/>
      </w:pPr>
      <w:r>
        <w:rPr>
          <w:rFonts w:ascii="Liberation Sans" w:hAnsi="Liberation Sans"/>
          <w:b w:val="0"/>
          <w:i w:val="0"/>
        </w:rPr>
        <w:t>1.</w:t>
      </w:r>
      <w:r>
        <w:rPr>
          <w:rFonts w:ascii="Liberation Sans" w:hAnsi="Liberation Sans"/>
          <w:b w:val="0"/>
          <w:i w:val="0"/>
        </w:rPr>
        <w:tab/>
        <w:t>Preserve and authenticate the current evidence estate and its producers.</w:t>
      </w:r>
    </w:p>
    <w:p>
      <w:pPr>
        <w:pStyle w:val="BodyText"/>
        <w:spacing w:after="52"/>
        <w:ind w:left="360" w:hanging="360"/>
        <w:keepLines/>
      </w:pPr>
      <w:r>
        <w:rPr>
          <w:rFonts w:ascii="Liberation Sans" w:hAnsi="Liberation Sans"/>
          <w:b w:val="0"/>
          <w:i w:val="0"/>
        </w:rPr>
        <w:t>2.</w:t>
      </w:r>
      <w:r>
        <w:rPr>
          <w:rFonts w:ascii="Liberation Sans" w:hAnsi="Liberation Sans"/>
          <w:b w:val="0"/>
          <w:i w:val="0"/>
        </w:rPr>
        <w:tab/>
        <w:t>Amend and ratify the PRD around the identity-state distinctions in this memorandum.</w:t>
      </w:r>
    </w:p>
    <w:p>
      <w:pPr>
        <w:pStyle w:val="BodyText"/>
        <w:spacing w:after="52"/>
        <w:ind w:left="360" w:hanging="360"/>
        <w:keepLines/>
      </w:pPr>
      <w:r>
        <w:rPr>
          <w:rFonts w:ascii="Liberation Sans" w:hAnsi="Liberation Sans"/>
          <w:b w:val="0"/>
          <w:i w:val="0"/>
        </w:rPr>
        <w:t>3.</w:t>
      </w:r>
      <w:r>
        <w:rPr>
          <w:rFonts w:ascii="Liberation Sans" w:hAnsi="Liberation Sans"/>
          <w:b w:val="0"/>
          <w:i w:val="0"/>
        </w:rPr>
        <w:tab/>
        <w:t>Land the Issue 3A contract package.</w:t>
      </w:r>
    </w:p>
    <w:p>
      <w:pPr>
        <w:pStyle w:val="BodyText"/>
        <w:spacing w:after="52"/>
        <w:ind w:left="360" w:hanging="360"/>
        <w:keepLines/>
      </w:pPr>
      <w:r>
        <w:rPr>
          <w:rFonts w:ascii="Liberation Sans" w:hAnsi="Liberation Sans"/>
          <w:b w:val="0"/>
          <w:i w:val="0"/>
        </w:rPr>
        <w:t>4.</w:t>
      </w:r>
      <w:r>
        <w:rPr>
          <w:rFonts w:ascii="Liberation Sans" w:hAnsi="Liberation Sans"/>
          <w:b w:val="0"/>
          <w:i w:val="0"/>
        </w:rPr>
        <w:tab/>
        <w:t>Migrate L0 parts and materializers into that contract, including Nessie authority surfaces.</w:t>
      </w:r>
    </w:p>
    <w:p>
      <w:pPr>
        <w:pStyle w:val="BodyText"/>
        <w:spacing w:after="52"/>
        <w:ind w:left="360" w:hanging="360"/>
        <w:keepLines/>
      </w:pPr>
      <w:r>
        <w:rPr>
          <w:rFonts w:ascii="Liberation Sans" w:hAnsi="Liberation Sans"/>
          <w:b w:val="0"/>
          <w:i w:val="0"/>
        </w:rPr>
        <w:t>5.</w:t>
      </w:r>
      <w:r>
        <w:rPr>
          <w:rFonts w:ascii="Liberation Sans" w:hAnsi="Liberation Sans"/>
          <w:b w:val="0"/>
          <w:i w:val="0"/>
        </w:rPr>
        <w:tab/>
        <w:t>Repair resolver failure semantics and populate the first evidence-backed symbol-to-file bridge.</w:t>
      </w:r>
    </w:p>
    <w:p>
      <w:pPr>
        <w:pStyle w:val="BodyText"/>
        <w:spacing w:after="52"/>
        <w:ind w:left="360" w:hanging="360"/>
        <w:keepLines/>
      </w:pPr>
      <w:r>
        <w:rPr>
          <w:rFonts w:ascii="Liberation Sans" w:hAnsi="Liberation Sans"/>
          <w:b w:val="0"/>
          <w:i w:val="0"/>
        </w:rPr>
        <w:t>6.</w:t>
      </w:r>
      <w:r>
        <w:rPr>
          <w:rFonts w:ascii="Liberation Sans" w:hAnsi="Liberation Sans"/>
          <w:b w:val="0"/>
          <w:i w:val="0"/>
        </w:rPr>
        <w:tab/>
        <w:t>Run the first decisive structure-plus-behavior fusion experiment at file grain.</w:t>
      </w:r>
    </w:p>
    <w:p>
      <w:pPr>
        <w:pStyle w:val="BodyText"/>
        <w:spacing w:after="52"/>
        <w:ind w:left="360" w:hanging="360"/>
        <w:keepLines/>
      </w:pPr>
      <w:r>
        <w:rPr>
          <w:rFonts w:ascii="Liberation Sans" w:hAnsi="Liberation Sans"/>
          <w:b w:val="0"/>
          <w:i w:val="0"/>
        </w:rPr>
        <w:t>7.</w:t>
      </w:r>
      <w:r>
        <w:rPr>
          <w:rFonts w:ascii="Liberation Sans" w:hAnsi="Liberation Sans"/>
          <w:b w:val="0"/>
          <w:i w:val="0"/>
        </w:rPr>
        <w:tab/>
        <w:t>Implement Issue 3B coherence evaluation, then begin L4 succession.</w:t>
      </w:r>
    </w:p>
    <w:p>
      <w:pPr>
        <w:pStyle w:val="Heading1"/>
        <w:keepNext/>
        <w:keepLines/>
      </w:pPr>
      <w:r>
        <w:rPr>
          <w:rFonts w:ascii="Liberation Sans" w:hAnsi="Liberation Sans"/>
        </w:rPr>
        <w:t>2. Current Estate, Evidence, and Structural Gap</w:t>
      </w:r>
    </w:p>
    <w:p>
      <w:pPr>
        <w:pStyle w:val="BodyText"/>
        <w:keepLines/>
      </w:pPr>
      <w:r>
        <w:rPr>
          <w:rFonts w:ascii="Liberation Sans" w:hAnsi="Liberation Sans"/>
          <w:b w:val="0"/>
          <w:i w:val="0"/>
        </w:rPr>
        <w:t>The repository has meaningful architecture and measurement, but the current evidence chain is not yet strong enough to mint durable identity. The source materials are explicit about the difference between what is implemented, what is measured, and what remains a thesis.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Layer / area</w:t>
            </w:r>
          </w:p>
        </w:tc>
        <w:tc>
          <w:tcPr>
            <w:tcW w:type="dxa" w:w="3816"/>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Current standing</w:t>
            </w:r>
          </w:p>
        </w:tc>
        <w:tc>
          <w:tcPr>
            <w:tcW w:type="dxa" w:w="4032"/>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Material consequence</w:t>
            </w:r>
          </w:p>
        </w:tc>
      </w:tr>
      <w:tr>
        <w:trPr>
          <w:cantSplit/>
        </w:trPr>
        <w:tc>
          <w:tcPr>
            <w:tcW w:type="dxa" w:w="1656"/>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L0 substrate</w:t>
            </w:r>
          </w:p>
        </w:tc>
        <w:tc>
          <w:tcPr>
            <w:tcW w:type="dxa" w:w="3816"/>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42-part manifest and 73 substrate cards exist. Grain, key, failure-mode, generator currency, and opinion fields are thin.</w:t>
            </w:r>
          </w:p>
        </w:tc>
        <w:tc>
          <w:tcPr>
            <w:tcW w:type="dxa" w:w="403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The floor exists, but the fields L1 and coherence depend on are the least complete.</w:t>
            </w:r>
          </w:p>
        </w:tc>
      </w:tr>
      <w:tr>
        <w:trPr>
          <w:cantSplit/>
        </w:trPr>
        <w:tc>
          <w:tcPr>
            <w:tcW w:type="dxa" w:w="1656"/>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L1 spine</w:t>
            </w:r>
          </w:p>
        </w:tc>
        <w:tc>
          <w:tcPr>
            <w:tcW w:type="dxa" w:w="3816"/>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Four native grains are declared; three of four roll-ups are undeclared and recovered from strings. Coverage is unmeasured on three planes.</w:t>
            </w:r>
          </w:p>
        </w:tc>
        <w:tc>
          <w:tcPr>
            <w:tcW w:type="dxa" w:w="403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The system knows the grains but does not yet have trustworthy bridges.</w:t>
            </w:r>
          </w:p>
        </w:tc>
      </w:tr>
      <w:tr>
        <w:trPr>
          <w:cantSplit/>
        </w:trPr>
        <w:tc>
          <w:tcPr>
            <w:tcW w:type="dxa" w:w="1656"/>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L2 views</w:t>
            </w:r>
          </w:p>
        </w:tc>
        <w:tc>
          <w:tcPr>
            <w:tcW w:type="dxa" w:w="3816"/>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Structure and behavior are computable in principle; the strongest structural producer is not discoverable in the committed estate. Semantic discrimination is suspect.</w:t>
            </w:r>
          </w:p>
        </w:tc>
        <w:tc>
          <w:tcPr>
            <w:tcW w:type="dxa" w:w="403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Inputs to fusion are not yet uniformly reproducible or admissible.</w:t>
            </w:r>
          </w:p>
        </w:tc>
      </w:tr>
      <w:tr>
        <w:trPr>
          <w:cantSplit/>
        </w:trPr>
        <w:tc>
          <w:tcPr>
            <w:tcW w:type="dxa" w:w="1656"/>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L3 fusion</w:t>
            </w:r>
          </w:p>
        </w:tc>
        <w:tc>
          <w:tcPr>
            <w:tcW w:type="dxa" w:w="3816"/>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Bridge work is decomposed, but no admitted bridge registry or fusion implementation exists.</w:t>
            </w:r>
          </w:p>
        </w:tc>
        <w:tc>
          <w:tcPr>
            <w:tcW w:type="dxa" w:w="403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The central fusion thesis cannot yet be tested.</w:t>
            </w:r>
          </w:p>
        </w:tc>
      </w:tr>
      <w:tr>
        <w:trPr>
          <w:cantSplit/>
        </w:trPr>
        <w:tc>
          <w:tcPr>
            <w:tcW w:type="dxa" w:w="1656"/>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L4 identity</w:t>
            </w:r>
          </w:p>
        </w:tc>
        <w:tc>
          <w:tcPr>
            <w:tcW w:type="dxa" w:w="3816"/>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No persistent identity store or succession machine exists.</w:t>
            </w:r>
          </w:p>
        </w:tc>
        <w:tc>
          <w:tcPr>
            <w:tcW w:type="dxa" w:w="403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Nothing should mint system identity until the upstream evidence chain is reproducible.</w:t>
            </w:r>
          </w:p>
        </w:tc>
      </w:tr>
      <w:tr>
        <w:trPr>
          <w:cantSplit/>
        </w:trPr>
        <w:tc>
          <w:tcPr>
            <w:tcW w:type="dxa" w:w="1656"/>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Evidence estate</w:t>
            </w:r>
          </w:p>
        </w:tc>
        <w:tc>
          <w:tcPr>
            <w:tcW w:type="dxa" w:w="3816"/>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Key C2/C3 outputs are untracked and device-local; the run is unstable across seeds.</w:t>
            </w:r>
          </w:p>
        </w:tc>
        <w:tc>
          <w:tcPr>
            <w:tcW w:type="dxa" w:w="403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A clean clone cannot reconstruct the evidence supporting current rulings.</w:t>
            </w:r>
          </w:p>
        </w:tc>
      </w:tr>
      <w:tr>
        <w:trPr>
          <w:cantSplit/>
        </w:trPr>
        <w:tc>
          <w:tcPr>
            <w:tcW w:type="dxa" w:w="1656"/>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Authority and currency</w:t>
            </w:r>
          </w:p>
        </w:tc>
        <w:tc>
          <w:tcPr>
            <w:tcW w:type="dxa" w:w="3816"/>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Nessie catalog surfaces are outside L0; materializer digests are null on 42/42 parts.</w:t>
            </w:r>
          </w:p>
        </w:tc>
        <w:tc>
          <w:tcPr>
            <w:tcW w:type="dxa" w:w="403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The system cannot mechanically prove what “current” means or which implementation produced it.</w:t>
            </w:r>
          </w:p>
        </w:tc>
      </w:tr>
    </w:tbl>
    <w:p>
      <w:pPr>
        <w:spacing w:after="0"/>
      </w:pPr>
    </w:p>
    <w:p>
      <w:pPr>
        <w:pStyle w:val="Heading2"/>
        <w:keepNext/>
        <w:keepLines/>
      </w:pPr>
      <w:r>
        <w:rPr>
          <w:rFonts w:ascii="Liberation Sans" w:hAnsi="Liberation Sans"/>
        </w:rPr>
        <w:t>2.1 The gap is not “we need SNF”</w:t>
      </w:r>
    </w:p>
    <w:p>
      <w:pPr>
        <w:pStyle w:val="BodyText"/>
        <w:keepLines/>
      </w:pPr>
      <w:r>
        <w:rPr>
          <w:rFonts w:ascii="Liberation Sans" w:hAnsi="Liberation Sans"/>
          <w:b w:val="0"/>
          <w:i w:val="0"/>
        </w:rPr>
        <w:t>The hard problem is upstream of the numerical fusion routine. A source reference must first become a canonical entity; entities in different planes must then be related without being falsely equated; and the structures observed at one point in time must later be adjudicated as continuations, reorganizations, or new identities. The current word “bridge” is carrying all three transitions, but they require different contracts and different evidence.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Transition</w:t>
            </w:r>
          </w:p>
        </w:tc>
        <w:tc>
          <w:tcPr>
            <w:tcW w:type="dxa" w:w="3672"/>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Question</w:t>
            </w:r>
          </w:p>
        </w:tc>
        <w:tc>
          <w:tcPr>
            <w:tcW w:type="dxa" w:w="3744"/>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Required record</w:t>
            </w:r>
          </w:p>
        </w:tc>
      </w:tr>
      <w:tr>
        <w:trPr>
          <w:cantSplit/>
        </w:trPr>
        <w:tc>
          <w:tcPr>
            <w:tcW w:type="dxa" w:w="2088"/>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Reference resolution</w:t>
            </w:r>
          </w:p>
        </w:tc>
        <w:tc>
          <w:tcPr>
            <w:tcW w:type="dxa" w:w="367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Which canonical entity does this source-native reference denote?</w:t>
            </w:r>
          </w:p>
        </w:tc>
        <w:tc>
          <w:tcPr>
            <w:tcW w:type="dxa" w:w="3744"/>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Resolution result with substrate availability, candidates, evidence, and confidence.</w:t>
            </w:r>
          </w:p>
        </w:tc>
      </w:tr>
      <w:tr>
        <w:trPr>
          <w:cantSplit/>
        </w:trPr>
        <w:tc>
          <w:tcPr>
            <w:tcW w:type="dxa" w:w="2088"/>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Cross-plane relation</w:t>
            </w:r>
          </w:p>
        </w:tc>
        <w:tc>
          <w:tcPr>
            <w:tcW w:type="dxa" w:w="367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How is an entity in one plane structurally related to an entity in another?</w:t>
            </w:r>
          </w:p>
        </w:tc>
        <w:tc>
          <w:tcPr>
            <w:tcW w:type="dxa" w:w="3744"/>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Typed bridge assertion with endpoint grains, cardinality, provenance, and verification.</w:t>
            </w:r>
          </w:p>
        </w:tc>
      </w:tr>
      <w:tr>
        <w:trPr>
          <w:cantSplit/>
        </w:trPr>
        <w:tc>
          <w:tcPr>
            <w:tcW w:type="dxa" w:w="2088"/>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Temporal continuity</w:t>
            </w:r>
          </w:p>
        </w:tc>
        <w:tc>
          <w:tcPr>
            <w:tcW w:type="dxa" w:w="367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Is a newly observed entity or system version the continuation of a prior identity?</w:t>
            </w:r>
          </w:p>
        </w:tc>
        <w:tc>
          <w:tcPr>
            <w:tcW w:type="dxa" w:w="3744"/>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Succession assertion with continuity evidence and adjudication state.</w:t>
            </w:r>
          </w:p>
        </w:tc>
      </w:tr>
    </w:tbl>
    <w:p>
      <w:pPr>
        <w:spacing w:after="0"/>
      </w:pPr>
    </w:p>
    <w:p>
      <w:pPr>
        <w:pStyle w:val="Heading2"/>
        <w:keepNext/>
        <w:keepLines/>
      </w:pPr>
      <w:r>
        <w:rPr>
          <w:rFonts w:ascii="Liberation Sans" w:hAnsi="Liberation Sans"/>
        </w:rPr>
        <w:t>2.2 What remains explicitly unproven</w:t>
      </w:r>
    </w:p>
    <w:p>
      <w:pPr>
        <w:pStyle w:val="ListBullet"/>
        <w:keepLines/>
      </w:pPr>
      <w:r>
        <w:rPr>
          <w:rFonts w:ascii="Liberation Sans" w:hAnsi="Liberation Sans"/>
          <w:b w:val="0"/>
          <w:i w:val="0"/>
        </w:rPr>
        <w:t>That fusing independent views defeats the degeneracy that makes a single structural run unable to carry identity.</w:t>
      </w:r>
    </w:p>
    <w:p>
      <w:pPr>
        <w:pStyle w:val="ListBullet"/>
        <w:keepLines/>
      </w:pPr>
      <w:r>
        <w:rPr>
          <w:rFonts w:ascii="Liberation Sans" w:hAnsi="Liberation Sans"/>
          <w:b w:val="0"/>
          <w:i w:val="0"/>
        </w:rPr>
        <w:t>That SNF outperforms simpler alternatives on this estate.</w:t>
      </w:r>
    </w:p>
    <w:p>
      <w:pPr>
        <w:pStyle w:val="ListBullet"/>
        <w:keepLines/>
      </w:pPr>
      <w:r>
        <w:rPr>
          <w:rFonts w:ascii="Liberation Sans" w:hAnsi="Liberation Sans"/>
          <w:b w:val="0"/>
          <w:i w:val="0"/>
        </w:rPr>
        <w:t>That signature matching actually survives rename and other continuity tests.</w:t>
      </w:r>
    </w:p>
    <w:p>
      <w:pPr>
        <w:pStyle w:val="ListBullet"/>
        <w:keepLines/>
      </w:pPr>
      <w:r>
        <w:rPr>
          <w:rFonts w:ascii="Liberation Sans" w:hAnsi="Liberation Sans"/>
          <w:b w:val="0"/>
          <w:i w:val="0"/>
        </w:rPr>
        <w:t>That the semantic view contains discriminating information rather than templated similarity.</w:t>
      </w:r>
    </w:p>
    <w:p>
      <w:pPr>
        <w:pStyle w:val="ListBullet"/>
        <w:keepLines/>
      </w:pPr>
      <w:r>
        <w:rPr>
          <w:rFonts w:ascii="Liberation Sans" w:hAnsi="Liberation Sans"/>
          <w:b w:val="0"/>
          <w:i w:val="0"/>
        </w:rPr>
        <w:t>How the system should preserve or reduce the 540 genuinely cross-domain memberships.</w:t>
      </w:r>
    </w:p>
    <w:p>
      <w:pPr>
        <w:spacing w:before="40" w:after="100"/>
      </w:pPr>
      <w:r>
        <w:rPr>
          <w:rFonts w:ascii="Liberation Sans" w:hAnsi="Liberation Sans"/>
          <w:b w:val="0"/>
          <w:i/>
          <w:color w:val="65727D"/>
          <w:sz w:val="16"/>
        </w:rPr>
        <w:t>Source support: Layer Architecture §§7–10; Repo State §§2, 8, and 9. The PRD is still marked DRAFT and awaiting ratification in the source briefs.</w:t>
      </w:r>
    </w:p>
    <w:tbl>
      <w:tblPr>
        <w:tblW w:type="auto" w:w="0"/>
        <w:jc w:val="center"/>
        <w:tblLayout w:type="fixed"/>
        <w:tblLook w:firstColumn="1" w:firstRow="1" w:lastColumn="0" w:lastRow="0" w:noHBand="0" w:noVBand="1" w:val="04A0"/>
      </w:tblPr>
      <w:tblGrid>
        <w:gridCol w:w="9994"/>
      </w:tblGrid>
      <w:tr>
        <w:trPr>
          <w:cantSplit/>
        </w:trPr>
        <w:tc>
          <w:tcPr>
            <w:tcW w:type="dxa" w:w="9576"/>
            <w:shd w:fill="F7F1DF"/>
            <w:tcBorders>
              <w:top w:val="single" w:sz="4" w:color="F7F1DF"/>
              <w:left w:val="single" w:sz="18" w:color="997A22"/>
              <w:bottom w:val="single" w:sz="4" w:color="F7F1DF"/>
              <w:right w:val="single" w:sz="4" w:color="F7F1DF"/>
            </w:tcBorders>
            <w:tcMar>
              <w:top w:w="150" w:type="dxa"/>
              <w:start w:w="180" w:type="dxa"/>
              <w:bottom w:w="145" w:type="dxa"/>
              <w:end w:w="180" w:type="dxa"/>
            </w:tcMar>
          </w:tcPr>
          <w:p>
            <w:pPr>
              <w:spacing w:after="80"/>
            </w:pPr>
            <w:r>
              <w:rPr>
                <w:rFonts w:ascii="Liberation Sans" w:hAnsi="Liberation Sans"/>
                <w:b/>
                <w:i w:val="0"/>
                <w:color w:val="997A22"/>
                <w:sz w:val="21"/>
              </w:rPr>
              <w:t>Implication</w:t>
            </w:r>
          </w:p>
          <w:p>
            <w:pPr>
              <w:spacing w:after="0"/>
            </w:pPr>
            <w:r>
              <w:rPr>
                <w:rFonts w:ascii="Liberation Sans" w:hAnsi="Liberation Sans"/>
                <w:b w:val="0"/>
                <w:i w:val="0"/>
                <w:color w:val="111111"/>
                <w:sz w:val="19"/>
              </w:rPr>
              <w:t>The next move should be designed to create the smallest complete and falsifiable evidence chain—not to maximize the number of schemas or bridge cells completed before the decisive experiment is possible.</w:t>
            </w:r>
          </w:p>
        </w:tc>
      </w:tr>
    </w:tbl>
    <w:p>
      <w:pPr>
        <w:spacing w:after="0"/>
      </w:pPr>
    </w:p>
    <w:p>
      <w:pPr>
        <w:pStyle w:val="Heading1"/>
        <w:keepNext/>
        <w:keepLines/>
      </w:pPr>
      <w:r>
        <w:rPr>
          <w:rFonts w:ascii="Liberation Sans" w:hAnsi="Liberation Sans"/>
        </w:rPr>
        <w:t>3. Operating Model: The Bow-Tie Program</w:t>
      </w:r>
    </w:p>
    <w:p>
      <w:pPr>
        <w:pStyle w:val="BodyText"/>
        <w:keepLines/>
      </w:pPr>
      <w:r>
        <w:rPr>
          <w:rFonts w:ascii="Liberation Sans" w:hAnsi="Liberation Sans"/>
          <w:b w:val="0"/>
          <w:i w:val="0"/>
        </w:rPr>
        <w:t>The two-track framing is correct, but the shared contract must be cut out explicitly. Issue 1 can proceed concurrently with the materializer census. Issue 1 only precedes the point at which materializers and substrate parts are tied to stable identities. The convergence point is not merely a part-ID field; it is the general identity-state contract.</w:t>
      </w:r>
    </w:p>
    <w:tbl>
      <w:tblPr>
        <w:tblW w:type="auto" w:w="0"/>
        <w:jc w:val="center"/>
        <w:tblLayout w:type="fixed"/>
        <w:tblLook w:firstColumn="1" w:firstRow="1" w:lastColumn="0" w:lastRow="0" w:noHBand="0" w:noVBand="1" w:val="04A0"/>
      </w:tblPr>
      <w:tblGrid>
        <w:gridCol w:w="9994"/>
      </w:tblGrid>
      <w:tr>
        <w:trPr>
          <w:cantSplit/>
        </w:trPr>
        <w:tc>
          <w:tcPr>
            <w:tcW w:type="dxa" w:w="9432"/>
            <w:shd w:fill="F7F8FA"/>
            <w:tcBorders>
              <w:top w:val="single" w:sz="4" w:color="D5DCE3"/>
              <w:left w:val="single" w:sz="4" w:color="D5DCE3"/>
              <w:bottom w:val="single" w:sz="4" w:color="D5DCE3"/>
              <w:right w:val="single" w:sz="4" w:color="D5DCE3"/>
            </w:tcBorders>
            <w:tcMar>
              <w:top w:w="120" w:type="dxa"/>
              <w:start w:w="155" w:type="dxa"/>
              <w:bottom w:w="120" w:type="dxa"/>
              <w:end w:w="155" w:type="dxa"/>
            </w:tcMar>
          </w:tcPr>
          <w:p>
            <w:pPr>
              <w:spacing w:after="0" w:line="240" w:lineRule="auto"/>
            </w:pPr>
            <w:r>
              <w:rPr>
                <w:rFonts w:ascii="Liberation Mono" w:hAnsi="Liberation Mono"/>
                <w:b w:val="0"/>
                <w:i w:val="0"/>
                <w:color w:val="25313B"/>
                <w:sz w:val="17"/>
              </w:rPr>
              <w:t xml:space="preserve">                         ┌─ Issue 1: spine + resolvers</w:t>
              <w:br/>
              <w:t>Issue 3A: shared contract ├─ Issue 2: materializer topology</w:t>
              <w:br/>
              <w:t xml:space="preserve">                         └─ L0 manifest migration</w:t>
              <w:br/>
              <w:t xml:space="preserve">                                      │</w:t>
              <w:br/>
              <w:t xml:space="preserve">                                      ▼</w:t>
              <w:br/>
              <w:t xml:space="preserve">                         Issue 3B: coherence evaluator</w:t>
              <w:br/>
              <w:t xml:space="preserve">                                      │</w:t>
              <w:br/>
              <w:t xml:space="preserve">                     ┌────────────────┴───────────────┐</w:t>
              <w:br/>
              <w:t xml:space="preserve">                     ▼                                ▼</w:t>
              <w:br/>
              <w:t xml:space="preserve">              bridge registry + L3              L4 succession</w:t>
            </w:r>
          </w:p>
        </w:tc>
      </w:tr>
    </w:tbl>
    <w:p>
      <w:pPr>
        <w:spacing w:after="0"/>
      </w:pPr>
    </w:p>
    <w:p>
      <w:pPr>
        <w:pStyle w:val="Heading2"/>
        <w:keepNext/>
        <w:keepLines/>
      </w:pPr>
      <w:r>
        <w:rPr>
          <w:rFonts w:ascii="Liberation Sans" w:hAnsi="Liberation Sans"/>
        </w:rPr>
        <w:t>3.1 Issue 1 — Entity Spine</w:t>
      </w:r>
    </w:p>
    <w:p>
      <w:pPr>
        <w:pStyle w:val="BodyText"/>
        <w:keepLines/>
      </w:pPr>
      <w:r>
        <w:rPr>
          <w:rFonts w:ascii="Liberation Sans" w:hAnsi="Liberation Sans"/>
          <w:b w:val="0"/>
          <w:i w:val="0"/>
        </w:rPr>
        <w:t>Issue 1 owns canonical entity resolution, declared grains, source bindings, ambiguity, and continuity policies. It must preserve plural candidates, state confidence explicitly, and keep unresolvable references visible. Its most urgent repair is to distinguish a healthy negative from an unavailable substrate.</w:t>
      </w:r>
    </w:p>
    <w:p>
      <w:pPr>
        <w:spacing w:after="60"/>
        <w:keepNext/>
        <w:keepLines/>
      </w:pPr>
      <w:r>
        <w:rPr>
          <w:rFonts w:ascii="Liberation Sans" w:hAnsi="Liberation Sans"/>
          <w:b/>
          <w:i w:val="0"/>
          <w:color w:val="2E5D7B"/>
          <w:sz w:val="18"/>
        </w:rPr>
        <w:t>Recommended resolution-state axis</w:t>
      </w:r>
    </w:p>
    <w:tbl>
      <w:tblPr>
        <w:tblW w:type="auto" w:w="0"/>
        <w:jc w:val="center"/>
        <w:tblLayout w:type="fixed"/>
        <w:tblLook w:firstColumn="1" w:firstRow="1" w:lastColumn="0" w:lastRow="0" w:noHBand="0" w:noVBand="1" w:val="04A0"/>
      </w:tblPr>
      <w:tblGrid>
        <w:gridCol w:w="9994"/>
      </w:tblGrid>
      <w:tr>
        <w:trPr>
          <w:cantSplit/>
        </w:trPr>
        <w:tc>
          <w:tcPr>
            <w:tcW w:type="dxa" w:w="9432"/>
            <w:shd w:fill="F7F8FA"/>
            <w:tcBorders>
              <w:top w:val="single" w:sz="4" w:color="D5DCE3"/>
              <w:left w:val="single" w:sz="4" w:color="D5DCE3"/>
              <w:bottom w:val="single" w:sz="4" w:color="D5DCE3"/>
              <w:right w:val="single" w:sz="4" w:color="D5DCE3"/>
            </w:tcBorders>
            <w:tcMar>
              <w:top w:w="120" w:type="dxa"/>
              <w:start w:w="155" w:type="dxa"/>
              <w:bottom w:w="120" w:type="dxa"/>
              <w:end w:w="155" w:type="dxa"/>
            </w:tcMar>
          </w:tcPr>
          <w:p>
            <w:pPr>
              <w:spacing w:after="0" w:line="240" w:lineRule="auto"/>
            </w:pPr>
            <w:r>
              <w:rPr>
                <w:rFonts w:ascii="Liberation Mono" w:hAnsi="Liberation Mono"/>
                <w:b w:val="0"/>
                <w:i w:val="0"/>
                <w:color w:val="25313B"/>
                <w:sz w:val="17"/>
              </w:rPr>
              <w:t>RESOLVED</w:t>
              <w:br/>
              <w:t>AMBIGUOUS</w:t>
              <w:br/>
              <w:t>GENUINELY_UNADDRESSED</w:t>
              <w:br/>
              <w:t>SUBSTRATE_UNAVAILABLE</w:t>
              <w:br/>
              <w:t>NOT_APPLICABLE</w:t>
            </w:r>
          </w:p>
        </w:tc>
      </w:tr>
    </w:tbl>
    <w:p>
      <w:pPr>
        <w:spacing w:after="0"/>
      </w:pPr>
    </w:p>
    <w:p>
      <w:pPr>
        <w:pStyle w:val="Heading2"/>
        <w:keepNext/>
        <w:keepLines/>
      </w:pPr>
      <w:r>
        <w:rPr>
          <w:rFonts w:ascii="Liberation Sans" w:hAnsi="Liberation Sans"/>
        </w:rPr>
        <w:t>3.2 Issue 2 — Materializer Topology</w:t>
      </w:r>
    </w:p>
    <w:p>
      <w:pPr>
        <w:pStyle w:val="BodyText"/>
        <w:keepLines/>
      </w:pPr>
      <w:r>
        <w:rPr>
          <w:rFonts w:ascii="Liberation Sans" w:hAnsi="Liberation Sans"/>
          <w:b w:val="0"/>
          <w:i w:val="0"/>
        </w:rPr>
        <w:t>Issue 2 owns the many-to-many relation between processes, sources, logical outputs, and physical destinations. It should not create a separate registry detached from L0. Instead, materializers become first-class entities within the same ledger, with versioned execution bundles and immutable run receipts.</w:t>
      </w:r>
    </w:p>
    <w:p>
      <w:pPr>
        <w:pStyle w:val="BodyText"/>
        <w:keepLines/>
      </w:pPr>
      <w:r>
        <w:rPr>
          <w:rFonts w:ascii="Liberation Sans" w:hAnsi="Liberation Sans"/>
          <w:b w:val="0"/>
          <w:i w:val="0"/>
        </w:rPr>
        <w:t>“One canonical materializer per layer” should mean one canonical semantic identity and contract per layer, with versioned implementation bundles and substrate-specific adapters. It should not be read as a requirement that every layer collapse into one physical script.</w:t>
      </w:r>
    </w:p>
    <w:p>
      <w:pPr>
        <w:pStyle w:val="Heading2"/>
        <w:keepNext/>
        <w:keepLines/>
      </w:pPr>
      <w:r>
        <w:rPr>
          <w:rFonts w:ascii="Liberation Sans" w:hAnsi="Liberation Sans"/>
        </w:rPr>
        <w:t>3.3 Issue 3A — Shared Identity-State Contract</w:t>
      </w:r>
    </w:p>
    <w:p>
      <w:pPr>
        <w:pStyle w:val="BodyText"/>
        <w:keepLines/>
      </w:pPr>
      <w:r>
        <w:rPr>
          <w:rFonts w:ascii="Liberation Sans" w:hAnsi="Liberation Sans"/>
          <w:b w:val="0"/>
          <w:i w:val="0"/>
        </w:rPr>
        <w:t>Issue 3A is upstream of the bridge registry, part-ID migration, and materializer relations. It defines the legal nouns and identifiers used by all of them. The minimum package should include ENTITY, ENTITY_BINDING, STATE_OBSERVATION, IDENTITY_RELATION, MATERIALIZER, MATERIALIZER_VERSION, MATERIALIZATION_RUN, SURFACE_VERSION, and SOURCE_FRONTIER.</w:t>
      </w:r>
    </w:p>
    <w:p>
      <w:pPr>
        <w:pStyle w:val="Heading2"/>
        <w:keepNext/>
        <w:keepLines/>
      </w:pPr>
      <w:r>
        <w:rPr>
          <w:rFonts w:ascii="Liberation Sans" w:hAnsi="Liberation Sans"/>
        </w:rPr>
        <w:t>3.4 Issue 3B — Coherence Mechanics</w:t>
      </w:r>
    </w:p>
    <w:p>
      <w:pPr>
        <w:pStyle w:val="BodyText"/>
        <w:keepLines/>
      </w:pPr>
      <w:r>
        <w:rPr>
          <w:rFonts w:ascii="Liberation Sans" w:hAnsi="Liberation Sans"/>
          <w:b w:val="0"/>
          <w:i w:val="0"/>
        </w:rPr>
        <w:t>Issue 3B becomes executable only after minimally functional versions of Issues 1 and 2 exist. It compares source frontiers, authority heads, logical surface targets, materializer versions, physical projections, and device locality. It should emit a time-stamped coherence evaluation rather than mutate one ambiguous “status” field on the surface.</w:t>
      </w:r>
    </w:p>
    <w:p>
      <w:pPr>
        <w:pStyle w:val="Heading1"/>
        <w:keepNext/>
        <w:keepLines/>
      </w:pPr>
      <w:r>
        <w:rPr>
          <w:rFonts w:ascii="Liberation Sans" w:hAnsi="Liberation Sans"/>
        </w:rPr>
        <w:t>4. Identity Architecture</w:t>
      </w:r>
    </w:p>
    <w:tbl>
      <w:tblPr>
        <w:tblW w:type="auto" w:w="0"/>
        <w:jc w:val="center"/>
        <w:tblLayout w:type="fixed"/>
        <w:tblLook w:firstColumn="1" w:firstRow="1" w:lastColumn="0" w:lastRow="0" w:noHBand="0" w:noVBand="1" w:val="04A0"/>
      </w:tblPr>
      <w:tblGrid>
        <w:gridCol w:w="9994"/>
      </w:tblGrid>
      <w:tr>
        <w:trPr>
          <w:cantSplit/>
        </w:trPr>
        <w:tc>
          <w:tcPr>
            <w:tcW w:type="dxa" w:w="9576"/>
            <w:shd w:fill="EDF3F8"/>
            <w:tcBorders>
              <w:top w:val="single" w:sz="4" w:color="EDF3F8"/>
              <w:left w:val="single" w:sz="18" w:color="2E5D7B"/>
              <w:bottom w:val="single" w:sz="4" w:color="EDF3F8"/>
              <w:right w:val="single" w:sz="4" w:color="EDF3F8"/>
            </w:tcBorders>
            <w:tcMar>
              <w:top w:w="150" w:type="dxa"/>
              <w:start w:w="180" w:type="dxa"/>
              <w:bottom w:w="145" w:type="dxa"/>
              <w:end w:w="180" w:type="dxa"/>
            </w:tcMar>
          </w:tcPr>
          <w:p>
            <w:pPr>
              <w:spacing w:after="80"/>
            </w:pPr>
            <w:r>
              <w:rPr>
                <w:rFonts w:ascii="Liberation Sans" w:hAnsi="Liberation Sans"/>
                <w:b/>
                <w:i w:val="0"/>
                <w:color w:val="2E5D7B"/>
                <w:sz w:val="21"/>
              </w:rPr>
              <w:t>Foundational rule</w:t>
            </w:r>
          </w:p>
          <w:p>
            <w:pPr>
              <w:spacing w:after="0"/>
            </w:pPr>
            <w:r>
              <w:rPr>
                <w:rFonts w:ascii="Liberation Sans" w:hAnsi="Liberation Sans"/>
                <w:b w:val="0"/>
                <w:i w:val="0"/>
                <w:color w:val="111111"/>
                <w:sz w:val="19"/>
              </w:rPr>
              <w:t>Enduring mutable entities receive opaque serials. Mutable references become temporal bindings. Observed state becomes a versioned fingerprint or state observation. Immutable representations and execution bundles may be content-addressed.</w:t>
            </w:r>
          </w:p>
        </w:tc>
      </w:tr>
    </w:tbl>
    <w:p>
      <w:pPr>
        <w:spacing w:after="0"/>
      </w:pPr>
    </w:p>
    <w:p>
      <w:pPr>
        <w:pStyle w:val="Heading2"/>
        <w:keepNext/>
        <w:keepLines/>
      </w:pPr>
      <w:r>
        <w:rPr>
          <w:rFonts w:ascii="Liberation Sans" w:hAnsi="Liberation Sans"/>
        </w:rPr>
        <w:t>4.1 One identity ledger, many entity classes</w:t>
      </w:r>
    </w:p>
    <w:p>
      <w:pPr>
        <w:pStyle w:val="BodyText"/>
        <w:keepLines/>
      </w:pPr>
      <w:r>
        <w:rPr>
          <w:rFonts w:ascii="Liberation Sans" w:hAnsi="Liberation Sans"/>
          <w:b w:val="0"/>
          <w:i w:val="0"/>
        </w:rPr>
        <w:t>The L0 part registry should not establish a one-off identity mechanism that later has to be generalized. It should be one typed projection of a general ledger capable of representing files, symbols, cloud resources, stores, materializers, graph surfaces, motifs, discovered systems, and physical instances.</w:t>
      </w:r>
    </w:p>
    <w:p>
      <w:pPr>
        <w:spacing w:after="60"/>
        <w:keepNext/>
        <w:keepLines/>
      </w:pPr>
      <w:r>
        <w:rPr>
          <w:rFonts w:ascii="Liberation Sans" w:hAnsi="Liberation Sans"/>
          <w:b/>
          <w:i w:val="0"/>
          <w:color w:val="2E5D7B"/>
          <w:sz w:val="18"/>
        </w:rPr>
        <w:t>Minimal enduring-entity record</w:t>
      </w:r>
    </w:p>
    <w:tbl>
      <w:tblPr>
        <w:tblW w:type="auto" w:w="0"/>
        <w:jc w:val="center"/>
        <w:tblLayout w:type="fixed"/>
        <w:tblLook w:firstColumn="1" w:firstRow="1" w:lastColumn="0" w:lastRow="0" w:noHBand="0" w:noVBand="1" w:val="04A0"/>
      </w:tblPr>
      <w:tblGrid>
        <w:gridCol w:w="9994"/>
      </w:tblGrid>
      <w:tr>
        <w:trPr>
          <w:cantSplit/>
        </w:trPr>
        <w:tc>
          <w:tcPr>
            <w:tcW w:type="dxa" w:w="9432"/>
            <w:shd w:fill="F7F8FA"/>
            <w:tcBorders>
              <w:top w:val="single" w:sz="4" w:color="D5DCE3"/>
              <w:left w:val="single" w:sz="4" w:color="D5DCE3"/>
              <w:bottom w:val="single" w:sz="4" w:color="D5DCE3"/>
              <w:right w:val="single" w:sz="4" w:color="D5DCE3"/>
            </w:tcBorders>
            <w:tcMar>
              <w:top w:w="120" w:type="dxa"/>
              <w:start w:w="155" w:type="dxa"/>
              <w:bottom w:w="120" w:type="dxa"/>
              <w:end w:w="155" w:type="dxa"/>
            </w:tcMar>
          </w:tcPr>
          <w:p>
            <w:pPr>
              <w:spacing w:after="0" w:line="240" w:lineRule="auto"/>
            </w:pPr>
            <w:r>
              <w:rPr>
                <w:rFonts w:ascii="Liberation Mono" w:hAnsi="Liberation Mono"/>
                <w:b w:val="0"/>
                <w:i w:val="0"/>
                <w:color w:val="25313B"/>
                <w:sz w:val="17"/>
              </w:rPr>
              <w:t>entity_serial</w:t>
              <w:br/>
              <w:t>entity_class</w:t>
              <w:br/>
              <w:t>plane</w:t>
              <w:br/>
              <w:t>grain</w:t>
              <w:br/>
              <w:t>minted_at</w:t>
              <w:br/>
              <w:t>minting_authority</w:t>
              <w:br/>
              <w:t>identity_policy</w:t>
              <w:br/>
              <w:t>current_status</w:t>
            </w:r>
          </w:p>
        </w:tc>
      </w:tr>
    </w:tbl>
    <w:p>
      <w:pPr>
        <w:spacing w:after="0"/>
      </w:pP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Entity class</w:t>
            </w:r>
          </w:p>
        </w:tc>
        <w:tc>
          <w:tcPr>
            <w:tcW w:type="dxa" w:w="2520"/>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Example</w:t>
            </w:r>
          </w:p>
        </w:tc>
        <w:tc>
          <w:tcPr>
            <w:tcW w:type="dxa" w:w="4680"/>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Continuity authority</w:t>
            </w:r>
          </w:p>
        </w:tc>
      </w:tr>
      <w:tr>
        <w:trPr>
          <w:cantSplit/>
        </w:trPr>
        <w:tc>
          <w:tcPr>
            <w:tcW w:type="dxa" w:w="187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Cloud resource</w:t>
            </w:r>
          </w:p>
        </w:tc>
        <w:tc>
          <w:tcPr>
            <w:tcW w:type="dxa" w:w="252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ARN-addressed resource</w:t>
            </w:r>
          </w:p>
        </w:tc>
        <w:tc>
          <w:tcPr>
            <w:tcW w:type="dxa" w:w="468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Provider-authoritative immutable key or documented replacement/rename lineage.</w:t>
            </w:r>
          </w:p>
        </w:tc>
      </w:tr>
      <w:tr>
        <w:trPr>
          <w:cantSplit/>
        </w:trPr>
        <w:tc>
          <w:tcPr>
            <w:tcW w:type="dxa" w:w="187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Git file</w:t>
            </w:r>
          </w:p>
        </w:tc>
        <w:tc>
          <w:tcPr>
            <w:tcW w:type="dxa" w:w="252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Repository file</w:t>
            </w:r>
          </w:p>
        </w:tc>
        <w:tc>
          <w:tcPr>
            <w:tcW w:type="dxa" w:w="468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Git object and rename history, content evidence, and structural lineage.</w:t>
            </w:r>
          </w:p>
        </w:tc>
      </w:tr>
      <w:tr>
        <w:trPr>
          <w:cantSplit/>
        </w:trPr>
        <w:tc>
          <w:tcPr>
            <w:tcW w:type="dxa" w:w="187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Symbol</w:t>
            </w:r>
          </w:p>
        </w:tc>
        <w:tc>
          <w:tcPr>
            <w:tcW w:type="dxa" w:w="252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Function, type, component, property</w:t>
            </w:r>
          </w:p>
        </w:tc>
        <w:tc>
          <w:tcPr>
            <w:tcW w:type="dxa" w:w="468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Parser/compiler identity plus containing artifact and source span.</w:t>
            </w:r>
          </w:p>
        </w:tc>
      </w:tr>
      <w:tr>
        <w:trPr>
          <w:cantSplit/>
        </w:trPr>
        <w:tc>
          <w:tcPr>
            <w:tcW w:type="dxa" w:w="187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Generated artifact</w:t>
            </w:r>
          </w:p>
        </w:tc>
        <w:tc>
          <w:tcPr>
            <w:tcW w:type="dxa" w:w="252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Manifest, cache, projection file</w:t>
            </w:r>
          </w:p>
        </w:tc>
        <w:tc>
          <w:tcPr>
            <w:tcW w:type="dxa" w:w="468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Producer lineage and materialization receipt.</w:t>
            </w:r>
          </w:p>
        </w:tc>
      </w:tr>
      <w:tr>
        <w:trPr>
          <w:cantSplit/>
        </w:trPr>
        <w:tc>
          <w:tcPr>
            <w:tcW w:type="dxa" w:w="187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Runtime occurrence</w:t>
            </w:r>
          </w:p>
        </w:tc>
        <w:tc>
          <w:tcPr>
            <w:tcW w:type="dxa" w:w="252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PID/time-derived temporary object</w:t>
            </w:r>
          </w:p>
        </w:tc>
        <w:tc>
          <w:tcPr>
            <w:tcW w:type="dxa" w:w="468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Run-scoped occurrence identity; persistent identity belongs to the family or generator.</w:t>
            </w:r>
          </w:p>
        </w:tc>
      </w:tr>
      <w:tr>
        <w:trPr>
          <w:cantSplit/>
        </w:trPr>
        <w:tc>
          <w:tcPr>
            <w:tcW w:type="dxa" w:w="187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Discovered system</w:t>
            </w:r>
          </w:p>
        </w:tc>
        <w:tc>
          <w:tcPr>
            <w:tcW w:type="dxa" w:w="252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C3 structure</w:t>
            </w:r>
          </w:p>
        </w:tc>
        <w:tc>
          <w:tcPr>
            <w:tcW w:type="dxa" w:w="468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Fused signature, membership continuity, lineage, and adjudicated succession.</w:t>
            </w:r>
          </w:p>
        </w:tc>
      </w:tr>
    </w:tbl>
    <w:p>
      <w:pPr>
        <w:spacing w:after="0"/>
      </w:pPr>
    </w:p>
    <w:p>
      <w:pPr>
        <w:pStyle w:val="BodyText"/>
        <w:keepLines/>
      </w:pPr>
      <w:r>
        <w:rPr>
          <w:rFonts w:ascii="Liberation Sans" w:hAnsi="Liberation Sans"/>
          <w:b w:val="0"/>
          <w:i w:val="0"/>
        </w:rPr>
        <w:t>The universal mechanism is therefore not one identity algorithm. It is one identity discipline. Every entity is addressable through the spine, while every entity class declares the evidence that is authoritative for continuity.</w:t>
      </w:r>
    </w:p>
    <w:p>
      <w:pPr>
        <w:pStyle w:val="Heading2"/>
        <w:keepNext/>
        <w:keepLines/>
      </w:pPr>
      <w:r>
        <w:rPr>
          <w:rFonts w:ascii="Liberation Sans" w:hAnsi="Liberation Sans"/>
        </w:rPr>
        <w:t>4.2 Logical entity versus physical instance</w:t>
      </w:r>
    </w:p>
    <w:p>
      <w:pPr>
        <w:pStyle w:val="BodyText"/>
        <w:keepLines/>
      </w:pPr>
      <w:r>
        <w:rPr>
          <w:rFonts w:ascii="Liberation Sans" w:hAnsi="Liberation Sans"/>
          <w:b w:val="0"/>
          <w:i w:val="0"/>
        </w:rPr>
        <w:t>A logical graph surface and its laptop or site-Z copies are related, but they are not necessarily the same physical artifact. They can fail, rebuild, and drift independently. Treating them as one entity because they share a path or intended purpose would collapse grain and hide Rule 26 locality.</w:t>
      </w:r>
    </w:p>
    <w:tbl>
      <w:tblPr>
        <w:tblW w:type="auto" w:w="0"/>
        <w:jc w:val="center"/>
        <w:tblLayout w:type="fixed"/>
        <w:tblLook w:firstColumn="1" w:firstRow="1" w:lastColumn="0" w:lastRow="0" w:noHBand="0" w:noVBand="1" w:val="04A0"/>
      </w:tblPr>
      <w:tblGrid>
        <w:gridCol w:w="9994"/>
      </w:tblGrid>
      <w:tr>
        <w:trPr>
          <w:cantSplit/>
        </w:trPr>
        <w:tc>
          <w:tcPr>
            <w:tcW w:type="dxa" w:w="9432"/>
            <w:shd w:fill="F7F8FA"/>
            <w:tcBorders>
              <w:top w:val="single" w:sz="4" w:color="D5DCE3"/>
              <w:left w:val="single" w:sz="4" w:color="D5DCE3"/>
              <w:bottom w:val="single" w:sz="4" w:color="D5DCE3"/>
              <w:right w:val="single" w:sz="4" w:color="D5DCE3"/>
            </w:tcBorders>
            <w:tcMar>
              <w:top w:w="120" w:type="dxa"/>
              <w:start w:w="155" w:type="dxa"/>
              <w:bottom w:w="120" w:type="dxa"/>
              <w:end w:w="155" w:type="dxa"/>
            </w:tcMar>
          </w:tcPr>
          <w:p>
            <w:pPr>
              <w:spacing w:after="0" w:line="240" w:lineRule="auto"/>
            </w:pPr>
            <w:r>
              <w:rPr>
                <w:rFonts w:ascii="Liberation Mono" w:hAnsi="Liberation Mono"/>
                <w:b w:val="0"/>
                <w:i w:val="0"/>
                <w:color w:val="25313B"/>
                <w:sz w:val="17"/>
              </w:rPr>
              <w:t>LOGICAL SURFACE  ent:logical-graph</w:t>
              <w:br/>
              <w:t xml:space="preserve">    ├── INSTANCE_ON ──&gt; ent:laptop-graph-file</w:t>
              <w:br/>
              <w:t xml:space="preserve">    │                       fabric = laptop</w:t>
              <w:br/>
              <w:t xml:space="preserve">    └── INSTANCE_ON ──&gt; ent:site-z-graph-file</w:t>
              <w:br/>
              <w:t xml:space="preserve">                            fabric = site-z</w:t>
            </w:r>
          </w:p>
        </w:tc>
      </w:tr>
    </w:tbl>
    <w:p>
      <w:pPr>
        <w:spacing w:after="0"/>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Axis</w:t>
            </w:r>
          </w:p>
        </w:tc>
        <w:tc>
          <w:tcPr>
            <w:tcW w:type="dxa" w:w="7200"/>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Question</w:t>
            </w:r>
          </w:p>
        </w:tc>
      </w:tr>
      <w:tr>
        <w:trPr>
          <w:cantSplit/>
        </w:trPr>
        <w:tc>
          <w:tcPr>
            <w:tcW w:type="dxa" w:w="223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Identity scope</w:t>
            </w:r>
          </w:p>
        </w:tc>
        <w:tc>
          <w:tcPr>
            <w:tcW w:type="dxa" w:w="720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Is this a logical estate entity, a fabric instance, a device instance, or a run occurrence?</w:t>
            </w:r>
          </w:p>
        </w:tc>
      </w:tr>
      <w:tr>
        <w:trPr>
          <w:cantSplit/>
        </w:trPr>
        <w:tc>
          <w:tcPr>
            <w:tcW w:type="dxa" w:w="223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Observation location</w:t>
            </w:r>
          </w:p>
        </w:tc>
        <w:tc>
          <w:tcPr>
            <w:tcW w:type="dxa" w:w="720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Which device or fabric measured this state?</w:t>
            </w:r>
          </w:p>
        </w:tc>
      </w:tr>
      <w:tr>
        <w:trPr>
          <w:cantSplit/>
        </w:trPr>
        <w:tc>
          <w:tcPr>
            <w:tcW w:type="dxa" w:w="223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Replication expectation</w:t>
            </w:r>
          </w:p>
        </w:tc>
        <w:tc>
          <w:tcPr>
            <w:tcW w:type="dxa" w:w="720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Should separate instances at the same declared version be identical, equivalent, or intentionally different?</w:t>
            </w:r>
          </w:p>
        </w:tc>
      </w:tr>
    </w:tbl>
    <w:p>
      <w:pPr>
        <w:spacing w:after="0"/>
      </w:pPr>
    </w:p>
    <w:p>
      <w:pPr>
        <w:pStyle w:val="Heading2"/>
        <w:keepNext/>
        <w:keepLines/>
      </w:pPr>
      <w:r>
        <w:rPr>
          <w:rFonts w:ascii="Liberation Sans" w:hAnsi="Liberation Sans"/>
        </w:rPr>
        <w:t>4.3 Hash as evidence, not enduring identity</w:t>
      </w:r>
    </w:p>
    <w:p>
      <w:pPr>
        <w:pStyle w:val="BodyText"/>
        <w:keepLines/>
      </w:pPr>
      <w:r>
        <w:rPr>
          <w:rFonts w:ascii="Liberation Sans" w:hAnsi="Liberation Sans"/>
          <w:b w:val="0"/>
          <w:i w:val="0"/>
        </w:rPr>
        <w:t>The CTO-agent dialogue correctly resolves the design fork against computing the serial from substrate keys. A file path, ARN, or anchor name is mutable; a serial derived from it recreates the identity-dies-on-rename defect at C0. Hashing remains valuable when it is attached to an immutable observation, implementation bundle, build receipt, or surface version.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384"/>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Record</w:t>
            </w:r>
          </w:p>
        </w:tc>
        <w:tc>
          <w:tcPr>
            <w:tcW w:type="dxa" w:w="6048"/>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Recommended identity mechanism</w:t>
            </w:r>
          </w:p>
        </w:tc>
      </w:tr>
      <w:tr>
        <w:trPr>
          <w:cantSplit/>
        </w:trPr>
        <w:tc>
          <w:tcPr>
            <w:tcW w:type="dxa" w:w="3384"/>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Persistent file, resource, system, or materializer</w:t>
            </w:r>
          </w:p>
        </w:tc>
        <w:tc>
          <w:tcPr>
            <w:tcW w:type="dxa" w:w="6048"/>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Opaque minted serial.</w:t>
            </w:r>
          </w:p>
        </w:tc>
      </w:tr>
      <w:tr>
        <w:trPr>
          <w:cantSplit/>
        </w:trPr>
        <w:tc>
          <w:tcPr>
            <w:tcW w:type="dxa" w:w="3384"/>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Temporal binding</w:t>
            </w:r>
          </w:p>
        </w:tc>
        <w:tc>
          <w:tcPr>
            <w:tcW w:type="dxa" w:w="6048"/>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Minted record ID or ledger key; validity interval carried explicitly.</w:t>
            </w:r>
          </w:p>
        </w:tc>
      </w:tr>
      <w:tr>
        <w:trPr>
          <w:cantSplit/>
        </w:trPr>
        <w:tc>
          <w:tcPr>
            <w:tcW w:type="dxa" w:w="3384"/>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Immutable state observation</w:t>
            </w:r>
          </w:p>
        </w:tc>
        <w:tc>
          <w:tcPr>
            <w:tcW w:type="dxa" w:w="6048"/>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Content-addressed ID is acceptable.</w:t>
            </w:r>
          </w:p>
        </w:tc>
      </w:tr>
      <w:tr>
        <w:trPr>
          <w:cantSplit/>
        </w:trPr>
        <w:tc>
          <w:tcPr>
            <w:tcW w:type="dxa" w:w="3384"/>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Materializer implementation version</w:t>
            </w:r>
          </w:p>
        </w:tc>
        <w:tc>
          <w:tcPr>
            <w:tcW w:type="dxa" w:w="6048"/>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Digest of the complete execution bundle.</w:t>
            </w:r>
          </w:p>
        </w:tc>
      </w:tr>
      <w:tr>
        <w:trPr>
          <w:cantSplit/>
        </w:trPr>
        <w:tc>
          <w:tcPr>
            <w:tcW w:type="dxa" w:w="3384"/>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Materialization run receipt</w:t>
            </w:r>
          </w:p>
        </w:tc>
        <w:tc>
          <w:tcPr>
            <w:tcW w:type="dxa" w:w="6048"/>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Minted or content-addressed immutable receipt.</w:t>
            </w:r>
          </w:p>
        </w:tc>
      </w:tr>
      <w:tr>
        <w:trPr>
          <w:cantSplit/>
        </w:trPr>
        <w:tc>
          <w:tcPr>
            <w:tcW w:type="dxa" w:w="3384"/>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Immutable graph/surface version</w:t>
            </w:r>
          </w:p>
        </w:tc>
        <w:tc>
          <w:tcPr>
            <w:tcW w:type="dxa" w:w="6048"/>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Snapshot or commit ID plus digest.</w:t>
            </w:r>
          </w:p>
        </w:tc>
      </w:tr>
      <w:tr>
        <w:trPr>
          <w:cantSplit/>
        </w:trPr>
        <w:tc>
          <w:tcPr>
            <w:tcW w:type="dxa" w:w="3384"/>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Current physical projection</w:t>
            </w:r>
          </w:p>
        </w:tc>
        <w:tc>
          <w:tcPr>
            <w:tcW w:type="dxa" w:w="6048"/>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Minted instance ID pinned to an immutable upstream version.</w:t>
            </w:r>
          </w:p>
        </w:tc>
      </w:tr>
    </w:tbl>
    <w:p>
      <w:pPr>
        <w:spacing w:after="0"/>
      </w:pPr>
    </w:p>
    <w:p>
      <w:pPr>
        <w:pStyle w:val="BodyText"/>
        <w:keepLines/>
      </w:pPr>
      <w:r>
        <w:rPr>
          <w:rFonts w:ascii="Liberation Sans" w:hAnsi="Liberation Sans"/>
          <w:b w:val="0"/>
          <w:i w:val="0"/>
        </w:rPr>
        <w:t>Every fingerprint must carry its method and normalization version. The documented CRLF/LF failure proves that a digest without normalization is not interpretable state evidence and can generate permanent false-stale findings.</w:t>
      </w:r>
    </w:p>
    <w:p>
      <w:pPr>
        <w:pStyle w:val="Heading2"/>
        <w:keepNext/>
        <w:keepLines/>
      </w:pPr>
      <w:r>
        <w:rPr>
          <w:rFonts w:ascii="Liberation Sans" w:hAnsi="Liberation Sans"/>
        </w:rPr>
        <w:t>4.4 Apply the same contract to processes</w:t>
      </w:r>
    </w:p>
    <w:p>
      <w:pPr>
        <w:pStyle w:val="BodyText"/>
        <w:keepLines/>
      </w:pPr>
      <w:r>
        <w:rPr>
          <w:rFonts w:ascii="Liberation Sans" w:hAnsi="Liberation Sans"/>
          <w:b w:val="0"/>
          <w:i w:val="0"/>
        </w:rPr>
        <w:t>A materializer has the same identity-state separation as an entity. The logical materializer keeps a durable serial; its implementation bundles change; each execution becomes an immutable run record; and every output carries the exact source frontier, opinion contract, implementation version, device, and time that produced it.</w:t>
      </w:r>
    </w:p>
    <w:tbl>
      <w:tblPr>
        <w:tblW w:type="auto" w:w="0"/>
        <w:jc w:val="center"/>
        <w:tblLayout w:type="fixed"/>
        <w:tblLook w:firstColumn="1" w:firstRow="1" w:lastColumn="0" w:lastRow="0" w:noHBand="0" w:noVBand="1" w:val="04A0"/>
      </w:tblPr>
      <w:tblGrid>
        <w:gridCol w:w="9994"/>
      </w:tblGrid>
      <w:tr>
        <w:trPr>
          <w:cantSplit/>
        </w:trPr>
        <w:tc>
          <w:tcPr>
            <w:tcW w:type="dxa" w:w="9432"/>
            <w:shd w:fill="F7F8FA"/>
            <w:tcBorders>
              <w:top w:val="single" w:sz="4" w:color="D5DCE3"/>
              <w:left w:val="single" w:sz="4" w:color="D5DCE3"/>
              <w:bottom w:val="single" w:sz="4" w:color="D5DCE3"/>
              <w:right w:val="single" w:sz="4" w:color="D5DCE3"/>
            </w:tcBorders>
            <w:tcMar>
              <w:top w:w="120" w:type="dxa"/>
              <w:start w:w="155" w:type="dxa"/>
              <w:bottom w:w="120" w:type="dxa"/>
              <w:end w:w="155" w:type="dxa"/>
            </w:tcMar>
          </w:tcPr>
          <w:p>
            <w:pPr>
              <w:spacing w:after="0" w:line="240" w:lineRule="auto"/>
            </w:pPr>
            <w:r>
              <w:rPr>
                <w:rFonts w:ascii="Liberation Mono" w:hAnsi="Liberation Mono"/>
                <w:b w:val="0"/>
                <w:i w:val="0"/>
                <w:color w:val="25313B"/>
                <w:sz w:val="17"/>
              </w:rPr>
              <w:t>MATERIALIZER              = durable logical process identity</w:t>
              <w:br/>
              <w:t>MATERIALIZER_VERSION      = immutable execution bundle</w:t>
              <w:br/>
              <w:t>MATERIALIZATION_RUN       = one execution against one source frontier</w:t>
              <w:br/>
              <w:t>OUTPUT_BINDING            = logical and physical surfaces produced</w:t>
              <w:br/>
              <w:t>SUPERSESSION / RETIREMENT = lifecycle of process versions</w:t>
            </w:r>
          </w:p>
        </w:tc>
      </w:tr>
    </w:tbl>
    <w:p>
      <w:pPr>
        <w:spacing w:after="0"/>
      </w:pPr>
    </w:p>
    <w:p>
      <w:pPr>
        <w:pStyle w:val="BodyText"/>
        <w:keepLines/>
      </w:pPr>
      <w:r>
        <w:rPr>
          <w:rFonts w:ascii="Liberation Sans" w:hAnsi="Liberation Sans"/>
          <w:b w:val="0"/>
          <w:i w:val="0"/>
        </w:rPr>
        <w:t>A materializer digest should not be the hash of one Python file. It should cover the source tree, dependency lock, configuration, declared opinions, normalizers, runtime contract, and any feature flags that can change semantics.</w:t>
      </w:r>
    </w:p>
    <w:tbl>
      <w:tblPr>
        <w:tblW w:type="auto" w:w="0"/>
        <w:jc w:val="center"/>
        <w:tblLayout w:type="fixed"/>
        <w:tblLook w:firstColumn="1" w:firstRow="1" w:lastColumn="0" w:lastRow="0" w:noHBand="0" w:noVBand="1" w:val="04A0"/>
      </w:tblPr>
      <w:tblGrid>
        <w:gridCol w:w="9994"/>
      </w:tblGrid>
      <w:tr>
        <w:trPr>
          <w:cantSplit/>
        </w:trPr>
        <w:tc>
          <w:tcPr>
            <w:tcW w:type="dxa" w:w="9432"/>
            <w:shd w:fill="F7F8FA"/>
            <w:tcBorders>
              <w:top w:val="single" w:sz="4" w:color="D5DCE3"/>
              <w:left w:val="single" w:sz="4" w:color="D5DCE3"/>
              <w:bottom w:val="single" w:sz="4" w:color="D5DCE3"/>
              <w:right w:val="single" w:sz="4" w:color="D5DCE3"/>
            </w:tcBorders>
            <w:tcMar>
              <w:top w:w="120" w:type="dxa"/>
              <w:start w:w="155" w:type="dxa"/>
              <w:bottom w:w="120" w:type="dxa"/>
              <w:end w:w="155" w:type="dxa"/>
            </w:tcMar>
          </w:tcPr>
          <w:p>
            <w:pPr>
              <w:spacing w:after="0" w:line="240" w:lineRule="auto"/>
            </w:pPr>
            <w:r>
              <w:rPr>
                <w:rFonts w:ascii="Liberation Mono" w:hAnsi="Liberation Mono"/>
                <w:b w:val="0"/>
                <w:i w:val="0"/>
                <w:color w:val="25313B"/>
                <w:sz w:val="17"/>
              </w:rPr>
              <w:t>materializer_version_digest = H(</w:t>
              <w:br/>
              <w:t xml:space="preserve">    source_tree_digest,</w:t>
              <w:br/>
              <w:t xml:space="preserve">    dependency_lock_digest,</w:t>
              <w:br/>
              <w:t xml:space="preserve">    configuration_digest,</w:t>
              <w:br/>
              <w:t xml:space="preserve">    declared_opinions_digest,</w:t>
              <w:br/>
              <w:t xml:space="preserve">    normalizer_versions,</w:t>
              <w:br/>
              <w:t xml:space="preserve">    runtime_contract_version</w:t>
              <w:br/>
              <w:t>)</w:t>
            </w:r>
          </w:p>
        </w:tc>
      </w:tr>
    </w:tbl>
    <w:p>
      <w:pPr>
        <w:spacing w:after="0"/>
      </w:pPr>
    </w:p>
    <w:p>
      <w:pPr>
        <w:pStyle w:val="Heading2"/>
        <w:keepNext/>
        <w:keepLines/>
      </w:pPr>
      <w:r>
        <w:rPr>
          <w:rFonts w:ascii="Liberation Sans" w:hAnsi="Liberation Sans"/>
        </w:rPr>
        <w:t>4.5 C0 as claims and observations</w:t>
      </w:r>
    </w:p>
    <w:p>
      <w:pPr>
        <w:pStyle w:val="BodyText"/>
        <w:keepLines/>
      </w:pPr>
      <w:r>
        <w:rPr>
          <w:rFonts w:ascii="Liberation Sans" w:hAnsi="Liberation Sans"/>
          <w:b w:val="0"/>
          <w:i w:val="0"/>
        </w:rPr>
        <w:t>C0 should not be defined as the durable identity. It should be the smallest source-addressable evidence unit capable of being replayed and falsified. Its canonical output should distinguish three linked products: an entity claim, a binding claim, and a state observation.</w:t>
      </w:r>
    </w:p>
    <w:tbl>
      <w:tblPr>
        <w:tblW w:type="auto" w:w="0"/>
        <w:jc w:val="center"/>
        <w:tblLayout w:type="fixed"/>
        <w:tblLook w:firstColumn="1" w:firstRow="1" w:lastColumn="0" w:lastRow="0" w:noHBand="0" w:noVBand="1" w:val="04A0"/>
      </w:tblPr>
      <w:tblGrid>
        <w:gridCol w:w="9994"/>
      </w:tblGrid>
      <w:tr>
        <w:trPr>
          <w:cantSplit/>
        </w:trPr>
        <w:tc>
          <w:tcPr>
            <w:tcW w:type="dxa" w:w="9432"/>
            <w:shd w:fill="F7F8FA"/>
            <w:tcBorders>
              <w:top w:val="single" w:sz="4" w:color="D5DCE3"/>
              <w:left w:val="single" w:sz="4" w:color="D5DCE3"/>
              <w:bottom w:val="single" w:sz="4" w:color="D5DCE3"/>
              <w:right w:val="single" w:sz="4" w:color="D5DCE3"/>
            </w:tcBorders>
            <w:tcMar>
              <w:top w:w="120" w:type="dxa"/>
              <w:start w:w="155" w:type="dxa"/>
              <w:bottom w:w="120" w:type="dxa"/>
              <w:end w:w="155" w:type="dxa"/>
            </w:tcMar>
          </w:tcPr>
          <w:p>
            <w:pPr>
              <w:spacing w:after="0" w:line="240" w:lineRule="auto"/>
            </w:pPr>
            <w:r>
              <w:rPr>
                <w:rFonts w:ascii="Liberation Mono" w:hAnsi="Liberation Mono"/>
                <w:b w:val="0"/>
                <w:i w:val="0"/>
                <w:color w:val="25313B"/>
                <w:sz w:val="17"/>
              </w:rPr>
              <w:t>ENTITY CLAIM</w:t>
              <w:br/>
              <w:t xml:space="preserve">  “this source appears to denote an entity”</w:t>
              <w:br/>
              <w:br/>
              <w:t>BINDING CLAIM</w:t>
              <w:br/>
              <w:t xml:space="preserve">  “this source-native key refers to that entity during this interval”</w:t>
              <w:br/>
              <w:br/>
              <w:t>STATE OBSERVATION</w:t>
              <w:br/>
              <w:t xml:space="preserve">  “this was the observed state of that entity at this source vintage”</w:t>
            </w:r>
          </w:p>
        </w:tc>
      </w:tr>
    </w:tbl>
    <w:p>
      <w:pPr>
        <w:spacing w:after="0"/>
      </w:pPr>
    </w:p>
    <w:p>
      <w:pPr>
        <w:pStyle w:val="BodyText"/>
        <w:keepLines/>
      </w:pPr>
      <w:r>
        <w:rPr>
          <w:rFonts w:ascii="Liberation Sans" w:hAnsi="Liberation Sans"/>
          <w:b w:val="0"/>
          <w:i w:val="0"/>
        </w:rPr>
        <w:t>A rename should close one binding interval and open another while preserving the entity serial. A true replacement should mint a new serial and, where appropriate, record a successor relation. That choice belongs to the entity class’s declared continuity policy.</w:t>
      </w:r>
    </w:p>
    <w:p>
      <w:pPr>
        <w:pStyle w:val="Heading2"/>
        <w:keepNext/>
        <w:keepLines/>
      </w:pPr>
      <w:r>
        <w:rPr>
          <w:rFonts w:ascii="Liberation Sans" w:hAnsi="Liberation Sans"/>
        </w:rPr>
        <w:t>4.6 Reconcile independently minted identities</w:t>
      </w:r>
    </w:p>
    <w:p>
      <w:pPr>
        <w:pStyle w:val="BodyText"/>
        <w:keepLines/>
      </w:pPr>
      <w:r>
        <w:rPr>
          <w:rFonts w:ascii="Liberation Sans" w:hAnsi="Liberation Sans"/>
          <w:b w:val="0"/>
          <w:i w:val="0"/>
        </w:rPr>
        <w:t>Rule 26 permits independent derivation on separate fabrics, which creates a distributed identity problem: two devices can discover the same entity and mint different serials. The ledger therefore needs non-destructive identity reconciliation. Historical observations should not be rewritten or deleted when co-reference is discovered.</w:t>
      </w:r>
    </w:p>
    <w:p>
      <w:pPr>
        <w:spacing w:after="60"/>
        <w:keepNext/>
        <w:keepLines/>
      </w:pPr>
      <w:r>
        <w:rPr>
          <w:rFonts w:ascii="Liberation Sans" w:hAnsi="Liberation Sans"/>
          <w:b/>
          <w:i w:val="0"/>
          <w:color w:val="2E5D7B"/>
          <w:sz w:val="18"/>
        </w:rPr>
        <w:t>Required reconciliation relations</w:t>
      </w:r>
    </w:p>
    <w:tbl>
      <w:tblPr>
        <w:tblW w:type="auto" w:w="0"/>
        <w:jc w:val="center"/>
        <w:tblLayout w:type="fixed"/>
        <w:tblLook w:firstColumn="1" w:firstRow="1" w:lastColumn="0" w:lastRow="0" w:noHBand="0" w:noVBand="1" w:val="04A0"/>
      </w:tblPr>
      <w:tblGrid>
        <w:gridCol w:w="9994"/>
      </w:tblGrid>
      <w:tr>
        <w:trPr>
          <w:cantSplit/>
        </w:trPr>
        <w:tc>
          <w:tcPr>
            <w:tcW w:type="dxa" w:w="9432"/>
            <w:shd w:fill="F7F8FA"/>
            <w:tcBorders>
              <w:top w:val="single" w:sz="4" w:color="D5DCE3"/>
              <w:left w:val="single" w:sz="4" w:color="D5DCE3"/>
              <w:bottom w:val="single" w:sz="4" w:color="D5DCE3"/>
              <w:right w:val="single" w:sz="4" w:color="D5DCE3"/>
            </w:tcBorders>
            <w:tcMar>
              <w:top w:w="120" w:type="dxa"/>
              <w:start w:w="155" w:type="dxa"/>
              <w:bottom w:w="120" w:type="dxa"/>
              <w:end w:w="155" w:type="dxa"/>
            </w:tcMar>
          </w:tcPr>
          <w:p>
            <w:pPr>
              <w:spacing w:after="0" w:line="240" w:lineRule="auto"/>
            </w:pPr>
            <w:r>
              <w:rPr>
                <w:rFonts w:ascii="Liberation Mono" w:hAnsi="Liberation Mono"/>
                <w:b w:val="0"/>
                <w:i w:val="0"/>
                <w:color w:val="25313B"/>
                <w:sz w:val="17"/>
              </w:rPr>
              <w:t>IDENTITY_CANDIDATE_EQUIVALENCE</w:t>
              <w:br/>
              <w:t>IDENTITY_MERGE</w:t>
              <w:br/>
              <w:t>CANONICAL_ALIAS</w:t>
              <w:br/>
              <w:t>IDENTITY_SPLIT</w:t>
            </w:r>
          </w:p>
        </w:tc>
      </w:tr>
    </w:tbl>
    <w:p>
      <w:pPr>
        <w:spacing w:after="0"/>
      </w:pPr>
    </w:p>
    <w:p>
      <w:pPr>
        <w:pStyle w:val="BodyText"/>
        <w:keepLines/>
      </w:pPr>
      <w:r>
        <w:rPr>
          <w:rFonts w:ascii="Liberation Sans" w:hAnsi="Liberation Sans"/>
          <w:b w:val="0"/>
          <w:i w:val="0"/>
        </w:rPr>
        <w:t>A merge can canonicalize both prior serials to one surviving identity or one new canonical serial, while preserving the provenance and observations attached to each original mint.</w:t>
      </w:r>
    </w:p>
    <w:p>
      <w:pPr>
        <w:pStyle w:val="Heading1"/>
        <w:keepNext/>
        <w:keepLines/>
      </w:pPr>
      <w:r>
        <w:rPr>
          <w:rFonts w:ascii="Liberation Sans" w:hAnsi="Liberation Sans"/>
        </w:rPr>
        <w:t>5. State and Coherence Mechanics</w:t>
      </w:r>
    </w:p>
    <w:tbl>
      <w:tblPr>
        <w:tblW w:type="auto" w:w="0"/>
        <w:jc w:val="center"/>
        <w:tblLayout w:type="fixed"/>
        <w:tblLook w:firstColumn="1" w:firstRow="1" w:lastColumn="0" w:lastRow="0" w:noHBand="0" w:noVBand="1" w:val="04A0"/>
      </w:tblPr>
      <w:tblGrid>
        <w:gridCol w:w="9994"/>
      </w:tblGrid>
      <w:tr>
        <w:trPr>
          <w:cantSplit/>
        </w:trPr>
        <w:tc>
          <w:tcPr>
            <w:tcW w:type="dxa" w:w="9576"/>
            <w:shd w:fill="E7F2F2"/>
            <w:tcBorders>
              <w:top w:val="single" w:sz="4" w:color="E7F2F2"/>
              <w:left w:val="single" w:sz="18" w:color="2B7A78"/>
              <w:bottom w:val="single" w:sz="4" w:color="E7F2F2"/>
              <w:right w:val="single" w:sz="4" w:color="E7F2F2"/>
            </w:tcBorders>
            <w:tcMar>
              <w:top w:w="150" w:type="dxa"/>
              <w:start w:w="180" w:type="dxa"/>
              <w:bottom w:w="145" w:type="dxa"/>
              <w:end w:w="180" w:type="dxa"/>
            </w:tcMar>
          </w:tcPr>
          <w:p>
            <w:pPr>
              <w:spacing w:after="80"/>
            </w:pPr>
            <w:r>
              <w:rPr>
                <w:rFonts w:ascii="Liberation Sans" w:hAnsi="Liberation Sans"/>
                <w:b/>
                <w:i w:val="0"/>
                <w:color w:val="2B7A78"/>
                <w:sz w:val="21"/>
              </w:rPr>
              <w:t>Coherence principle</w:t>
            </w:r>
          </w:p>
          <w:p>
            <w:pPr>
              <w:spacing w:after="0"/>
            </w:pPr>
            <w:r>
              <w:rPr>
                <w:rFonts w:ascii="Liberation Sans" w:hAnsi="Liberation Sans"/>
                <w:b w:val="0"/>
                <w:i w:val="0"/>
                <w:color w:val="111111"/>
                <w:sz w:val="19"/>
              </w:rPr>
              <w:t>A surface is not simply coherent or incoherent. It is coherent with respect to a declared target, source frontier, materializer version, authority, fabric, and publication policy.</w:t>
            </w:r>
          </w:p>
        </w:tc>
      </w:tr>
    </w:tbl>
    <w:p>
      <w:pPr>
        <w:spacing w:after="0"/>
      </w:pPr>
    </w:p>
    <w:p>
      <w:pPr>
        <w:pStyle w:val="Heading2"/>
        <w:keepNext/>
        <w:keepLines/>
      </w:pPr>
      <w:r>
        <w:rPr>
          <w:rFonts w:ascii="Liberation Sans" w:hAnsi="Liberation Sans"/>
        </w:rPr>
        <w:t>5.1 Three state-carrier classes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Carrier</w:t>
            </w:r>
          </w:p>
        </w:tc>
        <w:tc>
          <w:tcPr>
            <w:tcW w:type="dxa" w:w="2232"/>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Authority class</w:t>
            </w:r>
          </w:p>
        </w:tc>
        <w:tc>
          <w:tcPr>
            <w:tcW w:type="dxa" w:w="5040"/>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State rule</w:t>
            </w:r>
          </w:p>
        </w:tc>
      </w:tr>
      <w:tr>
        <w:trPr>
          <w:cantSplit/>
        </w:trPr>
        <w:tc>
          <w:tcPr>
            <w:tcW w:type="dxa" w:w="223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C0 fact/observation records</w:t>
            </w:r>
          </w:p>
        </w:tc>
        <w:tc>
          <w:tcPr>
            <w:tcW w:type="dxa" w:w="223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Observed evidence</w:t>
            </w:r>
          </w:p>
        </w:tc>
        <w:tc>
          <w:tcPr>
            <w:tcW w:type="dxa" w:w="504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Append-only observations; latest standing is a projection over serial, source space, fabric, and vintage.</w:t>
            </w:r>
          </w:p>
        </w:tc>
      </w:tr>
      <w:tr>
        <w:trPr>
          <w:cantSplit/>
        </w:trPr>
        <w:tc>
          <w:tcPr>
            <w:tcW w:type="dxa" w:w="223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Iceberg / Nessie graph estate</w:t>
            </w:r>
          </w:p>
        </w:tc>
        <w:tc>
          <w:tcPr>
            <w:tcW w:type="dxa" w:w="223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Versioned authority</w:t>
            </w:r>
          </w:p>
        </w:tc>
        <w:tc>
          <w:tcPr>
            <w:tcW w:type="dxa" w:w="504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Nessie refs adjudicate which immutable graph version is current or selected.</w:t>
            </w:r>
          </w:p>
        </w:tc>
      </w:tr>
      <w:tr>
        <w:trPr>
          <w:cantSplit/>
        </w:trPr>
        <w:tc>
          <w:tcPr>
            <w:tcW w:type="dxa" w:w="223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Kuzu and other serving stores</w:t>
            </w:r>
          </w:p>
        </w:tc>
        <w:tc>
          <w:tcPr>
            <w:tcW w:type="dxa" w:w="223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Disposable projection</w:t>
            </w:r>
          </w:p>
        </w:tc>
        <w:tc>
          <w:tcPr>
            <w:tcW w:type="dxa" w:w="504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Device-local or fabric-local projection pinned to an immutable upstream graph version and projection materializer.</w:t>
            </w:r>
          </w:p>
        </w:tc>
      </w:tr>
    </w:tbl>
    <w:p>
      <w:pPr>
        <w:spacing w:after="0"/>
      </w:pPr>
    </w:p>
    <w:p>
      <w:pPr>
        <w:pStyle w:val="Heading2"/>
        <w:keepNext/>
        <w:keepLines/>
      </w:pPr>
      <w:r>
        <w:rPr>
          <w:rFonts w:ascii="Liberation Sans" w:hAnsi="Liberation Sans"/>
        </w:rPr>
        <w:t>5.2 Replace “one head” with a source frontier</w:t>
      </w:r>
    </w:p>
    <w:p>
      <w:pPr>
        <w:pStyle w:val="BodyText"/>
        <w:keepLines/>
      </w:pPr>
      <w:r>
        <w:rPr>
          <w:rFonts w:ascii="Liberation Sans" w:hAnsi="Liberation Sans"/>
          <w:b w:val="0"/>
          <w:i w:val="0"/>
        </w:rPr>
        <w:t>A graph version is normally derived from several independently versioned authorities. The correct provenance unit is a source frontier—a vector of source serials, authority references, versions, observation times, and device context—not one scalar head.</w:t>
      </w:r>
    </w:p>
    <w:tbl>
      <w:tblPr>
        <w:tblW w:type="auto" w:w="0"/>
        <w:jc w:val="center"/>
        <w:tblLayout w:type="fixed"/>
        <w:tblLook w:firstColumn="1" w:firstRow="1" w:lastColumn="0" w:lastRow="0" w:noHBand="0" w:noVBand="1" w:val="04A0"/>
      </w:tblPr>
      <w:tblGrid>
        <w:gridCol w:w="9994"/>
      </w:tblGrid>
      <w:tr>
        <w:trPr>
          <w:cantSplit/>
        </w:trPr>
        <w:tc>
          <w:tcPr>
            <w:tcW w:type="dxa" w:w="9432"/>
            <w:shd w:fill="F7F8FA"/>
            <w:tcBorders>
              <w:top w:val="single" w:sz="4" w:color="D5DCE3"/>
              <w:left w:val="single" w:sz="4" w:color="D5DCE3"/>
              <w:bottom w:val="single" w:sz="4" w:color="D5DCE3"/>
              <w:right w:val="single" w:sz="4" w:color="D5DCE3"/>
            </w:tcBorders>
            <w:tcMar>
              <w:top w:w="120" w:type="dxa"/>
              <w:start w:w="155" w:type="dxa"/>
              <w:bottom w:w="120" w:type="dxa"/>
              <w:end w:w="155" w:type="dxa"/>
            </w:tcMar>
          </w:tcPr>
          <w:p>
            <w:pPr>
              <w:spacing w:after="0" w:line="240" w:lineRule="auto"/>
            </w:pPr>
            <w:r>
              <w:rPr>
                <w:rFonts w:ascii="Liberation Mono" w:hAnsi="Liberation Mono"/>
                <w:b w:val="0"/>
                <w:i w:val="0"/>
                <w:color w:val="25313B"/>
                <w:sz w:val="17"/>
              </w:rPr>
              <w:t>SOURCE FRONTIER F_n</w:t>
              <w:br/>
              <w:t xml:space="preserve">    + MATERIALIZER VERSION M_v</w:t>
              <w:br/>
              <w:t xml:space="preserve">    + DECLARED OPINION CONTRACT O_v</w:t>
              <w:br/>
              <w:t xml:space="preserve">        ↓</w:t>
              <w:br/>
              <w:t>CANONICAL GRAPH VERSION G_n</w:t>
              <w:br/>
              <w:t xml:space="preserve">        ↓  Nessie publishes target/current ref</w:t>
              <w:br/>
              <w:t>KUZU PROJECTION K_n</w:t>
              <w:br/>
              <w:t xml:space="preserve">    pinned to G_n and projection materializer P_v</w:t>
            </w:r>
          </w:p>
        </w:tc>
      </w:tr>
    </w:tbl>
    <w:p>
      <w:pPr>
        <w:spacing w:after="0"/>
      </w:pPr>
    </w:p>
    <w:p>
      <w:pPr>
        <w:pStyle w:val="BodyText"/>
        <w:keepLines/>
      </w:pPr>
      <w:r>
        <w:rPr>
          <w:rFonts w:ascii="Liberation Sans" w:hAnsi="Liberation Sans"/>
          <w:b w:val="0"/>
          <w:i w:val="0"/>
        </w:rPr>
        <w:t>This enables the system to distinguish source change from process change. If the frontier is identical but the output changes under a new materializer version, the delta belongs to the process. If the materializer is identical but the frontier advances, the delta belongs to the source estate.</w:t>
      </w:r>
    </w:p>
    <w:p>
      <w:pPr>
        <w:pStyle w:val="Heading2"/>
        <w:keepNext/>
        <w:keepLines/>
      </w:pPr>
      <w:r>
        <w:rPr>
          <w:rFonts w:ascii="Liberation Sans" w:hAnsi="Liberation Sans"/>
        </w:rPr>
        <w:t>5.3 Target policy prevents false-stale findings</w:t>
      </w:r>
    </w:p>
    <w:p>
      <w:pPr>
        <w:pStyle w:val="BodyText"/>
        <w:keepLines/>
      </w:pPr>
      <w:r>
        <w:rPr>
          <w:rFonts w:ascii="Liberation Sans" w:hAnsi="Liberation Sans"/>
          <w:b w:val="0"/>
          <w:i w:val="0"/>
        </w:rPr>
        <w:t>A projection being behind the latest observed source is not automatically wrong. It may be intentionally pinned to a historical replay, an approved release, or an as-of frontier. Every coherence evaluation therefore needs a declared target policy.</w:t>
      </w:r>
    </w:p>
    <w:p>
      <w:pPr>
        <w:spacing w:after="60"/>
        <w:keepNext/>
        <w:keepLines/>
      </w:pPr>
      <w:r>
        <w:rPr>
          <w:rFonts w:ascii="Liberation Sans" w:hAnsi="Liberation Sans"/>
          <w:b/>
          <w:i w:val="0"/>
          <w:color w:val="2E5D7B"/>
          <w:sz w:val="18"/>
        </w:rPr>
        <w:t>Recommended target-policy axis</w:t>
      </w:r>
    </w:p>
    <w:tbl>
      <w:tblPr>
        <w:tblW w:type="auto" w:w="0"/>
        <w:jc w:val="center"/>
        <w:tblLayout w:type="fixed"/>
        <w:tblLook w:firstColumn="1" w:firstRow="1" w:lastColumn="0" w:lastRow="0" w:noHBand="0" w:noVBand="1" w:val="04A0"/>
      </w:tblPr>
      <w:tblGrid>
        <w:gridCol w:w="9994"/>
      </w:tblGrid>
      <w:tr>
        <w:trPr>
          <w:cantSplit/>
        </w:trPr>
        <w:tc>
          <w:tcPr>
            <w:tcW w:type="dxa" w:w="9432"/>
            <w:shd w:fill="F7F8FA"/>
            <w:tcBorders>
              <w:top w:val="single" w:sz="4" w:color="D5DCE3"/>
              <w:left w:val="single" w:sz="4" w:color="D5DCE3"/>
              <w:bottom w:val="single" w:sz="4" w:color="D5DCE3"/>
              <w:right w:val="single" w:sz="4" w:color="D5DCE3"/>
            </w:tcBorders>
            <w:tcMar>
              <w:top w:w="120" w:type="dxa"/>
              <w:start w:w="155" w:type="dxa"/>
              <w:bottom w:w="120" w:type="dxa"/>
              <w:end w:w="155" w:type="dxa"/>
            </w:tcMar>
          </w:tcPr>
          <w:p>
            <w:pPr>
              <w:spacing w:after="0" w:line="240" w:lineRule="auto"/>
            </w:pPr>
            <w:r>
              <w:rPr>
                <w:rFonts w:ascii="Liberation Mono" w:hAnsi="Liberation Mono"/>
                <w:b w:val="0"/>
                <w:i w:val="0"/>
                <w:color w:val="25313B"/>
                <w:sz w:val="17"/>
              </w:rPr>
              <w:t>LATEST_AUTHORITY</w:t>
              <w:br/>
              <w:t>DECLARED_RELEASE</w:t>
              <w:br/>
              <w:t>AS_OF_FRONTIER</w:t>
              <w:br/>
              <w:t>HISTORICAL_REPLAY</w:t>
            </w:r>
          </w:p>
        </w:tc>
      </w:tr>
    </w:tbl>
    <w:p>
      <w:pPr>
        <w:spacing w:after="0"/>
      </w:pPr>
    </w:p>
    <w:p>
      <w:pPr>
        <w:pStyle w:val="Heading2"/>
        <w:keepNext/>
        <w:keepLines/>
      </w:pPr>
      <w:r>
        <w:rPr>
          <w:rFonts w:ascii="Liberation Sans" w:hAnsi="Liberation Sans"/>
        </w:rPr>
        <w:t>5.4 Coherence as a multi-axis evaluation</w:t>
      </w:r>
    </w:p>
    <w:p>
      <w:pPr>
        <w:pStyle w:val="BodyText"/>
        <w:keepLines/>
      </w:pPr>
      <w:r>
        <w:rPr>
          <w:rFonts w:ascii="Liberation Sans" w:hAnsi="Liberation Sans"/>
          <w:b w:val="0"/>
          <w:i w:val="0"/>
        </w:rPr>
        <w:t>Do not compress availability, integrity, currency, provenance, and fabric validity into one mixed enum. They have different owners, remedies, and failure mechanics. A coherence evaluator should emit one immutable assessment record with separate axes.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Axis</w:t>
            </w:r>
          </w:p>
        </w:tc>
        <w:tc>
          <w:tcPr>
            <w:tcW w:type="dxa" w:w="7200"/>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Illustrative values</w:t>
            </w:r>
          </w:p>
        </w:tc>
      </w:tr>
      <w:tr>
        <w:trPr>
          <w:cantSplit/>
        </w:trPr>
        <w:tc>
          <w:tcPr>
            <w:tcW w:type="dxa" w:w="223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Availability</w:t>
            </w:r>
          </w:p>
        </w:tc>
        <w:tc>
          <w:tcPr>
            <w:tcW w:type="dxa" w:w="720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AVAILABLE · PARTIAL · UNAVAILABLE</w:t>
            </w:r>
          </w:p>
        </w:tc>
      </w:tr>
      <w:tr>
        <w:trPr>
          <w:cantSplit/>
        </w:trPr>
        <w:tc>
          <w:tcPr>
            <w:tcW w:type="dxa" w:w="223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Integrity</w:t>
            </w:r>
          </w:p>
        </w:tc>
        <w:tc>
          <w:tcPr>
            <w:tcW w:type="dxa" w:w="720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VERIFIED · MISMATCH · UNVERIFIED</w:t>
            </w:r>
          </w:p>
        </w:tc>
      </w:tr>
      <w:tr>
        <w:trPr>
          <w:cantSplit/>
        </w:trPr>
        <w:tc>
          <w:tcPr>
            <w:tcW w:type="dxa" w:w="223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Currency</w:t>
            </w:r>
          </w:p>
        </w:tc>
        <w:tc>
          <w:tcPr>
            <w:tcW w:type="dxa" w:w="720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AT_TARGET · BEHIND_TARGET · AHEAD_OF_TARGET · UNKNOWN</w:t>
            </w:r>
          </w:p>
        </w:tc>
      </w:tr>
      <w:tr>
        <w:trPr>
          <w:cantSplit/>
        </w:trPr>
        <w:tc>
          <w:tcPr>
            <w:tcW w:type="dxa" w:w="223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Provenance</w:t>
            </w:r>
          </w:p>
        </w:tc>
        <w:tc>
          <w:tcPr>
            <w:tcW w:type="dxa" w:w="720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COMPLETE · INCOMPLETE · UNRESOLVED</w:t>
            </w:r>
          </w:p>
        </w:tc>
      </w:tr>
      <w:tr>
        <w:trPr>
          <w:cantSplit/>
        </w:trPr>
        <w:tc>
          <w:tcPr>
            <w:tcW w:type="dxa" w:w="223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Fabric validity</w:t>
            </w:r>
          </w:p>
        </w:tc>
        <w:tc>
          <w:tcPr>
            <w:tcW w:type="dxa" w:w="720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VALID_FOR_FABRIC · FOREIGN_FABRIC · UNKNOWN</w:t>
            </w:r>
          </w:p>
        </w:tc>
      </w:tr>
    </w:tbl>
    <w:p>
      <w:pPr>
        <w:spacing w:after="0"/>
      </w:pPr>
    </w:p>
    <w:p>
      <w:pPr>
        <w:pStyle w:val="Heading2"/>
        <w:keepNext/>
        <w:keepLines/>
      </w:pPr>
      <w:r>
        <w:rPr>
          <w:rFonts w:ascii="Liberation Sans" w:hAnsi="Liberation Sans"/>
        </w:rPr>
        <w:t>5.5 Define the deltas explicitly</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Delta</w:t>
            </w:r>
          </w:p>
        </w:tc>
        <w:tc>
          <w:tcPr>
            <w:tcW w:type="dxa" w:w="3816"/>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Comparison</w:t>
            </w:r>
          </w:p>
        </w:tc>
        <w:tc>
          <w:tcPr>
            <w:tcW w:type="dxa" w:w="3816"/>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Question answered</w:t>
            </w:r>
          </w:p>
        </w:tc>
      </w:tr>
      <w:tr>
        <w:trPr>
          <w:cantSplit/>
        </w:trPr>
        <w:tc>
          <w:tcPr>
            <w:tcW w:type="dxa" w:w="180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Temporal entity delta</w:t>
            </w:r>
          </w:p>
        </w:tc>
        <w:tc>
          <w:tcPr>
            <w:tcW w:type="dxa" w:w="3816"/>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Same entity across successive observations</w:t>
            </w:r>
          </w:p>
        </w:tc>
        <w:tc>
          <w:tcPr>
            <w:tcW w:type="dxa" w:w="3816"/>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What changed in the object itself?</w:t>
            </w:r>
          </w:p>
        </w:tc>
      </w:tr>
      <w:tr>
        <w:trPr>
          <w:cantSplit/>
        </w:trPr>
        <w:tc>
          <w:tcPr>
            <w:tcW w:type="dxa" w:w="180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Binding delta</w:t>
            </w:r>
          </w:p>
        </w:tc>
        <w:tc>
          <w:tcPr>
            <w:tcW w:type="dxa" w:w="3816"/>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Same identity across changing source keys</w:t>
            </w:r>
          </w:p>
        </w:tc>
        <w:tc>
          <w:tcPr>
            <w:tcW w:type="dxa" w:w="3816"/>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Did the object move, rename, or rebind?</w:t>
            </w:r>
          </w:p>
        </w:tc>
      </w:tr>
      <w:tr>
        <w:trPr>
          <w:cantSplit/>
        </w:trPr>
        <w:tc>
          <w:tcPr>
            <w:tcW w:type="dxa" w:w="180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Fabric delta</w:t>
            </w:r>
          </w:p>
        </w:tc>
        <w:tc>
          <w:tcPr>
            <w:tcW w:type="dxa" w:w="3816"/>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Equivalent logical target across physical instances</w:t>
            </w:r>
          </w:p>
        </w:tc>
        <w:tc>
          <w:tcPr>
            <w:tcW w:type="dxa" w:w="3816"/>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Do supposedly equivalent fabric instances agree?</w:t>
            </w:r>
          </w:p>
        </w:tc>
      </w:tr>
      <w:tr>
        <w:trPr>
          <w:cantSplit/>
        </w:trPr>
        <w:tc>
          <w:tcPr>
            <w:tcW w:type="dxa" w:w="180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Projection delta</w:t>
            </w:r>
          </w:p>
        </w:tc>
        <w:tc>
          <w:tcPr>
            <w:tcW w:type="dxa" w:w="3816"/>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Derived projection versus declared upstream target</w:t>
            </w:r>
          </w:p>
        </w:tc>
        <w:tc>
          <w:tcPr>
            <w:tcW w:type="dxa" w:w="3816"/>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Is the serving layer aligned with the intended graph publication?</w:t>
            </w:r>
          </w:p>
        </w:tc>
      </w:tr>
      <w:tr>
        <w:trPr>
          <w:cantSplit/>
        </w:trPr>
        <w:tc>
          <w:tcPr>
            <w:tcW w:type="dxa" w:w="180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Producer delta</w:t>
            </w:r>
          </w:p>
        </w:tc>
        <w:tc>
          <w:tcPr>
            <w:tcW w:type="dxa" w:w="3816"/>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Same source frontier under different materializer versions</w:t>
            </w:r>
          </w:p>
        </w:tc>
        <w:tc>
          <w:tcPr>
            <w:tcW w:type="dxa" w:w="3816"/>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Did process semantics, configuration, or dependencies change the output?</w:t>
            </w:r>
          </w:p>
        </w:tc>
      </w:tr>
    </w:tbl>
    <w:p>
      <w:pPr>
        <w:spacing w:after="0"/>
      </w:pPr>
    </w:p>
    <w:p>
      <w:pPr>
        <w:pStyle w:val="Heading2"/>
        <w:keepNext/>
        <w:keepLines/>
      </w:pPr>
      <w:r>
        <w:rPr>
          <w:rFonts w:ascii="Liberation Sans" w:hAnsi="Liberation Sans"/>
        </w:rPr>
        <w:t>5.6 Rule 26 becomes enforceable metadata</w:t>
      </w:r>
    </w:p>
    <w:p>
      <w:pPr>
        <w:pStyle w:val="BodyText"/>
        <w:keepLines/>
      </w:pPr>
      <w:r>
        <w:rPr>
          <w:rFonts w:ascii="Liberation Sans" w:hAnsi="Liberation Sans"/>
          <w:b w:val="0"/>
          <w:i w:val="0"/>
        </w:rPr>
        <w:t>Rule 26’s generalized principle is that the device holding the substrate performs the derivation. Under the Issue 3A contract, every observation, run, and physical projection carries its fabric and device identity. A site-Z fusion cannot silently consume laptop-local graph state because the foreign-fabric relation is structurally visible and rejectable.</w:t>
      </w:r>
    </w:p>
    <w:p>
      <w:pPr>
        <w:pStyle w:val="BodyText"/>
        <w:keepLines/>
      </w:pPr>
      <w:r>
        <w:rPr>
          <w:rFonts w:ascii="Liberation Sans" w:hAnsi="Liberation Sans"/>
          <w:b w:val="0"/>
          <w:i w:val="0"/>
        </w:rPr>
        <w:t>This preserves the distinction between fabric-invariant authorities—such as a shared Git object or AWS resource—and device-local projections, caches, databases, and temporary artifacts.</w:t>
      </w:r>
    </w:p>
    <w:p>
      <w:pPr>
        <w:pStyle w:val="Heading1"/>
        <w:keepNext/>
        <w:keepLines/>
      </w:pPr>
      <w:r>
        <w:rPr>
          <w:rFonts w:ascii="Liberation Sans" w:hAnsi="Liberation Sans"/>
        </w:rPr>
        <w:t>6. Bridges, Fusion, and Temporal Identity</w:t>
      </w:r>
    </w:p>
    <w:p>
      <w:pPr>
        <w:pStyle w:val="Heading2"/>
        <w:keepNext/>
        <w:keepLines/>
      </w:pPr>
      <w:r>
        <w:rPr>
          <w:rFonts w:ascii="Liberation Sans" w:hAnsi="Liberation Sans"/>
        </w:rPr>
        <w:t>6.1 The bridge registry follows the 3A contract</w:t>
      </w:r>
    </w:p>
    <w:p>
      <w:pPr>
        <w:pStyle w:val="BodyText"/>
        <w:keepLines/>
      </w:pPr>
      <w:r>
        <w:rPr>
          <w:rFonts w:ascii="Liberation Sans" w:hAnsi="Liberation Sans"/>
          <w:b w:val="0"/>
          <w:i w:val="0"/>
        </w:rPr>
        <w:t>The L3 bridge scaffold can remain released and inert, but production bridge assertions should not be populated against free-text names or parsed tokens. Every endpoint should reference a stable entity serial and declare its native plane and grain.</w:t>
      </w:r>
    </w:p>
    <w:tbl>
      <w:tblPr>
        <w:tblW w:type="auto" w:w="0"/>
        <w:jc w:val="center"/>
        <w:tblLayout w:type="fixed"/>
        <w:tblLook w:firstColumn="1" w:firstRow="1" w:lastColumn="0" w:lastRow="0" w:noHBand="0" w:noVBand="1" w:val="04A0"/>
      </w:tblPr>
      <w:tblGrid>
        <w:gridCol w:w="9994"/>
      </w:tblGrid>
      <w:tr>
        <w:trPr>
          <w:cantSplit/>
        </w:trPr>
        <w:tc>
          <w:tcPr>
            <w:tcW w:type="dxa" w:w="9432"/>
            <w:shd w:fill="F7F8FA"/>
            <w:tcBorders>
              <w:top w:val="single" w:sz="4" w:color="D5DCE3"/>
              <w:left w:val="single" w:sz="4" w:color="D5DCE3"/>
              <w:bottom w:val="single" w:sz="4" w:color="D5DCE3"/>
              <w:right w:val="single" w:sz="4" w:color="D5DCE3"/>
            </w:tcBorders>
            <w:tcMar>
              <w:top w:w="120" w:type="dxa"/>
              <w:start w:w="155" w:type="dxa"/>
              <w:bottom w:w="120" w:type="dxa"/>
              <w:end w:w="155" w:type="dxa"/>
            </w:tcMar>
          </w:tcPr>
          <w:p>
            <w:pPr>
              <w:spacing w:after="0" w:line="240" w:lineRule="auto"/>
            </w:pPr>
            <w:r>
              <w:rPr>
                <w:rFonts w:ascii="Liberation Mono" w:hAnsi="Liberation Mono"/>
                <w:b w:val="0"/>
                <w:i w:val="0"/>
                <w:color w:val="25313B"/>
                <w:sz w:val="17"/>
              </w:rPr>
              <w:t>subject_entity_serial</w:t>
              <w:br/>
              <w:t>subject_plane</w:t>
              <w:br/>
              <w:t>subject_grain</w:t>
              <w:br/>
              <w:t>relation_type</w:t>
              <w:br/>
              <w:t>object_entity_serial</w:t>
              <w:br/>
              <w:t>object_plane</w:t>
              <w:br/>
              <w:t>object_grain</w:t>
            </w:r>
          </w:p>
        </w:tc>
      </w:tr>
    </w:tbl>
    <w:p>
      <w:pPr>
        <w:spacing w:after="0"/>
      </w:pPr>
    </w:p>
    <w:p>
      <w:pPr>
        <w:pStyle w:val="BodyText"/>
        <w:keepLines/>
      </w:pPr>
      <w:r>
        <w:rPr>
          <w:rFonts w:ascii="Liberation Sans" w:hAnsi="Liberation Sans"/>
          <w:b w:val="0"/>
          <w:i w:val="0"/>
        </w:rPr>
        <w:t>The current two-value bridge basis—measured or inferred—should be replaced by separate origin and verification axes. A relation declared by the producing store is neither necessarily measured by D11 nor inferred by D11.</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Axis</w:t>
            </w:r>
          </w:p>
        </w:tc>
        <w:tc>
          <w:tcPr>
            <w:tcW w:type="dxa" w:w="7200"/>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Recommended values</w:t>
            </w:r>
          </w:p>
        </w:tc>
      </w:tr>
      <w:tr>
        <w:trPr>
          <w:cantSplit/>
        </w:trPr>
        <w:tc>
          <w:tcPr>
            <w:tcW w:type="dxa" w:w="223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Claim origin</w:t>
            </w:r>
          </w:p>
        </w:tc>
        <w:tc>
          <w:tcPr>
            <w:tcW w:type="dxa" w:w="720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PRODUCER_DECLARED · INDEPENDENTLY_OBSERVED · RULE_DERIVED · MODEL_INFERRED · HUMAN_ADJUDICATED</w:t>
            </w:r>
          </w:p>
        </w:tc>
      </w:tr>
      <w:tr>
        <w:trPr>
          <w:cantSplit/>
        </w:trPr>
        <w:tc>
          <w:tcPr>
            <w:tcW w:type="dxa" w:w="223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Verification standing</w:t>
            </w:r>
          </w:p>
        </w:tc>
        <w:tc>
          <w:tcPr>
            <w:tcW w:type="dxa" w:w="720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UNVERIFIED · CORROBORATED · CONTRADICTED · SUPERSEDED</w:t>
            </w:r>
          </w:p>
        </w:tc>
      </w:tr>
    </w:tbl>
    <w:p>
      <w:pPr>
        <w:spacing w:after="0"/>
      </w:pPr>
    </w:p>
    <w:p>
      <w:pPr>
        <w:pStyle w:val="BodyText"/>
        <w:keepLines/>
      </w:pPr>
      <w:r>
        <w:rPr>
          <w:rFonts w:ascii="Liberation Sans" w:hAnsi="Liberation Sans"/>
          <w:b w:val="0"/>
          <w:i w:val="0"/>
        </w:rPr>
        <w:t>Parses, naming conventions, and fuzzy matching may generate candidate bridge assertions. Only evidence-backed assertions should enter the admitted registry. That distinction preserves velocity without converting a useful heuristic into structural truth.</w:t>
      </w:r>
    </w:p>
    <w:tbl>
      <w:tblPr>
        <w:tblW w:type="auto" w:w="0"/>
        <w:jc w:val="center"/>
        <w:tblLayout w:type="fixed"/>
        <w:tblLook w:firstColumn="1" w:firstRow="1" w:lastColumn="0" w:lastRow="0" w:noHBand="0" w:noVBand="1" w:val="04A0"/>
      </w:tblPr>
      <w:tblGrid>
        <w:gridCol w:w="9994"/>
      </w:tblGrid>
      <w:tr>
        <w:trPr>
          <w:cantSplit/>
        </w:trPr>
        <w:tc>
          <w:tcPr>
            <w:tcW w:type="dxa" w:w="9432"/>
            <w:shd w:fill="F7F8FA"/>
            <w:tcBorders>
              <w:top w:val="single" w:sz="4" w:color="D5DCE3"/>
              <w:left w:val="single" w:sz="4" w:color="D5DCE3"/>
              <w:bottom w:val="single" w:sz="4" w:color="D5DCE3"/>
              <w:right w:val="single" w:sz="4" w:color="D5DCE3"/>
            </w:tcBorders>
            <w:tcMar>
              <w:top w:w="120" w:type="dxa"/>
              <w:start w:w="155" w:type="dxa"/>
              <w:bottom w:w="120" w:type="dxa"/>
              <w:end w:w="155" w:type="dxa"/>
            </w:tcMar>
          </w:tcPr>
          <w:p>
            <w:pPr>
              <w:spacing w:after="0" w:line="240" w:lineRule="auto"/>
            </w:pPr>
            <w:r>
              <w:rPr>
                <w:rFonts w:ascii="Liberation Mono" w:hAnsi="Liberation Mono"/>
                <w:b w:val="0"/>
                <w:i w:val="0"/>
                <w:color w:val="25313B"/>
                <w:sz w:val="17"/>
              </w:rPr>
              <w:t>candidate</w:t>
              <w:br/>
              <w:t xml:space="preserve">  → observable</w:t>
              <w:br/>
              <w:t xml:space="preserve">  → evidence captured</w:t>
              <w:br/>
              <w:t xml:space="preserve">  → discrimination passed</w:t>
              <w:br/>
              <w:t xml:space="preserve">  → admitted</w:t>
              <w:br/>
              <w:br/>
              <w:t>side exits: PRODUCER_GAP · AMBIGUOUS · REJECTED · SUPERSEDED</w:t>
            </w:r>
          </w:p>
        </w:tc>
      </w:tr>
    </w:tbl>
    <w:p>
      <w:pPr>
        <w:spacing w:after="0"/>
      </w:pPr>
    </w:p>
    <w:p>
      <w:pPr>
        <w:pStyle w:val="Heading2"/>
        <w:keepNext/>
        <w:keepLines/>
      </w:pPr>
      <w:r>
        <w:rPr>
          <w:rFonts w:ascii="Liberation Sans" w:hAnsi="Liberation Sans"/>
        </w:rPr>
        <w:t>6.2 Use declared carrier grains, not a universal entity type</w:t>
      </w:r>
    </w:p>
    <w:p>
      <w:pPr>
        <w:pStyle w:val="BodyText"/>
        <w:keepLines/>
      </w:pPr>
      <w:r>
        <w:rPr>
          <w:rFonts w:ascii="Liberation Sans" w:hAnsi="Liberation Sans"/>
          <w:b w:val="0"/>
          <w:i w:val="0"/>
        </w:rPr>
        <w:t>The source measurement correctly refused the premise that symbol, file, ARN resource, and chain motif share one universal grain. Fusion should instead declare a carrier grain for each run and compile projection operators from native planes into that analytical surface. A carrier grain is an analytical coordinate system, not a new ontology.</w:t>
      </w:r>
    </w:p>
    <w:p>
      <w:pPr>
        <w:pStyle w:val="BodyText"/>
        <w:keepLines/>
      </w:pPr>
      <w:r>
        <w:rPr>
          <w:rFonts w:ascii="Liberation Sans" w:hAnsi="Liberation Sans"/>
          <w:b w:val="0"/>
          <w:i w:val="0"/>
        </w:rPr>
        <w:t>The first decisive experiment should use file grain because behavior is already native there, symbol-to-file is the clearest bridge candidate, and file is currently the only measured plane.</w:t>
      </w:r>
    </w:p>
    <w:tbl>
      <w:tblPr>
        <w:tblW w:type="auto" w:w="0"/>
        <w:jc w:val="center"/>
        <w:tblLayout w:type="fixed"/>
        <w:tblLook w:firstColumn="1" w:firstRow="1" w:lastColumn="0" w:lastRow="0" w:noHBand="0" w:noVBand="1" w:val="04A0"/>
      </w:tblPr>
      <w:tblGrid>
        <w:gridCol w:w="9994"/>
      </w:tblGrid>
      <w:tr>
        <w:trPr>
          <w:cantSplit/>
        </w:trPr>
        <w:tc>
          <w:tcPr>
            <w:tcW w:type="dxa" w:w="9432"/>
            <w:shd w:fill="F7F8FA"/>
            <w:tcBorders>
              <w:top w:val="single" w:sz="4" w:color="D5DCE3"/>
              <w:left w:val="single" w:sz="4" w:color="D5DCE3"/>
              <w:bottom w:val="single" w:sz="4" w:color="D5DCE3"/>
              <w:right w:val="single" w:sz="4" w:color="D5DCE3"/>
            </w:tcBorders>
            <w:tcMar>
              <w:top w:w="120" w:type="dxa"/>
              <w:start w:w="155" w:type="dxa"/>
              <w:bottom w:w="120" w:type="dxa"/>
              <w:end w:w="155" w:type="dxa"/>
            </w:tcMar>
          </w:tcPr>
          <w:p>
            <w:pPr>
              <w:spacing w:after="0" w:line="240" w:lineRule="auto"/>
            </w:pPr>
            <w:r>
              <w:rPr>
                <w:rFonts w:ascii="Liberation Mono" w:hAnsi="Liberation Mono"/>
                <w:b w:val="0"/>
                <w:i w:val="0"/>
                <w:color w:val="25313B"/>
                <w:sz w:val="17"/>
              </w:rPr>
              <w:t>P_symbol→file        = admitted containment projection</w:t>
              <w:br/>
              <w:t>W_structure_symbol  = native structural affinity</w:t>
              <w:br/>
              <w:br/>
              <w:t>W_structure_file = normalize(</w:t>
              <w:br/>
              <w:t xml:space="preserve">    P_symbol→fileᵀ · W_structure_symbol · P_symbol→file</w:t>
              <w:br/>
              <w:t>)</w:t>
              <w:br/>
              <w:br/>
              <w:t>fuse W_structure_file with W_behavior_file</w:t>
            </w:r>
          </w:p>
        </w:tc>
      </w:tr>
    </w:tbl>
    <w:p>
      <w:pPr>
        <w:spacing w:after="0"/>
      </w:pPr>
    </w:p>
    <w:p>
      <w:pPr>
        <w:pStyle w:val="Heading2"/>
        <w:keepNext/>
        <w:keepLines/>
      </w:pPr>
      <w:r>
        <w:rPr>
          <w:rFonts w:ascii="Liberation Sans" w:hAnsi="Liberation Sans"/>
        </w:rPr>
        <w:t>6.3 Make system membership cover-capable</w:t>
      </w:r>
    </w:p>
    <w:p>
      <w:pPr>
        <w:pStyle w:val="BodyText"/>
        <w:keepLines/>
      </w:pPr>
      <w:r>
        <w:rPr>
          <w:rFonts w:ascii="Liberation Sans" w:hAnsi="Liberation Sans"/>
          <w:b w:val="0"/>
          <w:i w:val="0"/>
        </w:rPr>
        <w:t>The measured estate contains both mechanical overlap and genuinely cross-domain membership. A partition-only storage model would make the latter unrepresentable. The contract should therefore support zero-to-many system memberships even if the first algorithm emits one primary assignment.</w:t>
      </w:r>
    </w:p>
    <w:tbl>
      <w:tblPr>
        <w:tblW w:type="auto" w:w="0"/>
        <w:jc w:val="center"/>
        <w:tblLayout w:type="fixed"/>
        <w:tblLook w:firstColumn="1" w:firstRow="1" w:lastColumn="0" w:lastRow="0" w:noHBand="0" w:noVBand="1" w:val="04A0"/>
      </w:tblPr>
      <w:tblGrid>
        <w:gridCol w:w="9994"/>
      </w:tblGrid>
      <w:tr>
        <w:trPr>
          <w:cantSplit/>
        </w:trPr>
        <w:tc>
          <w:tcPr>
            <w:tcW w:type="dxa" w:w="9432"/>
            <w:shd w:fill="F7F8FA"/>
            <w:tcBorders>
              <w:top w:val="single" w:sz="4" w:color="D5DCE3"/>
              <w:left w:val="single" w:sz="4" w:color="D5DCE3"/>
              <w:bottom w:val="single" w:sz="4" w:color="D5DCE3"/>
              <w:right w:val="single" w:sz="4" w:color="D5DCE3"/>
            </w:tcBorders>
            <w:tcMar>
              <w:top w:w="120" w:type="dxa"/>
              <w:start w:w="155" w:type="dxa"/>
              <w:bottom w:w="120" w:type="dxa"/>
              <w:end w:w="155" w:type="dxa"/>
            </w:tcMar>
          </w:tcPr>
          <w:p>
            <w:pPr>
              <w:spacing w:after="0" w:line="240" w:lineRule="auto"/>
            </w:pPr>
            <w:r>
              <w:rPr>
                <w:rFonts w:ascii="Liberation Mono" w:hAnsi="Liberation Mono"/>
                <w:b w:val="0"/>
                <w:i w:val="0"/>
                <w:color w:val="25313B"/>
                <w:sz w:val="17"/>
              </w:rPr>
              <w:t>ENTITY ── MEMBER_OF ──&gt; SYSTEM</w:t>
              <w:br/>
              <w:t>membership cardinality: 0..N</w:t>
              <w:br/>
              <w:t>membership is versioned and evidence-bearing</w:t>
            </w:r>
          </w:p>
        </w:tc>
      </w:tr>
    </w:tbl>
    <w:p>
      <w:pPr>
        <w:spacing w:after="0"/>
      </w:pPr>
    </w:p>
    <w:p>
      <w:pPr>
        <w:pStyle w:val="BodyText"/>
        <w:keepLines/>
      </w:pPr>
      <w:r>
        <w:rPr>
          <w:rFonts w:ascii="Liberation Sans" w:hAnsi="Liberation Sans"/>
          <w:b w:val="0"/>
          <w:i w:val="0"/>
        </w:rPr>
        <w:t>The 540 cross-domain memberships should become a required regression cohort. Every materializer or clustering experiment must state what happened to them; a checkpoint cannot pass merely because the resulting partition is clean.</w:t>
      </w:r>
    </w:p>
    <w:p>
      <w:pPr>
        <w:pStyle w:val="Heading2"/>
        <w:keepNext/>
        <w:keepLines/>
      </w:pPr>
      <w:r>
        <w:rPr>
          <w:rFonts w:ascii="Liberation Sans" w:hAnsi="Liberation Sans"/>
        </w:rPr>
        <w:t>6.4 Amend L4 before ratification</w:t>
      </w:r>
    </w:p>
    <w:p>
      <w:pPr>
        <w:pStyle w:val="BodyText"/>
        <w:keepLines/>
      </w:pPr>
      <w:r>
        <w:rPr>
          <w:rFonts w:ascii="Liberation Sans" w:hAnsi="Liberation Sans"/>
          <w:b w:val="0"/>
          <w:i w:val="0"/>
        </w:rPr>
        <w:t>The draft wording “identity = position in fused space” should be amended. Fused position changes when views, bridges, normalization, algorithms, populations, or hyperparameters change. It is recognition evidence, not the enduring identity object.</w:t>
      </w:r>
    </w:p>
    <w:tbl>
      <w:tblPr>
        <w:tblW w:type="auto" w:w="0"/>
        <w:jc w:val="center"/>
        <w:tblLayout w:type="fixed"/>
        <w:tblLook w:firstColumn="1" w:firstRow="1" w:lastColumn="0" w:lastRow="0" w:noHBand="0" w:noVBand="1" w:val="04A0"/>
      </w:tblPr>
      <w:tblGrid>
        <w:gridCol w:w="9994"/>
      </w:tblGrid>
      <w:tr>
        <w:trPr>
          <w:cantSplit/>
        </w:trPr>
        <w:tc>
          <w:tcPr>
            <w:tcW w:type="dxa" w:w="9432"/>
            <w:shd w:fill="F7F8FA"/>
            <w:tcBorders>
              <w:top w:val="single" w:sz="4" w:color="D5DCE3"/>
              <w:left w:val="single" w:sz="4" w:color="D5DCE3"/>
              <w:bottom w:val="single" w:sz="4" w:color="D5DCE3"/>
              <w:right w:val="single" w:sz="4" w:color="D5DCE3"/>
            </w:tcBorders>
            <w:tcMar>
              <w:top w:w="120" w:type="dxa"/>
              <w:start w:w="155" w:type="dxa"/>
              <w:bottom w:w="120" w:type="dxa"/>
              <w:end w:w="155" w:type="dxa"/>
            </w:tcMar>
          </w:tcPr>
          <w:p>
            <w:pPr>
              <w:spacing w:after="0" w:line="240" w:lineRule="auto"/>
            </w:pPr>
            <w:r>
              <w:rPr>
                <w:rFonts w:ascii="Liberation Mono" w:hAnsi="Liberation Mono"/>
                <w:b w:val="0"/>
                <w:i w:val="0"/>
                <w:color w:val="25313B"/>
                <w:sz w:val="17"/>
              </w:rPr>
              <w:t>IDENTITY</w:t>
              <w:br/>
              <w:t xml:space="preserve">  opaque system serial, minted once</w:t>
              <w:br/>
              <w:br/>
              <w:t>SYSTEM VERSION</w:t>
              <w:br/>
              <w:t xml:space="preserve">  memberships and attributes at snapshot N</w:t>
              <w:br/>
              <w:br/>
              <w:t>FUSED SIGNATURE</w:t>
              <w:br/>
              <w:t xml:space="preserve">  versioned structural evidence used for matching</w:t>
              <w:br/>
              <w:br/>
              <w:t>SUCCESSION</w:t>
              <w:br/>
              <w:t xml:space="preserve">  append-only relation connecting versions and identities</w:t>
            </w:r>
          </w:p>
        </w:tc>
      </w:tr>
    </w:tbl>
    <w:p>
      <w:pPr>
        <w:spacing w:after="0"/>
      </w:pPr>
    </w:p>
    <w:p>
      <w:pPr>
        <w:pStyle w:val="BodyText"/>
        <w:keepLines/>
      </w:pPr>
      <w:r>
        <w:rPr>
          <w:rFonts w:ascii="Liberation Sans" w:hAnsi="Liberation Sans"/>
          <w:b w:val="0"/>
          <w:i w:val="0"/>
        </w:rPr>
        <w:t>The temporal relation graph should be primary truth. Birth, retirement, split, merge, continuation, and reorganization can then be derived from predecessor and successor cardinalities rather than forced into a prematurely closed event enum.</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Predecessors</w:t>
            </w:r>
          </w:p>
        </w:tc>
        <w:tc>
          <w:tcPr>
            <w:tcW w:type="dxa" w:w="1800"/>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Successors</w:t>
            </w:r>
          </w:p>
        </w:tc>
        <w:tc>
          <w:tcPr>
            <w:tcW w:type="dxa" w:w="5832"/>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Derived interpretation</w:t>
            </w:r>
          </w:p>
        </w:tc>
      </w:tr>
      <w:tr>
        <w:trPr>
          <w:cantSplit/>
        </w:trPr>
        <w:tc>
          <w:tcPr>
            <w:tcW w:type="dxa" w:w="180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0</w:t>
            </w:r>
          </w:p>
        </w:tc>
        <w:tc>
          <w:tcPr>
            <w:tcW w:type="dxa" w:w="180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1</w:t>
            </w:r>
          </w:p>
        </w:tc>
        <w:tc>
          <w:tcPr>
            <w:tcW w:type="dxa" w:w="583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Birth</w:t>
            </w:r>
          </w:p>
        </w:tc>
      </w:tr>
      <w:tr>
        <w:trPr>
          <w:cantSplit/>
        </w:trPr>
        <w:tc>
          <w:tcPr>
            <w:tcW w:type="dxa" w:w="180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1</w:t>
            </w:r>
          </w:p>
        </w:tc>
        <w:tc>
          <w:tcPr>
            <w:tcW w:type="dxa" w:w="180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0</w:t>
            </w:r>
          </w:p>
        </w:tc>
        <w:tc>
          <w:tcPr>
            <w:tcW w:type="dxa" w:w="583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Retirement</w:t>
            </w:r>
          </w:p>
        </w:tc>
      </w:tr>
      <w:tr>
        <w:trPr>
          <w:cantSplit/>
        </w:trPr>
        <w:tc>
          <w:tcPr>
            <w:tcW w:type="dxa" w:w="180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1</w:t>
            </w:r>
          </w:p>
        </w:tc>
        <w:tc>
          <w:tcPr>
            <w:tcW w:type="dxa" w:w="180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1</w:t>
            </w:r>
          </w:p>
        </w:tc>
        <w:tc>
          <w:tcPr>
            <w:tcW w:type="dxa" w:w="583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Continuation, rename, or mutation</w:t>
            </w:r>
          </w:p>
        </w:tc>
      </w:tr>
      <w:tr>
        <w:trPr>
          <w:cantSplit/>
        </w:trPr>
        <w:tc>
          <w:tcPr>
            <w:tcW w:type="dxa" w:w="180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1</w:t>
            </w:r>
          </w:p>
        </w:tc>
        <w:tc>
          <w:tcPr>
            <w:tcW w:type="dxa" w:w="180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many</w:t>
            </w:r>
          </w:p>
        </w:tc>
        <w:tc>
          <w:tcPr>
            <w:tcW w:type="dxa" w:w="583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Split</w:t>
            </w:r>
          </w:p>
        </w:tc>
      </w:tr>
      <w:tr>
        <w:trPr>
          <w:cantSplit/>
        </w:trPr>
        <w:tc>
          <w:tcPr>
            <w:tcW w:type="dxa" w:w="180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many</w:t>
            </w:r>
          </w:p>
        </w:tc>
        <w:tc>
          <w:tcPr>
            <w:tcW w:type="dxa" w:w="180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1</w:t>
            </w:r>
          </w:p>
        </w:tc>
        <w:tc>
          <w:tcPr>
            <w:tcW w:type="dxa" w:w="583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Merge</w:t>
            </w:r>
          </w:p>
        </w:tc>
      </w:tr>
      <w:tr>
        <w:trPr>
          <w:cantSplit/>
        </w:trPr>
        <w:tc>
          <w:tcPr>
            <w:tcW w:type="dxa" w:w="180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many</w:t>
            </w:r>
          </w:p>
        </w:tc>
        <w:tc>
          <w:tcPr>
            <w:tcW w:type="dxa" w:w="180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many</w:t>
            </w:r>
          </w:p>
        </w:tc>
        <w:tc>
          <w:tcPr>
            <w:tcW w:type="dxa" w:w="583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7"/>
              </w:rPr>
              <w:t>Reorganization</w:t>
            </w:r>
          </w:p>
        </w:tc>
      </w:tr>
    </w:tbl>
    <w:p>
      <w:pPr>
        <w:spacing w:after="0"/>
      </w:pPr>
    </w:p>
    <w:p>
      <w:pPr>
        <w:pStyle w:val="BodyText"/>
        <w:keepLines/>
      </w:pPr>
      <w:r>
        <w:rPr>
          <w:rFonts w:ascii="Liberation Sans" w:hAnsi="Liberation Sans"/>
          <w:b w:val="0"/>
          <w:i w:val="0"/>
        </w:rPr>
        <w:t>Ambiguous continuity must be legal and visible. It should not silently become either automatic continuation or a new identity.</w:t>
      </w:r>
    </w:p>
    <w:p>
      <w:pPr>
        <w:pStyle w:val="Heading1"/>
        <w:keepNext/>
        <w:keepLines/>
      </w:pPr>
      <w:r>
        <w:rPr>
          <w:rFonts w:ascii="Liberation Sans" w:hAnsi="Liberation Sans"/>
        </w:rPr>
        <w:t>7. Recommended Implementation Program</w:t>
      </w:r>
    </w:p>
    <w:p>
      <w:pPr>
        <w:pStyle w:val="Heading2"/>
        <w:keepNext/>
        <w:keepLines/>
      </w:pPr>
      <w:r>
        <w:rPr>
          <w:rFonts w:ascii="Liberation Sans" w:hAnsi="Liberation Sans"/>
        </w:rPr>
        <w:t>7.1 Phase 0 — Preserve the evidence estate</w:t>
      </w:r>
    </w:p>
    <w:p>
      <w:pPr>
        <w:pStyle w:val="ListBullet"/>
        <w:keepLines/>
      </w:pPr>
      <w:r>
        <w:rPr>
          <w:rFonts w:ascii="Liberation Sans" w:hAnsi="Liberation Sans"/>
          <w:b w:val="0"/>
          <w:i w:val="0"/>
        </w:rPr>
        <w:t>Place the current C2/C3 outputs in immutable, content-addressed storage or commit them directly if appropriate.</w:t>
      </w:r>
    </w:p>
    <w:p>
      <w:pPr>
        <w:pStyle w:val="ListBullet"/>
        <w:keepLines/>
      </w:pPr>
      <w:r>
        <w:rPr>
          <w:rFonts w:ascii="Liberation Sans" w:hAnsi="Liberation Sans"/>
          <w:b w:val="0"/>
          <w:i w:val="0"/>
        </w:rPr>
        <w:t>Commit a pointer manifest containing digests, source frontiers, seeds, parameters, dependency versions, and device identity.</w:t>
      </w:r>
    </w:p>
    <w:p>
      <w:pPr>
        <w:pStyle w:val="ListBullet"/>
        <w:keepLines/>
      </w:pPr>
      <w:r>
        <w:rPr>
          <w:rFonts w:ascii="Liberation Sans" w:hAnsi="Liberation Sans"/>
          <w:b w:val="0"/>
          <w:i w:val="0"/>
        </w:rPr>
        <w:t>Locate or reconstruct the structural-view producer and bind it to an immutable implementation version.</w:t>
      </w:r>
    </w:p>
    <w:p>
      <w:pPr>
        <w:pStyle w:val="ListBullet"/>
        <w:keepLines/>
      </w:pPr>
      <w:r>
        <w:rPr>
          <w:rFonts w:ascii="Liberation Sans" w:hAnsi="Liberation Sans"/>
          <w:b w:val="0"/>
          <w:i w:val="0"/>
        </w:rPr>
        <w:t>Record why any evidence is intentionally local, transient, or non-reproducible rather than leaving it untracked and undecided.</w:t>
      </w:r>
    </w:p>
    <w:tbl>
      <w:tblPr>
        <w:tblW w:type="auto" w:w="0"/>
        <w:jc w:val="center"/>
        <w:tblLayout w:type="fixed"/>
        <w:tblLook w:firstColumn="1" w:firstRow="1" w:lastColumn="0" w:lastRow="0" w:noHBand="0" w:noVBand="1" w:val="04A0"/>
      </w:tblPr>
      <w:tblGrid>
        <w:gridCol w:w="9994"/>
      </w:tblGrid>
      <w:tr>
        <w:trPr>
          <w:cantSplit/>
        </w:trPr>
        <w:tc>
          <w:tcPr>
            <w:tcW w:type="dxa" w:w="9576"/>
            <w:shd w:fill="F8EDEE"/>
            <w:tcBorders>
              <w:top w:val="single" w:sz="4" w:color="F8EDEE"/>
              <w:left w:val="single" w:sz="18" w:color="A33A3A"/>
              <w:bottom w:val="single" w:sz="4" w:color="F8EDEE"/>
              <w:right w:val="single" w:sz="4" w:color="F8EDEE"/>
            </w:tcBorders>
            <w:tcMar>
              <w:top w:w="150" w:type="dxa"/>
              <w:start w:w="180" w:type="dxa"/>
              <w:bottom w:w="145" w:type="dxa"/>
              <w:end w:w="180" w:type="dxa"/>
            </w:tcMar>
          </w:tcPr>
          <w:p>
            <w:pPr>
              <w:spacing w:after="80"/>
            </w:pPr>
            <w:r>
              <w:rPr>
                <w:rFonts w:ascii="Liberation Sans" w:hAnsi="Liberation Sans"/>
                <w:b/>
                <w:i w:val="0"/>
                <w:color w:val="A33A3A"/>
                <w:sz w:val="21"/>
              </w:rPr>
              <w:t>Gate</w:t>
            </w:r>
          </w:p>
          <w:p>
            <w:pPr>
              <w:spacing w:after="0"/>
            </w:pPr>
            <w:r>
              <w:rPr>
                <w:rFonts w:ascii="Liberation Sans" w:hAnsi="Liberation Sans"/>
                <w:b w:val="0"/>
                <w:i w:val="0"/>
                <w:color w:val="111111"/>
                <w:sz w:val="19"/>
              </w:rPr>
              <w:t>No new measurement should be admitted as structural truth unless another machine can authenticate the exact evidence and producer—or the locality exception is explicitly declared.</w:t>
            </w:r>
          </w:p>
        </w:tc>
      </w:tr>
    </w:tbl>
    <w:p>
      <w:pPr>
        <w:spacing w:after="0"/>
      </w:pPr>
    </w:p>
    <w:p>
      <w:pPr>
        <w:pStyle w:val="Heading2"/>
        <w:keepNext/>
        <w:keepLines/>
      </w:pPr>
      <w:r>
        <w:rPr>
          <w:rFonts w:ascii="Liberation Sans" w:hAnsi="Liberation Sans"/>
        </w:rPr>
        <w:t>7.2 Phase 1 — Amend and ratify the PRD</w:t>
      </w:r>
    </w:p>
    <w:p>
      <w:pPr>
        <w:pStyle w:val="ListBullet"/>
        <w:keepLines/>
      </w:pPr>
      <w:r>
        <w:rPr>
          <w:rFonts w:ascii="Liberation Sans" w:hAnsi="Liberation Sans"/>
          <w:b w:val="0"/>
          <w:i w:val="0"/>
        </w:rPr>
        <w:t>Identity is a minted serial; fused position is state evidence.</w:t>
      </w:r>
    </w:p>
    <w:p>
      <w:pPr>
        <w:pStyle w:val="ListBullet"/>
        <w:keepLines/>
      </w:pPr>
      <w:r>
        <w:rPr>
          <w:rFonts w:ascii="Liberation Sans" w:hAnsi="Liberation Sans"/>
          <w:b w:val="0"/>
          <w:i w:val="0"/>
        </w:rPr>
        <w:t>C0 emits entity claims, bindings, and state observations.</w:t>
      </w:r>
    </w:p>
    <w:p>
      <w:pPr>
        <w:pStyle w:val="ListBullet"/>
        <w:keepLines/>
      </w:pPr>
      <w:r>
        <w:rPr>
          <w:rFonts w:ascii="Liberation Sans" w:hAnsi="Liberation Sans"/>
          <w:b w:val="0"/>
          <w:i w:val="0"/>
        </w:rPr>
        <w:t>System membership storage is cover-capable.</w:t>
      </w:r>
    </w:p>
    <w:p>
      <w:pPr>
        <w:pStyle w:val="ListBullet"/>
        <w:keepLines/>
      </w:pPr>
      <w:r>
        <w:rPr>
          <w:rFonts w:ascii="Liberation Sans" w:hAnsi="Liberation Sans"/>
          <w:b w:val="0"/>
          <w:i w:val="0"/>
        </w:rPr>
        <w:t>Issue 3 is the Identity-State Coherence Kernel.</w:t>
      </w:r>
    </w:p>
    <w:p>
      <w:pPr>
        <w:pStyle w:val="ListBullet"/>
        <w:keepLines/>
      </w:pPr>
      <w:r>
        <w:rPr>
          <w:rFonts w:ascii="Liberation Sans" w:hAnsi="Liberation Sans"/>
          <w:b w:val="0"/>
          <w:i w:val="0"/>
        </w:rPr>
        <w:t>One canonical materializer means one semantic identity and contract, not necessarily one physical script.</w:t>
      </w:r>
    </w:p>
    <w:p>
      <w:pPr>
        <w:pStyle w:val="Heading2"/>
        <w:keepNext/>
        <w:keepLines/>
      </w:pPr>
      <w:r>
        <w:rPr>
          <w:rFonts w:ascii="Liberation Sans" w:hAnsi="Liberation Sans"/>
        </w:rPr>
        <w:t>7.3 Phase 2 — Land Issue 3A</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Contract artifact</w:t>
            </w:r>
          </w:p>
        </w:tc>
        <w:tc>
          <w:tcPr>
            <w:tcW w:type="dxa" w:w="6912"/>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Purpose</w:t>
            </w:r>
          </w:p>
        </w:tc>
      </w:tr>
      <w:tr>
        <w:trPr>
          <w:cantSplit/>
        </w:trPr>
        <w:tc>
          <w:tcPr>
            <w:tcW w:type="dxa" w:w="252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ENTITY</w:t>
            </w:r>
          </w:p>
        </w:tc>
        <w:tc>
          <w:tcPr>
            <w:tcW w:type="dxa" w:w="691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Enduring identity, class, grain, plane, policy, and minting authority.</w:t>
            </w:r>
          </w:p>
        </w:tc>
      </w:tr>
      <w:tr>
        <w:trPr>
          <w:cantSplit/>
        </w:trPr>
        <w:tc>
          <w:tcPr>
            <w:tcW w:type="dxa" w:w="252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ENTITY_BINDING</w:t>
            </w:r>
          </w:p>
        </w:tc>
        <w:tc>
          <w:tcPr>
            <w:tcW w:type="dxa" w:w="691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Temporal mapping from an entity to a substrate-native reference.</w:t>
            </w:r>
          </w:p>
        </w:tc>
      </w:tr>
      <w:tr>
        <w:trPr>
          <w:cantSplit/>
        </w:trPr>
        <w:tc>
          <w:tcPr>
            <w:tcW w:type="dxa" w:w="252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STATE_OBSERVATION</w:t>
            </w:r>
          </w:p>
        </w:tc>
        <w:tc>
          <w:tcPr>
            <w:tcW w:type="dxa" w:w="691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Observed state, fingerprint method, normalization, vintage, evidence, and fabric.</w:t>
            </w:r>
          </w:p>
        </w:tc>
      </w:tr>
      <w:tr>
        <w:trPr>
          <w:cantSplit/>
        </w:trPr>
        <w:tc>
          <w:tcPr>
            <w:tcW w:type="dxa" w:w="252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IDENTITY_RELATION</w:t>
            </w:r>
          </w:p>
        </w:tc>
        <w:tc>
          <w:tcPr>
            <w:tcW w:type="dxa" w:w="691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Alias, equivalence, merge, split, successor, instance-of, and other identity-level relations.</w:t>
            </w:r>
          </w:p>
        </w:tc>
      </w:tr>
      <w:tr>
        <w:trPr>
          <w:cantSplit/>
        </w:trPr>
        <w:tc>
          <w:tcPr>
            <w:tcW w:type="dxa" w:w="252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MATERIALIZER</w:t>
            </w:r>
          </w:p>
        </w:tc>
        <w:tc>
          <w:tcPr>
            <w:tcW w:type="dxa" w:w="691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Durable logical identity of a transformation process.</w:t>
            </w:r>
          </w:p>
        </w:tc>
      </w:tr>
      <w:tr>
        <w:trPr>
          <w:cantSplit/>
        </w:trPr>
        <w:tc>
          <w:tcPr>
            <w:tcW w:type="dxa" w:w="252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MATERIALIZER_VERSION</w:t>
            </w:r>
          </w:p>
        </w:tc>
        <w:tc>
          <w:tcPr>
            <w:tcW w:type="dxa" w:w="691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Immutable execution bundle and opinion contract.</w:t>
            </w:r>
          </w:p>
        </w:tc>
      </w:tr>
      <w:tr>
        <w:trPr>
          <w:cantSplit/>
        </w:trPr>
        <w:tc>
          <w:tcPr>
            <w:tcW w:type="dxa" w:w="252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MATERIALIZATION_RUN</w:t>
            </w:r>
          </w:p>
        </w:tc>
        <w:tc>
          <w:tcPr>
            <w:tcW w:type="dxa" w:w="691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One execution over one source frontier, producing one or more surface versions.</w:t>
            </w:r>
          </w:p>
        </w:tc>
      </w:tr>
      <w:tr>
        <w:trPr>
          <w:cantSplit/>
        </w:trPr>
        <w:tc>
          <w:tcPr>
            <w:tcW w:type="dxa" w:w="252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SURFACE_VERSION</w:t>
            </w:r>
          </w:p>
        </w:tc>
        <w:tc>
          <w:tcPr>
            <w:tcW w:type="dxa" w:w="691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Immutable logical output version and its publication status.</w:t>
            </w:r>
          </w:p>
        </w:tc>
      </w:tr>
      <w:tr>
        <w:trPr>
          <w:cantSplit/>
        </w:trPr>
        <w:tc>
          <w:tcPr>
            <w:tcW w:type="dxa" w:w="252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SOURCE_FRONTIER</w:t>
            </w:r>
          </w:p>
        </w:tc>
        <w:tc>
          <w:tcPr>
            <w:tcW w:type="dxa" w:w="691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Vector of authoritative source versions and observations consumed by a run.</w:t>
            </w:r>
          </w:p>
        </w:tc>
      </w:tr>
    </w:tbl>
    <w:p>
      <w:pPr>
        <w:spacing w:after="0"/>
      </w:pPr>
    </w:p>
    <w:p>
      <w:pPr>
        <w:pStyle w:val="Heading2"/>
        <w:keepNext/>
        <w:keepLines/>
      </w:pPr>
      <w:r>
        <w:rPr>
          <w:rFonts w:ascii="Liberation Sans" w:hAnsi="Liberation Sans"/>
        </w:rPr>
        <w:t>7.4 Phase 3 — Migrate L0 and materializers</w:t>
      </w:r>
    </w:p>
    <w:p>
      <w:pPr>
        <w:pStyle w:val="ListBullet"/>
        <w:keepLines/>
      </w:pPr>
      <w:r>
        <w:rPr>
          <w:rFonts w:ascii="Liberation Sans" w:hAnsi="Liberation Sans"/>
          <w:b w:val="0"/>
          <w:i w:val="0"/>
        </w:rPr>
        <w:t>Assign entity serials to all 42 L0 parts.</w:t>
      </w:r>
    </w:p>
    <w:p>
      <w:pPr>
        <w:pStyle w:val="ListBullet"/>
        <w:keepLines/>
      </w:pPr>
      <w:r>
        <w:rPr>
          <w:rFonts w:ascii="Liberation Sans" w:hAnsi="Liberation Sans"/>
          <w:b w:val="0"/>
          <w:i w:val="0"/>
        </w:rPr>
        <w:t>Represent materializers as plural many-to-many relations rather than one string field.</w:t>
      </w:r>
    </w:p>
    <w:p>
      <w:pPr>
        <w:pStyle w:val="ListBullet"/>
        <w:keepLines/>
      </w:pPr>
      <w:r>
        <w:rPr>
          <w:rFonts w:ascii="Liberation Sans" w:hAnsi="Liberation Sans"/>
          <w:b w:val="0"/>
          <w:i w:val="0"/>
        </w:rPr>
        <w:t>Reconcile the 28 materializer-bearing parts with the 12–13 write-shaped scripts and name every unclaimed writer or output.</w:t>
      </w:r>
    </w:p>
    <w:p>
      <w:pPr>
        <w:pStyle w:val="ListBullet"/>
        <w:keepLines/>
      </w:pPr>
      <w:r>
        <w:rPr>
          <w:rFonts w:ascii="Liberation Sans" w:hAnsi="Liberation Sans"/>
          <w:b w:val="0"/>
          <w:i w:val="0"/>
        </w:rPr>
        <w:t>Register the Nessie _refs and _objs tables as authority-bearing L0 parts.</w:t>
      </w:r>
    </w:p>
    <w:p>
      <w:pPr>
        <w:pStyle w:val="ListBullet"/>
        <w:keepLines/>
      </w:pPr>
      <w:r>
        <w:rPr>
          <w:rFonts w:ascii="Liberation Sans" w:hAnsi="Liberation Sans"/>
          <w:b w:val="0"/>
          <w:i w:val="0"/>
        </w:rPr>
        <w:t>Populate grains, keys, failure modes, and explicit declared opinions.</w:t>
      </w:r>
    </w:p>
    <w:p>
      <w:pPr>
        <w:pStyle w:val="ListBullet"/>
        <w:keepLines/>
      </w:pPr>
      <w:r>
        <w:rPr>
          <w:rFonts w:ascii="Liberation Sans" w:hAnsi="Liberation Sans"/>
          <w:b w:val="0"/>
          <w:i w:val="0"/>
        </w:rPr>
        <w:t>Replace script-only digest assumptions with complete materializer-version bundles.</w:t>
      </w:r>
    </w:p>
    <w:p>
      <w:pPr>
        <w:pStyle w:val="Heading2"/>
        <w:keepNext/>
        <w:keepLines/>
      </w:pPr>
      <w:r>
        <w:rPr>
          <w:rFonts w:ascii="Liberation Sans" w:hAnsi="Liberation Sans"/>
        </w:rPr>
        <w:t>7.5 Phase 4 — Repair the spine trust boundary</w:t>
      </w:r>
    </w:p>
    <w:p>
      <w:pPr>
        <w:pStyle w:val="ListBullet"/>
        <w:keepLines/>
      </w:pPr>
      <w:r>
        <w:rPr>
          <w:rFonts w:ascii="Liberation Sans" w:hAnsi="Liberation Sans"/>
          <w:b w:val="0"/>
          <w:i w:val="0"/>
        </w:rPr>
        <w:t>Separate SUBSTRATE_UNAVAILABLE from GENUINELY_UNADDRESSED.</w:t>
      </w:r>
    </w:p>
    <w:p>
      <w:pPr>
        <w:pStyle w:val="ListBullet"/>
        <w:keepLines/>
      </w:pPr>
      <w:r>
        <w:rPr>
          <w:rFonts w:ascii="Liberation Sans" w:hAnsi="Liberation Sans"/>
          <w:b w:val="0"/>
          <w:i w:val="0"/>
        </w:rPr>
        <w:t>Emit candidate serials rather than free-text canonical names.</w:t>
      </w:r>
    </w:p>
    <w:p>
      <w:pPr>
        <w:pStyle w:val="ListBullet"/>
        <w:keepLines/>
      </w:pPr>
      <w:r>
        <w:rPr>
          <w:rFonts w:ascii="Liberation Sans" w:hAnsi="Liberation Sans"/>
          <w:b w:val="0"/>
          <w:i w:val="0"/>
        </w:rPr>
        <w:t>Record source vintage, evidence, fabric, and resolver version on every result.</w:t>
      </w:r>
    </w:p>
    <w:p>
      <w:pPr>
        <w:pStyle w:val="ListBullet"/>
        <w:keepLines/>
      </w:pPr>
      <w:r>
        <w:rPr>
          <w:rFonts w:ascii="Liberation Sans" w:hAnsi="Liberation Sans"/>
          <w:b w:val="0"/>
          <w:i w:val="0"/>
        </w:rPr>
        <w:t>Declare continuity policy per entity class and test rename, replacement, and ambiguity cases.</w:t>
      </w:r>
    </w:p>
    <w:p>
      <w:pPr>
        <w:pStyle w:val="Heading2"/>
        <w:keepNext/>
        <w:keepLines/>
      </w:pPr>
      <w:r>
        <w:rPr>
          <w:rFonts w:ascii="Liberation Sans" w:hAnsi="Liberation Sans"/>
        </w:rPr>
        <w:t>7.6 Phase 5 — Populate one complete bridge slice</w:t>
      </w:r>
    </w:p>
    <w:p>
      <w:pPr>
        <w:pStyle w:val="BodyText"/>
        <w:keepLines/>
      </w:pPr>
      <w:r>
        <w:rPr>
          <w:rFonts w:ascii="Liberation Sans" w:hAnsi="Liberation Sans"/>
          <w:b w:val="0"/>
          <w:i w:val="0"/>
        </w:rPr>
        <w:t>Start with symbol-to-file. Produce the relation from parser or source-location evidence rather than from string conventions. Use the 3A serials and bridge lifecycle from candidate through admission. This is the smallest bridge capable of enabling the decisive two-view experiment.</w:t>
      </w:r>
    </w:p>
    <w:p>
      <w:pPr>
        <w:pStyle w:val="Heading2"/>
        <w:keepNext/>
        <w:keepLines/>
      </w:pPr>
      <w:r>
        <w:rPr>
          <w:rFonts w:ascii="Liberation Sans" w:hAnsi="Liberation Sans"/>
        </w:rPr>
        <w:t>7.7 Phase 6 — Run the decisive two-view experiment</w:t>
      </w:r>
    </w:p>
    <w:p>
      <w:pPr>
        <w:pStyle w:val="BodyText"/>
        <w:spacing w:after="52"/>
        <w:ind w:left="360" w:hanging="360"/>
        <w:keepLines/>
      </w:pPr>
      <w:r>
        <w:rPr>
          <w:rFonts w:ascii="Liberation Sans" w:hAnsi="Liberation Sans"/>
          <w:b w:val="0"/>
          <w:i w:val="0"/>
        </w:rPr>
        <w:t>1.</w:t>
      </w:r>
      <w:r>
        <w:rPr>
          <w:rFonts w:ascii="Liberation Sans" w:hAnsi="Liberation Sans"/>
          <w:b w:val="0"/>
          <w:i w:val="0"/>
        </w:rPr>
        <w:tab/>
        <w:t>Use file as the carrier grain.</w:t>
      </w:r>
    </w:p>
    <w:p>
      <w:pPr>
        <w:pStyle w:val="BodyText"/>
        <w:spacing w:after="52"/>
        <w:ind w:left="360" w:hanging="360"/>
        <w:keepLines/>
      </w:pPr>
      <w:r>
        <w:rPr>
          <w:rFonts w:ascii="Liberation Sans" w:hAnsi="Liberation Sans"/>
          <w:b w:val="0"/>
          <w:i w:val="0"/>
        </w:rPr>
        <w:t>2.</w:t>
      </w:r>
      <w:r>
        <w:rPr>
          <w:rFonts w:ascii="Liberation Sans" w:hAnsi="Liberation Sans"/>
          <w:b w:val="0"/>
          <w:i w:val="0"/>
        </w:rPr>
        <w:tab/>
        <w:t>Project the symbol-level structure view onto files through the admitted containment bridge.</w:t>
      </w:r>
    </w:p>
    <w:p>
      <w:pPr>
        <w:pStyle w:val="BodyText"/>
        <w:spacing w:after="52"/>
        <w:ind w:left="360" w:hanging="360"/>
        <w:keepLines/>
      </w:pPr>
      <w:r>
        <w:rPr>
          <w:rFonts w:ascii="Liberation Sans" w:hAnsi="Liberation Sans"/>
          <w:b w:val="0"/>
          <w:i w:val="0"/>
        </w:rPr>
        <w:t>3.</w:t>
      </w:r>
      <w:r>
        <w:rPr>
          <w:rFonts w:ascii="Liberation Sans" w:hAnsi="Liberation Sans"/>
          <w:b w:val="0"/>
          <w:i w:val="0"/>
        </w:rPr>
        <w:tab/>
        <w:t>Fuse projected structure with native file-level behavior.</w:t>
      </w:r>
    </w:p>
    <w:p>
      <w:pPr>
        <w:pStyle w:val="BodyText"/>
        <w:spacing w:after="52"/>
        <w:ind w:left="360" w:hanging="360"/>
        <w:keepLines/>
      </w:pPr>
      <w:r>
        <w:rPr>
          <w:rFonts w:ascii="Liberation Sans" w:hAnsi="Liberation Sans"/>
          <w:b w:val="0"/>
          <w:i w:val="0"/>
        </w:rPr>
        <w:t>4.</w:t>
      </w:r>
      <w:r>
        <w:rPr>
          <w:rFonts w:ascii="Liberation Sans" w:hAnsi="Liberation Sans"/>
          <w:b w:val="0"/>
          <w:i w:val="0"/>
        </w:rPr>
        <w:tab/>
        <w:t>Compare structure-only, behavior-only, a simple baseline, and SNF.</w:t>
      </w:r>
    </w:p>
    <w:p>
      <w:pPr>
        <w:pStyle w:val="BodyText"/>
        <w:spacing w:after="52"/>
        <w:ind w:left="360" w:hanging="360"/>
        <w:keepLines/>
      </w:pPr>
      <w:r>
        <w:rPr>
          <w:rFonts w:ascii="Liberation Sans" w:hAnsi="Liberation Sans"/>
          <w:b w:val="0"/>
          <w:i w:val="0"/>
        </w:rPr>
        <w:t>5.</w:t>
      </w:r>
      <w:r>
        <w:rPr>
          <w:rFonts w:ascii="Liberation Sans" w:hAnsi="Liberation Sans"/>
          <w:b w:val="0"/>
          <w:i w:val="0"/>
        </w:rPr>
        <w:tab/>
        <w:t>Measure stability across seeds, firm separation, coverage, missingness, cross-domain memberships, and rename survival.</w:t>
      </w:r>
    </w:p>
    <w:p>
      <w:pPr>
        <w:pStyle w:val="BodyText"/>
        <w:spacing w:after="52"/>
        <w:ind w:left="360" w:hanging="360"/>
        <w:keepLines/>
      </w:pPr>
      <w:r>
        <w:rPr>
          <w:rFonts w:ascii="Liberation Sans" w:hAnsi="Liberation Sans"/>
          <w:b w:val="0"/>
          <w:i w:val="0"/>
        </w:rPr>
        <w:t>6.</w:t>
      </w:r>
      <w:r>
        <w:rPr>
          <w:rFonts w:ascii="Liberation Sans" w:hAnsi="Liberation Sans"/>
          <w:b w:val="0"/>
          <w:i w:val="0"/>
        </w:rPr>
        <w:tab/>
        <w:t>Publish the complete source frontier, bridge version, materializer versions, and output digests.</w:t>
      </w:r>
    </w:p>
    <w:p>
      <w:pPr>
        <w:pStyle w:val="Heading2"/>
        <w:keepNext/>
        <w:keepLines/>
      </w:pPr>
      <w:r>
        <w:rPr>
          <w:rFonts w:ascii="Liberation Sans" w:hAnsi="Liberation Sans"/>
        </w:rPr>
        <w:t>7.8 Phase 7 — Implement Issue 3B, then L4</w:t>
      </w:r>
    </w:p>
    <w:p>
      <w:pPr>
        <w:pStyle w:val="BodyText"/>
        <w:keepLines/>
      </w:pPr>
      <w:r>
        <w:rPr>
          <w:rFonts w:ascii="Liberation Sans" w:hAnsi="Liberation Sans"/>
          <w:b w:val="0"/>
          <w:i w:val="0"/>
        </w:rPr>
        <w:t>Issue 3B should first compare source frontiers, graph versions, Nessie target refs, Kuzu projection pins, materializer versions, and fabric validity. Only after that chain is mechanically traceable should L4 mint persistent discovered-system identities and succession history.</w:t>
      </w:r>
    </w:p>
    <w:p>
      <w:pPr>
        <w:pStyle w:val="Heading2"/>
        <w:keepNext/>
        <w:keepLines/>
      </w:pPr>
      <w:r>
        <w:rPr>
          <w:rFonts w:ascii="Liberation Sans" w:hAnsi="Liberation Sans"/>
        </w:rPr>
        <w:t>7.9 Suggested work packages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Package</w:t>
            </w:r>
          </w:p>
        </w:tc>
        <w:tc>
          <w:tcPr>
            <w:tcW w:type="dxa" w:w="4320"/>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Primary deliverable</w:t>
            </w:r>
          </w:p>
        </w:tc>
        <w:tc>
          <w:tcPr>
            <w:tcW w:type="dxa" w:w="2880"/>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Dependency</w:t>
            </w:r>
          </w:p>
        </w:tc>
      </w:tr>
      <w:tr>
        <w:trPr>
          <w:cantSplit/>
        </w:trPr>
        <w:tc>
          <w:tcPr>
            <w:tcW w:type="dxa" w:w="223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WP-0 Evidence preservation</w:t>
            </w:r>
          </w:p>
        </w:tc>
        <w:tc>
          <w:tcPr>
            <w:tcW w:type="dxa" w:w="432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Immutable evidence bundle and derivation capsule</w:t>
            </w:r>
          </w:p>
        </w:tc>
        <w:tc>
          <w:tcPr>
            <w:tcW w:type="dxa" w:w="288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None; start immediately</w:t>
            </w:r>
          </w:p>
        </w:tc>
      </w:tr>
      <w:tr>
        <w:trPr>
          <w:cantSplit/>
        </w:trPr>
        <w:tc>
          <w:tcPr>
            <w:tcW w:type="dxa" w:w="223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WP-1 PRD amendment</w:t>
            </w:r>
          </w:p>
        </w:tc>
        <w:tc>
          <w:tcPr>
            <w:tcW w:type="dxa" w:w="432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Ratified identity-state doctrine</w:t>
            </w:r>
          </w:p>
        </w:tc>
        <w:tc>
          <w:tcPr>
            <w:tcW w:type="dxa" w:w="288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Source review and owner decision</w:t>
            </w:r>
          </w:p>
        </w:tc>
      </w:tr>
      <w:tr>
        <w:trPr>
          <w:cantSplit/>
        </w:trPr>
        <w:tc>
          <w:tcPr>
            <w:tcW w:type="dxa" w:w="223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WP-2 Issue 3A schemas</w:t>
            </w:r>
          </w:p>
        </w:tc>
        <w:tc>
          <w:tcPr>
            <w:tcW w:type="dxa" w:w="432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Validated contract package</w:t>
            </w:r>
          </w:p>
        </w:tc>
        <w:tc>
          <w:tcPr>
            <w:tcW w:type="dxa" w:w="288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WP-1</w:t>
            </w:r>
          </w:p>
        </w:tc>
      </w:tr>
      <w:tr>
        <w:trPr>
          <w:cantSplit/>
        </w:trPr>
        <w:tc>
          <w:tcPr>
            <w:tcW w:type="dxa" w:w="223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WP-3 L0 migration</w:t>
            </w:r>
          </w:p>
        </w:tc>
        <w:tc>
          <w:tcPr>
            <w:tcW w:type="dxa" w:w="432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Serial-keyed part and materializer topology</w:t>
            </w:r>
          </w:p>
        </w:tc>
        <w:tc>
          <w:tcPr>
            <w:tcW w:type="dxa" w:w="288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WP-2</w:t>
            </w:r>
          </w:p>
        </w:tc>
      </w:tr>
      <w:tr>
        <w:trPr>
          <w:cantSplit/>
        </w:trPr>
        <w:tc>
          <w:tcPr>
            <w:tcW w:type="dxa" w:w="223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WP-4 Resolver repair</w:t>
            </w:r>
          </w:p>
        </w:tc>
        <w:tc>
          <w:tcPr>
            <w:tcW w:type="dxa" w:w="432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Honest resolution contract and continuity tests</w:t>
            </w:r>
          </w:p>
        </w:tc>
        <w:tc>
          <w:tcPr>
            <w:tcW w:type="dxa" w:w="288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WP-2</w:t>
            </w:r>
          </w:p>
        </w:tc>
      </w:tr>
      <w:tr>
        <w:trPr>
          <w:cantSplit/>
        </w:trPr>
        <w:tc>
          <w:tcPr>
            <w:tcW w:type="dxa" w:w="223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WP-5 Bridge slice</w:t>
            </w:r>
          </w:p>
        </w:tc>
        <w:tc>
          <w:tcPr>
            <w:tcW w:type="dxa" w:w="432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Admitted symbol-to-file bridge</w:t>
            </w:r>
          </w:p>
        </w:tc>
        <w:tc>
          <w:tcPr>
            <w:tcW w:type="dxa" w:w="288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WP-3 and WP-4</w:t>
            </w:r>
          </w:p>
        </w:tc>
      </w:tr>
      <w:tr>
        <w:trPr>
          <w:cantSplit/>
        </w:trPr>
        <w:tc>
          <w:tcPr>
            <w:tcW w:type="dxa" w:w="223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WP-6 Fusion experiment</w:t>
            </w:r>
          </w:p>
        </w:tc>
        <w:tc>
          <w:tcPr>
            <w:tcW w:type="dxa" w:w="432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Reproducible two-view comparison</w:t>
            </w:r>
          </w:p>
        </w:tc>
        <w:tc>
          <w:tcPr>
            <w:tcW w:type="dxa" w:w="288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WP-5</w:t>
            </w:r>
          </w:p>
        </w:tc>
      </w:tr>
      <w:tr>
        <w:trPr>
          <w:cantSplit/>
        </w:trPr>
        <w:tc>
          <w:tcPr>
            <w:tcW w:type="dxa" w:w="223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WP-7 Coherence evaluator</w:t>
            </w:r>
          </w:p>
        </w:tc>
        <w:tc>
          <w:tcPr>
            <w:tcW w:type="dxa" w:w="432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Issue 3B evaluations and projection checks</w:t>
            </w:r>
          </w:p>
        </w:tc>
        <w:tc>
          <w:tcPr>
            <w:tcW w:type="dxa" w:w="2880"/>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WP-3; can begin before WP-6 completes</w:t>
            </w:r>
          </w:p>
        </w:tc>
      </w:tr>
      <w:tr>
        <w:trPr>
          <w:cantSplit/>
        </w:trPr>
        <w:tc>
          <w:tcPr>
            <w:tcW w:type="dxa" w:w="223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WP-8 L4 succession</w:t>
            </w:r>
          </w:p>
        </w:tc>
        <w:tc>
          <w:tcPr>
            <w:tcW w:type="dxa" w:w="432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Identity ledger for discovered systems</w:t>
            </w:r>
          </w:p>
        </w:tc>
        <w:tc>
          <w:tcPr>
            <w:tcW w:type="dxa" w:w="2880"/>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WP-6 and WP-7</w:t>
            </w:r>
          </w:p>
        </w:tc>
      </w:tr>
    </w:tbl>
    <w:p>
      <w:pPr>
        <w:spacing w:after="0"/>
      </w:pPr>
    </w:p>
    <w:p>
      <w:pPr>
        <w:pStyle w:val="Heading1"/>
        <w:keepNext/>
        <w:keepLines/>
      </w:pPr>
      <w:r>
        <w:rPr>
          <w:rFonts w:ascii="Liberation Sans" w:hAnsi="Liberation Sans"/>
        </w:rPr>
        <w:t>8. Acceptance and Falsification Battery</w:t>
      </w:r>
    </w:p>
    <w:p>
      <w:pPr>
        <w:pStyle w:val="BodyText"/>
        <w:keepLines/>
      </w:pPr>
      <w:r>
        <w:rPr>
          <w:rFonts w:ascii="Liberation Sans" w:hAnsi="Liberation Sans"/>
          <w:b w:val="0"/>
          <w:i w:val="0"/>
        </w:rPr>
        <w:t>The program should accept on falsifiers, not on the existence of artifacts. Each test below is designed to expose a silent, well-formed wrong answer—the dominant failure mode in the source estate.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24"/>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Test</w:t>
            </w:r>
          </w:p>
        </w:tc>
        <w:tc>
          <w:tcPr>
            <w:tcW w:type="dxa" w:w="6408"/>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Required result</w:t>
            </w:r>
          </w:p>
        </w:tc>
      </w:tr>
      <w:tr>
        <w:trPr>
          <w:cantSplit/>
        </w:trPr>
        <w:tc>
          <w:tcPr>
            <w:tcW w:type="dxa" w:w="3024"/>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File rename</w:t>
            </w:r>
          </w:p>
        </w:tc>
        <w:tc>
          <w:tcPr>
            <w:tcW w:type="dxa" w:w="6408"/>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Binding changes; enduring entity serial survives.</w:t>
            </w:r>
          </w:p>
        </w:tc>
      </w:tr>
      <w:tr>
        <w:trPr>
          <w:cantSplit/>
        </w:trPr>
        <w:tc>
          <w:tcPr>
            <w:tcW w:type="dxa" w:w="3024"/>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Resource replacement with reused name</w:t>
            </w:r>
          </w:p>
        </w:tc>
        <w:tc>
          <w:tcPr>
            <w:tcW w:type="dxa" w:w="6408"/>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New serial is minted when authority and continuity evidence indicate a different resource.</w:t>
            </w:r>
          </w:p>
        </w:tc>
      </w:tr>
      <w:tr>
        <w:trPr>
          <w:cantSplit/>
        </w:trPr>
        <w:tc>
          <w:tcPr>
            <w:tcW w:type="dxa" w:w="3024"/>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Kuzu rebuild</w:t>
            </w:r>
          </w:p>
        </w:tc>
        <w:tc>
          <w:tcPr>
            <w:tcW w:type="dxa" w:w="6408"/>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Internal Kuzu node IDs may change; canonical entity serials and upstream surface pin remain stable.</w:t>
            </w:r>
          </w:p>
        </w:tc>
      </w:tr>
      <w:tr>
        <w:trPr>
          <w:cantSplit/>
        </w:trPr>
        <w:tc>
          <w:tcPr>
            <w:tcW w:type="dxa" w:w="3024"/>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Nessie target advances</w:t>
            </w:r>
          </w:p>
        </w:tc>
        <w:tc>
          <w:tcPr>
            <w:tcW w:type="dxa" w:w="6408"/>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An older Kuzu projection remains internally valid but is reported behind its declared target.</w:t>
            </w:r>
          </w:p>
        </w:tc>
      </w:tr>
      <w:tr>
        <w:trPr>
          <w:cantSplit/>
        </w:trPr>
        <w:tc>
          <w:tcPr>
            <w:tcW w:type="dxa" w:w="3024"/>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Same frontier, same materializer version</w:t>
            </w:r>
          </w:p>
        </w:tc>
        <w:tc>
          <w:tcPr>
            <w:tcW w:type="dxa" w:w="6408"/>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Output reproduces or variance is explicitly modeled and bounded.</w:t>
            </w:r>
          </w:p>
        </w:tc>
      </w:tr>
      <w:tr>
        <w:trPr>
          <w:cantSplit/>
        </w:trPr>
        <w:tc>
          <w:tcPr>
            <w:tcW w:type="dxa" w:w="3024"/>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Same frontier, changed materializer version</w:t>
            </w:r>
          </w:p>
        </w:tc>
        <w:tc>
          <w:tcPr>
            <w:tcW w:type="dxa" w:w="6408"/>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Output delta is attributed to producer semantics, not source change.</w:t>
            </w:r>
          </w:p>
        </w:tc>
      </w:tr>
      <w:tr>
        <w:trPr>
          <w:cantSplit/>
        </w:trPr>
        <w:tc>
          <w:tcPr>
            <w:tcW w:type="dxa" w:w="3024"/>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Wrong-fabric local substrate</w:t>
            </w:r>
          </w:p>
        </w:tc>
        <w:tc>
          <w:tcPr>
            <w:tcW w:type="dxa" w:w="6408"/>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Run refuses or records an explicit foreign-fabric state.</w:t>
            </w:r>
          </w:p>
        </w:tc>
      </w:tr>
      <w:tr>
        <w:trPr>
          <w:cantSplit/>
        </w:trPr>
        <w:tc>
          <w:tcPr>
            <w:tcW w:type="dxa" w:w="3024"/>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Substrate unavailable</w:t>
            </w:r>
          </w:p>
        </w:tc>
        <w:tc>
          <w:tcPr>
            <w:tcW w:type="dxa" w:w="6408"/>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Resolver does not report a genuine negative.</w:t>
            </w:r>
          </w:p>
        </w:tc>
      </w:tr>
      <w:tr>
        <w:trPr>
          <w:cantSplit/>
        </w:trPr>
        <w:tc>
          <w:tcPr>
            <w:tcW w:type="dxa" w:w="3024"/>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Duplicate local minting</w:t>
            </w:r>
          </w:p>
        </w:tc>
        <w:tc>
          <w:tcPr>
            <w:tcW w:type="dxa" w:w="6408"/>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Independent serials can be reconciled without deleting either history.</w:t>
            </w:r>
          </w:p>
        </w:tc>
      </w:tr>
      <w:tr>
        <w:trPr>
          <w:cantSplit/>
        </w:trPr>
        <w:tc>
          <w:tcPr>
            <w:tcW w:type="dxa" w:w="3024"/>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Parse-only bridge</w:t>
            </w:r>
          </w:p>
        </w:tc>
        <w:tc>
          <w:tcPr>
            <w:tcW w:type="dxa" w:w="6408"/>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May enter candidate registry; cannot enter admitted registry.</w:t>
            </w:r>
          </w:p>
        </w:tc>
      </w:tr>
      <w:tr>
        <w:trPr>
          <w:cantSplit/>
        </w:trPr>
        <w:tc>
          <w:tcPr>
            <w:tcW w:type="dxa" w:w="3024"/>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Cross-domain membership</w:t>
            </w:r>
          </w:p>
        </w:tc>
        <w:tc>
          <w:tcPr>
            <w:tcW w:type="dxa" w:w="6408"/>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Multiple memberships remain representable and the 540 regression cohort is accounted for.</w:t>
            </w:r>
          </w:p>
        </w:tc>
      </w:tr>
      <w:tr>
        <w:trPr>
          <w:cantSplit/>
        </w:trPr>
        <w:tc>
          <w:tcPr>
            <w:tcW w:type="dxa" w:w="3024"/>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Rename of discovered-system anchor</w:t>
            </w:r>
          </w:p>
        </w:tc>
        <w:tc>
          <w:tcPr>
            <w:tcW w:type="dxa" w:w="6408"/>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System serial survives if continuity evidence passes.</w:t>
            </w:r>
          </w:p>
        </w:tc>
      </w:tr>
      <w:tr>
        <w:trPr>
          <w:cantSplit/>
        </w:trPr>
        <w:tc>
          <w:tcPr>
            <w:tcW w:type="dxa" w:w="3024"/>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Algorithm-version change</w:t>
            </w:r>
          </w:p>
        </w:tc>
        <w:tc>
          <w:tcPr>
            <w:tcW w:type="dxa" w:w="6408"/>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Identity is not automatically rewritten merely because the fused representation changed.</w:t>
            </w:r>
          </w:p>
        </w:tc>
      </w:tr>
      <w:tr>
        <w:trPr>
          <w:cantSplit/>
        </w:trPr>
        <w:tc>
          <w:tcPr>
            <w:tcW w:type="dxa" w:w="3024"/>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Ambiguous continuity</w:t>
            </w:r>
          </w:p>
        </w:tc>
        <w:tc>
          <w:tcPr>
            <w:tcW w:type="dxa" w:w="6408"/>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Case is held for adjudication rather than forced into continuation or birth.</w:t>
            </w:r>
          </w:p>
        </w:tc>
      </w:tr>
    </w:tbl>
    <w:p>
      <w:pPr>
        <w:spacing w:after="0"/>
      </w:pPr>
    </w:p>
    <w:p>
      <w:pPr>
        <w:pStyle w:val="Heading2"/>
        <w:keepNext/>
        <w:keepLines/>
      </w:pPr>
      <w:r>
        <w:rPr>
          <w:rFonts w:ascii="Liberation Sans" w:hAnsi="Liberation Sans"/>
        </w:rPr>
        <w:t>8.1 Coherence acceptance gates</w:t>
      </w:r>
    </w:p>
    <w:p>
      <w:pPr>
        <w:pStyle w:val="ListBullet"/>
        <w:keepLines/>
      </w:pPr>
      <w:r>
        <w:rPr>
          <w:rFonts w:ascii="Liberation Sans" w:hAnsi="Liberation Sans"/>
          <w:b w:val="0"/>
          <w:i w:val="0"/>
        </w:rPr>
        <w:t>Every admitted input is reproducible or independently authenticatable.</w:t>
      </w:r>
    </w:p>
    <w:p>
      <w:pPr>
        <w:pStyle w:val="ListBullet"/>
        <w:keepLines/>
      </w:pPr>
      <w:r>
        <w:rPr>
          <w:rFonts w:ascii="Liberation Sans" w:hAnsi="Liberation Sans"/>
          <w:b w:val="0"/>
          <w:i w:val="0"/>
        </w:rPr>
        <w:t>Every coverage claim declares a denominator and an unseen population.</w:t>
      </w:r>
    </w:p>
    <w:p>
      <w:pPr>
        <w:pStyle w:val="ListBullet"/>
        <w:keepLines/>
      </w:pPr>
      <w:r>
        <w:rPr>
          <w:rFonts w:ascii="Liberation Sans" w:hAnsi="Liberation Sans"/>
          <w:b w:val="0"/>
          <w:i w:val="0"/>
        </w:rPr>
        <w:t>Every derived surface carries its source frontier, materializer version, opinion contract, device, and output digest.</w:t>
      </w:r>
    </w:p>
    <w:p>
      <w:pPr>
        <w:pStyle w:val="ListBullet"/>
        <w:keepLines/>
      </w:pPr>
      <w:r>
        <w:rPr>
          <w:rFonts w:ascii="Liberation Sans" w:hAnsi="Liberation Sans"/>
          <w:b w:val="0"/>
          <w:i w:val="0"/>
        </w:rPr>
        <w:t>Every coherence evaluation declares its target policy.</w:t>
      </w:r>
    </w:p>
    <w:p>
      <w:pPr>
        <w:pStyle w:val="ListBullet"/>
        <w:keepLines/>
      </w:pPr>
      <w:r>
        <w:rPr>
          <w:rFonts w:ascii="Liberation Sans" w:hAnsi="Liberation Sans"/>
          <w:b w:val="0"/>
          <w:i w:val="0"/>
        </w:rPr>
        <w:t>Missing state is never silently treated as zero or as a genuine negative.</w:t>
      </w:r>
    </w:p>
    <w:p>
      <w:pPr>
        <w:pStyle w:val="ListBullet"/>
        <w:keepLines/>
      </w:pPr>
      <w:r>
        <w:rPr>
          <w:rFonts w:ascii="Liberation Sans" w:hAnsi="Liberation Sans"/>
          <w:b w:val="0"/>
          <w:i w:val="0"/>
        </w:rPr>
        <w:t>No bridge is admitted without typed endpoints, evidence, and cardinality standing.</w:t>
      </w:r>
    </w:p>
    <w:p>
      <w:pPr>
        <w:pStyle w:val="ListBullet"/>
        <w:keepLines/>
      </w:pPr>
      <w:r>
        <w:rPr>
          <w:rFonts w:ascii="Liberation Sans" w:hAnsi="Liberation Sans"/>
          <w:b w:val="0"/>
          <w:i w:val="0"/>
        </w:rPr>
        <w:t>No fusion result is accepted if it degrades the best input’s firm separation without an explicit, reviewed rationale.</w:t>
      </w:r>
    </w:p>
    <w:p>
      <w:pPr>
        <w:pStyle w:val="Heading1"/>
        <w:keepNext/>
        <w:keepLines/>
      </w:pPr>
      <w:r>
        <w:rPr>
          <w:rFonts w:ascii="Liberation Sans" w:hAnsi="Liberation Sans"/>
        </w:rPr>
        <w:t>9. Explicit Non-Goals and Prohibited Shortcuts</w:t>
      </w:r>
    </w:p>
    <w:p>
      <w:pPr>
        <w:pStyle w:val="ListBullet"/>
        <w:keepLines/>
      </w:pPr>
      <w:r>
        <w:rPr>
          <w:rFonts w:ascii="Liberation Sans" w:hAnsi="Liberation Sans"/>
          <w:b w:val="0"/>
          <w:i w:val="0"/>
        </w:rPr>
        <w:t>Do not compute enduring serials from mutable substrate keys, paths, ARNs, anchor names, or list positions.</w:t>
      </w:r>
    </w:p>
    <w:p>
      <w:pPr>
        <w:pStyle w:val="ListBullet"/>
        <w:keepLines/>
      </w:pPr>
      <w:r>
        <w:rPr>
          <w:rFonts w:ascii="Liberation Sans" w:hAnsi="Liberation Sans"/>
          <w:b w:val="0"/>
          <w:i w:val="0"/>
        </w:rPr>
        <w:t>Do not treat Kuzu internal node IDs as canonical entity identities.</w:t>
      </w:r>
    </w:p>
    <w:p>
      <w:pPr>
        <w:pStyle w:val="ListBullet"/>
        <w:keepLines/>
      </w:pPr>
      <w:r>
        <w:rPr>
          <w:rFonts w:ascii="Liberation Sans" w:hAnsi="Liberation Sans"/>
          <w:b w:val="0"/>
          <w:i w:val="0"/>
        </w:rPr>
        <w:t>Do not create an isolated materializer registry that duplicates L0 and cannot join to entity identity.</w:t>
      </w:r>
    </w:p>
    <w:p>
      <w:pPr>
        <w:pStyle w:val="ListBullet"/>
        <w:keepLines/>
      </w:pPr>
      <w:r>
        <w:rPr>
          <w:rFonts w:ascii="Liberation Sans" w:hAnsi="Liberation Sans"/>
          <w:b w:val="0"/>
          <w:i w:val="0"/>
        </w:rPr>
        <w:t>Do not populate production bridge assertions against free-text strings or parsing conventions.</w:t>
      </w:r>
    </w:p>
    <w:p>
      <w:pPr>
        <w:pStyle w:val="ListBullet"/>
        <w:keepLines/>
      </w:pPr>
      <w:r>
        <w:rPr>
          <w:rFonts w:ascii="Liberation Sans" w:hAnsi="Liberation Sans"/>
          <w:b w:val="0"/>
          <w:i w:val="0"/>
        </w:rPr>
        <w:t>Do not allow a digest without method and normalization to function as state evidence.</w:t>
      </w:r>
    </w:p>
    <w:p>
      <w:pPr>
        <w:pStyle w:val="ListBullet"/>
        <w:keepLines/>
      </w:pPr>
      <w:r>
        <w:rPr>
          <w:rFonts w:ascii="Liberation Sans" w:hAnsi="Liberation Sans"/>
          <w:b w:val="0"/>
          <w:i w:val="0"/>
        </w:rPr>
        <w:t>Do not label a projection stale without a declared target policy.</w:t>
      </w:r>
    </w:p>
    <w:p>
      <w:pPr>
        <w:pStyle w:val="ListBullet"/>
        <w:keepLines/>
      </w:pPr>
      <w:r>
        <w:rPr>
          <w:rFonts w:ascii="Liberation Sans" w:hAnsi="Liberation Sans"/>
          <w:b w:val="0"/>
          <w:i w:val="0"/>
        </w:rPr>
        <w:t>Do not collapse logical surfaces and physical device instances into one grain.</w:t>
      </w:r>
    </w:p>
    <w:p>
      <w:pPr>
        <w:pStyle w:val="ListBullet"/>
        <w:keepLines/>
      </w:pPr>
      <w:r>
        <w:rPr>
          <w:rFonts w:ascii="Liberation Sans" w:hAnsi="Liberation Sans"/>
          <w:b w:val="0"/>
          <w:i w:val="0"/>
        </w:rPr>
        <w:t>Do not force all entity classes through fused-signature matching.</w:t>
      </w:r>
    </w:p>
    <w:p>
      <w:pPr>
        <w:pStyle w:val="ListBullet"/>
        <w:keepLines/>
      </w:pPr>
      <w:r>
        <w:rPr>
          <w:rFonts w:ascii="Liberation Sans" w:hAnsi="Liberation Sans"/>
          <w:b w:val="0"/>
          <w:i w:val="0"/>
        </w:rPr>
        <w:t>Do not make partition exclusivity irreversible in the persistence contract.</w:t>
      </w:r>
    </w:p>
    <w:p>
      <w:pPr>
        <w:pStyle w:val="ListBullet"/>
        <w:keepLines/>
      </w:pPr>
      <w:r>
        <w:rPr>
          <w:rFonts w:ascii="Liberation Sans" w:hAnsi="Liberation Sans"/>
          <w:b w:val="0"/>
          <w:i w:val="0"/>
        </w:rPr>
        <w:t>Do not begin L4 identity minting until the input evidence and process chain are reproducible and coherent.</w:t>
      </w:r>
    </w:p>
    <w:p>
      <w:pPr>
        <w:pStyle w:val="Heading1"/>
        <w:keepNext/>
        <w:keepLines/>
      </w:pPr>
      <w:r>
        <w:rPr>
          <w:rFonts w:ascii="Liberation Sans" w:hAnsi="Liberation Sans"/>
        </w:rPr>
        <w:t>10. Copy-Ready Ruling for the CTO Agent</w:t>
      </w:r>
    </w:p>
    <w:tbl>
      <w:tblPr>
        <w:tblW w:type="auto" w:w="0"/>
        <w:jc w:val="center"/>
        <w:tblLayout w:type="fixed"/>
        <w:tblLook w:firstColumn="1" w:firstRow="1" w:lastColumn="0" w:lastRow="0" w:noHBand="0" w:noVBand="1" w:val="04A0"/>
      </w:tblPr>
      <w:tblGrid>
        <w:gridCol w:w="9994"/>
      </w:tblGrid>
      <w:tr>
        <w:trPr>
          <w:cantSplit/>
        </w:trPr>
        <w:tc>
          <w:tcPr>
            <w:tcW w:type="dxa" w:w="9576"/>
            <w:shd w:fill="E7F2F2"/>
            <w:tcBorders>
              <w:top w:val="single" w:sz="4" w:color="E7F2F2"/>
              <w:left w:val="single" w:sz="18" w:color="2B7A78"/>
              <w:bottom w:val="single" w:sz="4" w:color="E7F2F2"/>
              <w:right w:val="single" w:sz="4" w:color="E7F2F2"/>
            </w:tcBorders>
            <w:tcMar>
              <w:top w:w="150" w:type="dxa"/>
              <w:start w:w="180" w:type="dxa"/>
              <w:bottom w:w="145" w:type="dxa"/>
              <w:end w:w="180" w:type="dxa"/>
            </w:tcMar>
          </w:tcPr>
          <w:p>
            <w:pPr>
              <w:spacing w:after="80"/>
            </w:pPr>
            <w:r>
              <w:rPr>
                <w:rFonts w:ascii="Liberation Sans" w:hAnsi="Liberation Sans"/>
                <w:b/>
                <w:i w:val="0"/>
                <w:color w:val="2B7A78"/>
                <w:sz w:val="21"/>
              </w:rPr>
              <w:t>Recommended ruling</w:t>
            </w:r>
          </w:p>
          <w:p>
            <w:pPr>
              <w:spacing w:after="0"/>
            </w:pPr>
            <w:r>
              <w:rPr>
                <w:rFonts w:ascii="Liberation Sans" w:hAnsi="Liberation Sans"/>
                <w:b w:val="0"/>
                <w:i w:val="0"/>
                <w:color w:val="111111"/>
                <w:sz w:val="19"/>
              </w:rPr>
              <w:t>Adopt Issue 3 as the Identity-State Coherence Kernel under D11. Resolve the design fork in favor of opaque minted entity and materializer serials; temporal substrate bindings; versioned fingerprints with method and normalization; immutable implementation and run records; and append-only succession and reconciliation relations.</w:t>
            </w:r>
          </w:p>
        </w:tc>
      </w:tr>
    </w:tbl>
    <w:p>
      <w:pPr>
        <w:spacing w:after="0"/>
      </w:pPr>
    </w:p>
    <w:p>
      <w:pPr>
        <w:pStyle w:val="BodyText"/>
        <w:keepLines/>
      </w:pPr>
      <w:r>
        <w:rPr>
          <w:rFonts w:ascii="Liberation Sans" w:hAnsi="Liberation Sans"/>
          <w:b w:val="0"/>
          <w:i w:val="0"/>
        </w:rPr>
        <w:t>Hashes may identify immutable observations, versions, and receipts, but must not identify enduring mutable entities. A rename changes a binding; a state change changes an observation or fingerprint; a materializer change creates a new implementation version. None of those events automatically changes the enduring serial.</w:t>
      </w:r>
    </w:p>
    <w:p>
      <w:pPr>
        <w:pStyle w:val="BodyText"/>
        <w:keepLines/>
      </w:pPr>
      <w:r>
        <w:rPr>
          <w:rFonts w:ascii="Liberation Sans" w:hAnsi="Liberation Sans"/>
          <w:b w:val="0"/>
          <w:i w:val="0"/>
        </w:rPr>
        <w:t>Issue 3A defines the shared contract before the L3 bridge cells are populated. Issue 1 implements entity resolution, grain, bindings, ambiguity, and continuity policy over that contract. Issue 2 implements the materializer census, logical materializer identities, implementation versions, declared opinions, run provenance, and production relations over the same contract.</w:t>
      </w:r>
    </w:p>
    <w:p>
      <w:pPr>
        <w:pStyle w:val="BodyText"/>
        <w:keepLines/>
      </w:pPr>
      <w:r>
        <w:rPr>
          <w:rFonts w:ascii="Liberation Sans" w:hAnsi="Liberation Sans"/>
          <w:b w:val="0"/>
          <w:i w:val="0"/>
        </w:rPr>
        <w:t>Issue 3B then evaluates coherence among source frontiers, canonical Iceberg/Nessie graph versions, logical publication targets, Kuzu and other serving projections, materializer versions, and fabric locality. Coherence is emitted as a time-stamped multi-axis evaluation against a declared target policy, not as one ambiguous mutable status.</w:t>
      </w:r>
    </w:p>
    <w:p>
      <w:pPr>
        <w:pStyle w:val="BodyText"/>
        <w:keepLines/>
      </w:pPr>
      <w:r>
        <w:rPr>
          <w:rFonts w:ascii="Liberation Sans" w:hAnsi="Liberation Sans"/>
          <w:b w:val="0"/>
          <w:i w:val="0"/>
        </w:rPr>
        <w:t>The L0 part registry becomes a typed projection of the general identity ledger, not a separate identity system. Device-local physical artifacts receive instance identities related to logical surfaces; they are not automatically treated as the same physical entity across fabrics.</w:t>
      </w:r>
    </w:p>
    <w:p>
      <w:pPr>
        <w:pStyle w:val="BodyText"/>
        <w:keepLines/>
      </w:pPr>
      <w:r>
        <w:rPr>
          <w:rFonts w:ascii="Liberation Sans" w:hAnsi="Liberation Sans"/>
          <w:b w:val="0"/>
          <w:i w:val="0"/>
        </w:rPr>
        <w:t>The graph membership model must be cover-capable. Fusion signatures and structural position remain versioned continuity evidence rather than identity. The temporal succession graph is primary; birth, retirement, continuation, split, merge, and reorganization are derived interpretations.</w:t>
      </w:r>
    </w:p>
    <w:p>
      <w:pPr>
        <w:pStyle w:val="BodyText"/>
        <w:keepLines/>
      </w:pPr>
      <w:r>
        <w:rPr>
          <w:rFonts w:ascii="Liberation Sans" w:hAnsi="Liberation Sans"/>
          <w:b w:val="0"/>
          <w:i w:val="0"/>
        </w:rPr>
        <w:t>In parallel with the contract work, pin the existing C2/C3 evidence and its producer into immutable, digest-addressed storage. After Issue 3A lands, migrate L0, register the Nessie authority surfaces, repair resolver failure states, and populate the first evidence-backed symbol-to-file bridge. Use that bridge to run the first decisive structure-plus-behavior fusion experiment at file grain.</w:t>
      </w:r>
    </w:p>
    <w:p>
      <w:pPr>
        <w:spacing w:before="160" w:after="160"/>
        <w:pBdr>
          <w:bottom w:val="single" w:sz="10" w:space="1" w:color="2B7A78"/>
        </w:pBdr>
      </w:pPr>
    </w:p>
    <w:p>
      <w:pPr>
        <w:spacing w:before="120" w:after="120"/>
      </w:pPr>
      <w:r>
        <w:rPr>
          <w:rFonts w:ascii="Liberation Sans" w:hAnsi="Liberation Sans"/>
          <w:b/>
          <w:i w:val="0"/>
          <w:color w:val="17324D"/>
          <w:sz w:val="22"/>
        </w:rPr>
        <w:t>The spine establishes who or what persists. The materializer topology establishes which process transformed which source frontier into which version. The coherence kernel proves that every published and projected graph surface is traceable to those identities, states, processes, authorities, and fabrics.</w:t>
      </w:r>
    </w:p>
    <w:p>
      <w:pPr>
        <w:pStyle w:val="Heading1"/>
        <w:keepNext/>
        <w:keepLines/>
        <w:pageBreakBefore/>
      </w:pPr>
      <w:r>
        <w:rPr>
          <w:rFonts w:ascii="Liberation Sans" w:hAnsi="Liberation Sans"/>
        </w:rPr>
        <w:t>Appendix A. Core Contract Sketches</w:t>
      </w:r>
    </w:p>
    <w:p>
      <w:pPr>
        <w:pStyle w:val="Heading2"/>
        <w:keepNext/>
        <w:keepLines/>
      </w:pPr>
      <w:r>
        <w:rPr>
          <w:rFonts w:ascii="Liberation Sans" w:hAnsi="Liberation Sans"/>
        </w:rPr>
        <w:t>A.1 Entity</w:t>
      </w:r>
    </w:p>
    <w:tbl>
      <w:tblPr>
        <w:tblW w:type="auto" w:w="0"/>
        <w:jc w:val="center"/>
        <w:tblLayout w:type="fixed"/>
        <w:tblLook w:firstColumn="1" w:firstRow="1" w:lastColumn="0" w:lastRow="0" w:noHBand="0" w:noVBand="1" w:val="04A0"/>
      </w:tblPr>
      <w:tblGrid>
        <w:gridCol w:w="9994"/>
      </w:tblGrid>
      <w:tr>
        <w:trPr>
          <w:cantSplit/>
        </w:trPr>
        <w:tc>
          <w:tcPr>
            <w:tcW w:type="dxa" w:w="9432"/>
            <w:shd w:fill="F7F8FA"/>
            <w:tcBorders>
              <w:top w:val="single" w:sz="4" w:color="D5DCE3"/>
              <w:left w:val="single" w:sz="4" w:color="D5DCE3"/>
              <w:bottom w:val="single" w:sz="4" w:color="D5DCE3"/>
              <w:right w:val="single" w:sz="4" w:color="D5DCE3"/>
            </w:tcBorders>
            <w:tcMar>
              <w:top w:w="120" w:type="dxa"/>
              <w:start w:w="155" w:type="dxa"/>
              <w:bottom w:w="120" w:type="dxa"/>
              <w:end w:w="155" w:type="dxa"/>
            </w:tcMar>
          </w:tcPr>
          <w:p>
            <w:pPr>
              <w:spacing w:after="0" w:line="240" w:lineRule="auto"/>
            </w:pPr>
            <w:r>
              <w:rPr>
                <w:rFonts w:ascii="Liberation Mono" w:hAnsi="Liberation Mono"/>
                <w:b w:val="0"/>
                <w:i w:val="0"/>
                <w:color w:val="25313B"/>
                <w:sz w:val="17"/>
              </w:rPr>
              <w:t>entity_serial</w:t>
              <w:br/>
              <w:t>entity_class</w:t>
              <w:br/>
              <w:t>plane</w:t>
              <w:br/>
              <w:t>grain</w:t>
              <w:br/>
              <w:t>identity_scope</w:t>
              <w:br/>
              <w:t>identity_policy</w:t>
              <w:br/>
              <w:t>minted_at</w:t>
              <w:br/>
              <w:t>minting_authority</w:t>
              <w:br/>
              <w:t>current_status</w:t>
            </w:r>
          </w:p>
        </w:tc>
      </w:tr>
    </w:tbl>
    <w:p>
      <w:pPr>
        <w:spacing w:after="0"/>
      </w:pPr>
    </w:p>
    <w:p>
      <w:pPr>
        <w:pStyle w:val="Heading2"/>
        <w:keepNext/>
        <w:keepLines/>
      </w:pPr>
      <w:r>
        <w:rPr>
          <w:rFonts w:ascii="Liberation Sans" w:hAnsi="Liberation Sans"/>
        </w:rPr>
        <w:t>A.2 Entity Binding</w:t>
      </w:r>
    </w:p>
    <w:tbl>
      <w:tblPr>
        <w:tblW w:type="auto" w:w="0"/>
        <w:jc w:val="center"/>
        <w:tblLayout w:type="fixed"/>
        <w:tblLook w:firstColumn="1" w:firstRow="1" w:lastColumn="0" w:lastRow="0" w:noHBand="0" w:noVBand="1" w:val="04A0"/>
      </w:tblPr>
      <w:tblGrid>
        <w:gridCol w:w="9994"/>
      </w:tblGrid>
      <w:tr>
        <w:trPr>
          <w:cantSplit/>
        </w:trPr>
        <w:tc>
          <w:tcPr>
            <w:tcW w:type="dxa" w:w="9432"/>
            <w:shd w:fill="F7F8FA"/>
            <w:tcBorders>
              <w:top w:val="single" w:sz="4" w:color="D5DCE3"/>
              <w:left w:val="single" w:sz="4" w:color="D5DCE3"/>
              <w:bottom w:val="single" w:sz="4" w:color="D5DCE3"/>
              <w:right w:val="single" w:sz="4" w:color="D5DCE3"/>
            </w:tcBorders>
            <w:tcMar>
              <w:top w:w="120" w:type="dxa"/>
              <w:start w:w="155" w:type="dxa"/>
              <w:bottom w:w="120" w:type="dxa"/>
              <w:end w:w="155" w:type="dxa"/>
            </w:tcMar>
          </w:tcPr>
          <w:p>
            <w:pPr>
              <w:spacing w:after="0" w:line="240" w:lineRule="auto"/>
            </w:pPr>
            <w:r>
              <w:rPr>
                <w:rFonts w:ascii="Liberation Mono" w:hAnsi="Liberation Mono"/>
                <w:b w:val="0"/>
                <w:i w:val="0"/>
                <w:color w:val="25313B"/>
                <w:sz w:val="17"/>
              </w:rPr>
              <w:t>binding_id</w:t>
              <w:br/>
              <w:t>entity_serial</w:t>
              <w:br/>
              <w:t>space</w:t>
              <w:br/>
              <w:t>substrate_key</w:t>
              <w:br/>
              <w:t>fabric_id / device_id</w:t>
              <w:br/>
              <w:t>valid_from</w:t>
              <w:br/>
              <w:t>valid_to</w:t>
              <w:br/>
              <w:t>binding_basis</w:t>
              <w:br/>
              <w:t>evidence_refs[]</w:t>
            </w:r>
          </w:p>
        </w:tc>
      </w:tr>
    </w:tbl>
    <w:p>
      <w:pPr>
        <w:spacing w:after="0"/>
      </w:pPr>
    </w:p>
    <w:p>
      <w:pPr>
        <w:pStyle w:val="Heading2"/>
        <w:keepNext/>
        <w:keepLines/>
      </w:pPr>
      <w:r>
        <w:rPr>
          <w:rFonts w:ascii="Liberation Sans" w:hAnsi="Liberation Sans"/>
        </w:rPr>
        <w:t>A.3 State Observation</w:t>
      </w:r>
    </w:p>
    <w:tbl>
      <w:tblPr>
        <w:tblW w:type="auto" w:w="0"/>
        <w:jc w:val="center"/>
        <w:tblLayout w:type="fixed"/>
        <w:tblLook w:firstColumn="1" w:firstRow="1" w:lastColumn="0" w:lastRow="0" w:noHBand="0" w:noVBand="1" w:val="04A0"/>
      </w:tblPr>
      <w:tblGrid>
        <w:gridCol w:w="9994"/>
      </w:tblGrid>
      <w:tr>
        <w:trPr>
          <w:cantSplit/>
        </w:trPr>
        <w:tc>
          <w:tcPr>
            <w:tcW w:type="dxa" w:w="9432"/>
            <w:shd w:fill="F7F8FA"/>
            <w:tcBorders>
              <w:top w:val="single" w:sz="4" w:color="D5DCE3"/>
              <w:left w:val="single" w:sz="4" w:color="D5DCE3"/>
              <w:bottom w:val="single" w:sz="4" w:color="D5DCE3"/>
              <w:right w:val="single" w:sz="4" w:color="D5DCE3"/>
            </w:tcBorders>
            <w:tcMar>
              <w:top w:w="120" w:type="dxa"/>
              <w:start w:w="155" w:type="dxa"/>
              <w:bottom w:w="120" w:type="dxa"/>
              <w:end w:w="155" w:type="dxa"/>
            </w:tcMar>
          </w:tcPr>
          <w:p>
            <w:pPr>
              <w:spacing w:after="0" w:line="240" w:lineRule="auto"/>
            </w:pPr>
            <w:r>
              <w:rPr>
                <w:rFonts w:ascii="Liberation Mono" w:hAnsi="Liberation Mono"/>
                <w:b w:val="0"/>
                <w:i w:val="0"/>
                <w:color w:val="25313B"/>
                <w:sz w:val="17"/>
              </w:rPr>
              <w:t>observation_id</w:t>
              <w:br/>
              <w:t>entity_serial</w:t>
              <w:br/>
              <w:t>source_serial</w:t>
              <w:br/>
              <w:t>source_native_key</w:t>
              <w:br/>
              <w:t>source_vintage</w:t>
              <w:br/>
              <w:t>observed_at</w:t>
              <w:br/>
              <w:t>fabric_id / device_id</w:t>
              <w:br/>
              <w:t>fingerprint</w:t>
              <w:br/>
              <w:t>fingerprint_method</w:t>
              <w:br/>
              <w:t>normalization_version</w:t>
              <w:br/>
              <w:t>authority</w:t>
              <w:br/>
              <w:t>failure_state</w:t>
              <w:br/>
              <w:t>evidence_refs[]</w:t>
            </w:r>
          </w:p>
        </w:tc>
      </w:tr>
    </w:tbl>
    <w:p>
      <w:pPr>
        <w:spacing w:after="0"/>
      </w:pPr>
    </w:p>
    <w:p>
      <w:pPr>
        <w:pStyle w:val="Heading2"/>
        <w:keepNext/>
        <w:keepLines/>
      </w:pPr>
      <w:r>
        <w:rPr>
          <w:rFonts w:ascii="Liberation Sans" w:hAnsi="Liberation Sans"/>
        </w:rPr>
        <w:t>A.4 Materializer and Version</w:t>
      </w:r>
    </w:p>
    <w:tbl>
      <w:tblPr>
        <w:tblW w:type="auto" w:w="0"/>
        <w:jc w:val="center"/>
        <w:tblLayout w:type="fixed"/>
        <w:tblLook w:firstColumn="1" w:firstRow="1" w:lastColumn="0" w:lastRow="0" w:noHBand="0" w:noVBand="1" w:val="04A0"/>
      </w:tblPr>
      <w:tblGrid>
        <w:gridCol w:w="9994"/>
      </w:tblGrid>
      <w:tr>
        <w:trPr>
          <w:cantSplit/>
        </w:trPr>
        <w:tc>
          <w:tcPr>
            <w:tcW w:type="dxa" w:w="9432"/>
            <w:shd w:fill="F7F8FA"/>
            <w:tcBorders>
              <w:top w:val="single" w:sz="4" w:color="D5DCE3"/>
              <w:left w:val="single" w:sz="4" w:color="D5DCE3"/>
              <w:bottom w:val="single" w:sz="4" w:color="D5DCE3"/>
              <w:right w:val="single" w:sz="4" w:color="D5DCE3"/>
            </w:tcBorders>
            <w:tcMar>
              <w:top w:w="120" w:type="dxa"/>
              <w:start w:w="155" w:type="dxa"/>
              <w:bottom w:w="120" w:type="dxa"/>
              <w:end w:w="155" w:type="dxa"/>
            </w:tcMar>
          </w:tcPr>
          <w:p>
            <w:pPr>
              <w:spacing w:after="0" w:line="240" w:lineRule="auto"/>
            </w:pPr>
            <w:r>
              <w:rPr>
                <w:rFonts w:ascii="Liberation Mono" w:hAnsi="Liberation Mono"/>
                <w:b w:val="0"/>
                <w:i w:val="0"/>
                <w:color w:val="25313B"/>
                <w:sz w:val="17"/>
              </w:rPr>
              <w:t>materializer_serial</w:t>
              <w:br/>
              <w:t>semantic_layer</w:t>
              <w:br/>
              <w:t>owner</w:t>
              <w:br/>
              <w:t>materializer_version_id</w:t>
              <w:br/>
              <w:t>source_tree_digest</w:t>
              <w:br/>
              <w:t>dependency_lock_digest</w:t>
              <w:br/>
              <w:t>configuration_digest</w:t>
              <w:br/>
              <w:t>declared_opinions_digest</w:t>
              <w:br/>
              <w:t>normalizer_versions[]</w:t>
              <w:br/>
              <w:t>runtime_contract_version</w:t>
              <w:br/>
              <w:t>supersedes</w:t>
            </w:r>
          </w:p>
        </w:tc>
      </w:tr>
    </w:tbl>
    <w:p>
      <w:pPr>
        <w:spacing w:after="0"/>
      </w:pPr>
    </w:p>
    <w:p>
      <w:pPr>
        <w:pStyle w:val="Heading2"/>
        <w:keepNext/>
        <w:keepLines/>
      </w:pPr>
      <w:r>
        <w:rPr>
          <w:rFonts w:ascii="Liberation Sans" w:hAnsi="Liberation Sans"/>
        </w:rPr>
        <w:t>A.5 Materialization Run</w:t>
      </w:r>
    </w:p>
    <w:tbl>
      <w:tblPr>
        <w:tblW w:type="auto" w:w="0"/>
        <w:jc w:val="center"/>
        <w:tblLayout w:type="fixed"/>
        <w:tblLook w:firstColumn="1" w:firstRow="1" w:lastColumn="0" w:lastRow="0" w:noHBand="0" w:noVBand="1" w:val="04A0"/>
      </w:tblPr>
      <w:tblGrid>
        <w:gridCol w:w="9994"/>
      </w:tblGrid>
      <w:tr>
        <w:trPr>
          <w:cantSplit/>
        </w:trPr>
        <w:tc>
          <w:tcPr>
            <w:tcW w:type="dxa" w:w="9432"/>
            <w:shd w:fill="F7F8FA"/>
            <w:tcBorders>
              <w:top w:val="single" w:sz="4" w:color="D5DCE3"/>
              <w:left w:val="single" w:sz="4" w:color="D5DCE3"/>
              <w:bottom w:val="single" w:sz="4" w:color="D5DCE3"/>
              <w:right w:val="single" w:sz="4" w:color="D5DCE3"/>
            </w:tcBorders>
            <w:tcMar>
              <w:top w:w="120" w:type="dxa"/>
              <w:start w:w="155" w:type="dxa"/>
              <w:bottom w:w="120" w:type="dxa"/>
              <w:end w:w="155" w:type="dxa"/>
            </w:tcMar>
          </w:tcPr>
          <w:p>
            <w:pPr>
              <w:spacing w:after="0" w:line="240" w:lineRule="auto"/>
            </w:pPr>
            <w:r>
              <w:rPr>
                <w:rFonts w:ascii="Liberation Mono" w:hAnsi="Liberation Mono"/>
                <w:b w:val="0"/>
                <w:i w:val="0"/>
                <w:color w:val="25313B"/>
                <w:sz w:val="17"/>
              </w:rPr>
              <w:t>run_id</w:t>
              <w:br/>
              <w:t>materializer_serial</w:t>
              <w:br/>
              <w:t>materializer_version_id</w:t>
              <w:br/>
              <w:t>source_frontier_id</w:t>
              <w:br/>
              <w:t>fabric_id / device_id</w:t>
              <w:br/>
              <w:t>started_at / completed_at</w:t>
              <w:br/>
              <w:t>input_bindings[]</w:t>
              <w:br/>
              <w:t>output_surface_versions[]</w:t>
              <w:br/>
              <w:t>parameters</w:t>
              <w:br/>
              <w:t>random_seeds</w:t>
              <w:br/>
              <w:t>run_receipt_digest</w:t>
              <w:br/>
              <w:t>verdict</w:t>
            </w:r>
          </w:p>
        </w:tc>
      </w:tr>
    </w:tbl>
    <w:p>
      <w:pPr>
        <w:spacing w:after="0"/>
      </w:pPr>
    </w:p>
    <w:p>
      <w:pPr>
        <w:pStyle w:val="Heading2"/>
        <w:keepNext/>
        <w:keepLines/>
      </w:pPr>
      <w:r>
        <w:rPr>
          <w:rFonts w:ascii="Liberation Sans" w:hAnsi="Liberation Sans"/>
        </w:rPr>
        <w:t>A.6 Source Frontier</w:t>
      </w:r>
    </w:p>
    <w:tbl>
      <w:tblPr>
        <w:tblW w:type="auto" w:w="0"/>
        <w:jc w:val="center"/>
        <w:tblLayout w:type="fixed"/>
        <w:tblLook w:firstColumn="1" w:firstRow="1" w:lastColumn="0" w:lastRow="0" w:noHBand="0" w:noVBand="1" w:val="04A0"/>
      </w:tblPr>
      <w:tblGrid>
        <w:gridCol w:w="9994"/>
      </w:tblGrid>
      <w:tr>
        <w:trPr>
          <w:cantSplit/>
        </w:trPr>
        <w:tc>
          <w:tcPr>
            <w:tcW w:type="dxa" w:w="9432"/>
            <w:shd w:fill="F7F8FA"/>
            <w:tcBorders>
              <w:top w:val="single" w:sz="4" w:color="D5DCE3"/>
              <w:left w:val="single" w:sz="4" w:color="D5DCE3"/>
              <w:bottom w:val="single" w:sz="4" w:color="D5DCE3"/>
              <w:right w:val="single" w:sz="4" w:color="D5DCE3"/>
            </w:tcBorders>
            <w:tcMar>
              <w:top w:w="120" w:type="dxa"/>
              <w:start w:w="155" w:type="dxa"/>
              <w:bottom w:w="120" w:type="dxa"/>
              <w:end w:w="155" w:type="dxa"/>
            </w:tcMar>
          </w:tcPr>
          <w:p>
            <w:pPr>
              <w:spacing w:after="0" w:line="240" w:lineRule="auto"/>
            </w:pPr>
            <w:r>
              <w:rPr>
                <w:rFonts w:ascii="Liberation Mono" w:hAnsi="Liberation Mono"/>
                <w:b w:val="0"/>
                <w:i w:val="0"/>
                <w:color w:val="25313B"/>
                <w:sz w:val="17"/>
              </w:rPr>
              <w:t>source_frontier_id</w:t>
              <w:br/>
              <w:t>target_policy</w:t>
              <w:br/>
              <w:t>entries[]:</w:t>
              <w:br/>
              <w:t xml:space="preserve">  - source_serial</w:t>
              <w:br/>
              <w:t xml:space="preserve">  - authority_ref</w:t>
              <w:br/>
              <w:t xml:space="preserve">  - source_version</w:t>
              <w:br/>
              <w:t xml:space="preserve">  - observed_at</w:t>
              <w:br/>
              <w:t xml:space="preserve">  - fabric_id / device_id</w:t>
            </w:r>
          </w:p>
        </w:tc>
      </w:tr>
    </w:tbl>
    <w:p>
      <w:pPr>
        <w:spacing w:after="0"/>
      </w:pPr>
    </w:p>
    <w:p>
      <w:pPr>
        <w:pStyle w:val="Heading2"/>
        <w:keepNext/>
        <w:keepLines/>
      </w:pPr>
      <w:r>
        <w:rPr>
          <w:rFonts w:ascii="Liberation Sans" w:hAnsi="Liberation Sans"/>
        </w:rPr>
        <w:t>A.7 Coherence Evaluation</w:t>
      </w:r>
    </w:p>
    <w:tbl>
      <w:tblPr>
        <w:tblW w:type="auto" w:w="0"/>
        <w:jc w:val="center"/>
        <w:tblLayout w:type="fixed"/>
        <w:tblLook w:firstColumn="1" w:firstRow="1" w:lastColumn="0" w:lastRow="0" w:noHBand="0" w:noVBand="1" w:val="04A0"/>
      </w:tblPr>
      <w:tblGrid>
        <w:gridCol w:w="9994"/>
      </w:tblGrid>
      <w:tr>
        <w:trPr>
          <w:cantSplit/>
        </w:trPr>
        <w:tc>
          <w:tcPr>
            <w:tcW w:type="dxa" w:w="9432"/>
            <w:shd w:fill="F7F8FA"/>
            <w:tcBorders>
              <w:top w:val="single" w:sz="4" w:color="D5DCE3"/>
              <w:left w:val="single" w:sz="4" w:color="D5DCE3"/>
              <w:bottom w:val="single" w:sz="4" w:color="D5DCE3"/>
              <w:right w:val="single" w:sz="4" w:color="D5DCE3"/>
            </w:tcBorders>
            <w:tcMar>
              <w:top w:w="120" w:type="dxa"/>
              <w:start w:w="155" w:type="dxa"/>
              <w:bottom w:w="120" w:type="dxa"/>
              <w:end w:w="155" w:type="dxa"/>
            </w:tcMar>
          </w:tcPr>
          <w:p>
            <w:pPr>
              <w:spacing w:after="0" w:line="240" w:lineRule="auto"/>
            </w:pPr>
            <w:r>
              <w:rPr>
                <w:rFonts w:ascii="Liberation Mono" w:hAnsi="Liberation Mono"/>
                <w:b w:val="0"/>
                <w:i w:val="0"/>
                <w:color w:val="25313B"/>
                <w:sz w:val="17"/>
              </w:rPr>
              <w:t>coherence_evaluation_id</w:t>
              <w:br/>
              <w:t>subject_surface_instance</w:t>
              <w:br/>
              <w:t>declared_target</w:t>
              <w:br/>
              <w:t>source_frontier_id</w:t>
              <w:br/>
              <w:t>materializer_version_id</w:t>
              <w:br/>
              <w:t>availability</w:t>
              <w:br/>
              <w:t>integrity</w:t>
              <w:br/>
              <w:t>currency</w:t>
              <w:br/>
              <w:t>provenance</w:t>
              <w:br/>
              <w:t>fabric_validity</w:t>
              <w:br/>
              <w:t>evaluated_at</w:t>
              <w:br/>
              <w:t>evidence_refs[]</w:t>
            </w:r>
          </w:p>
        </w:tc>
      </w:tr>
    </w:tbl>
    <w:p>
      <w:pPr>
        <w:spacing w:after="0"/>
      </w:pPr>
    </w:p>
    <w:p>
      <w:pPr>
        <w:pStyle w:val="Heading1"/>
        <w:keepNext/>
        <w:keepLines/>
        <w:pageBreakBefore/>
      </w:pPr>
      <w:r>
        <w:rPr>
          <w:rFonts w:ascii="Liberation Sans" w:hAnsi="Liberation Sans"/>
        </w:rPr>
        <w:t>Appendix B. Decision Register</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Decision</w:t>
            </w:r>
          </w:p>
        </w:tc>
        <w:tc>
          <w:tcPr>
            <w:tcW w:type="dxa" w:w="2952"/>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Recommended standing</w:t>
            </w:r>
          </w:p>
        </w:tc>
        <w:tc>
          <w:tcPr>
            <w:tcW w:type="dxa" w:w="4104"/>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Reason</w:t>
            </w:r>
          </w:p>
        </w:tc>
      </w:tr>
      <w:tr>
        <w:trPr>
          <w:cantSplit/>
        </w:trPr>
        <w:tc>
          <w:tcPr>
            <w:tcW w:type="dxa" w:w="2376"/>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Serial construction</w:t>
            </w:r>
          </w:p>
        </w:tc>
        <w:tc>
          <w:tcPr>
            <w:tcW w:type="dxa" w:w="295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Opaque mint</w:t>
            </w:r>
          </w:p>
        </w:tc>
        <w:tc>
          <w:tcPr>
            <w:tcW w:type="dxa" w:w="4104"/>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Prevents identity from dying when mutable references change.</w:t>
            </w:r>
          </w:p>
        </w:tc>
      </w:tr>
      <w:tr>
        <w:trPr>
          <w:cantSplit/>
        </w:trPr>
        <w:tc>
          <w:tcPr>
            <w:tcW w:type="dxa" w:w="2376"/>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Hash role</w:t>
            </w:r>
          </w:p>
        </w:tc>
        <w:tc>
          <w:tcPr>
            <w:tcW w:type="dxa" w:w="295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Evidence / immutable-version identity</w:t>
            </w:r>
          </w:p>
        </w:tc>
        <w:tc>
          <w:tcPr>
            <w:tcW w:type="dxa" w:w="4104"/>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Retains change detection and content addressing without conflating identity and state.</w:t>
            </w:r>
          </w:p>
        </w:tc>
      </w:tr>
      <w:tr>
        <w:trPr>
          <w:cantSplit/>
        </w:trPr>
        <w:tc>
          <w:tcPr>
            <w:tcW w:type="dxa" w:w="2376"/>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L0 part IDs</w:t>
            </w:r>
          </w:p>
        </w:tc>
        <w:tc>
          <w:tcPr>
            <w:tcW w:type="dxa" w:w="295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Projection of general ledger</w:t>
            </w:r>
          </w:p>
        </w:tc>
        <w:tc>
          <w:tcPr>
            <w:tcW w:type="dxa" w:w="4104"/>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Avoids separate identity systems at each altitude.</w:t>
            </w:r>
          </w:p>
        </w:tc>
      </w:tr>
      <w:tr>
        <w:trPr>
          <w:cantSplit/>
        </w:trPr>
        <w:tc>
          <w:tcPr>
            <w:tcW w:type="dxa" w:w="2376"/>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Logical vs physical</w:t>
            </w:r>
          </w:p>
        </w:tc>
        <w:tc>
          <w:tcPr>
            <w:tcW w:type="dxa" w:w="295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Separate identities related by INSTANCE_OF / INSTANCE_ON</w:t>
            </w:r>
          </w:p>
        </w:tc>
        <w:tc>
          <w:tcPr>
            <w:tcW w:type="dxa" w:w="4104"/>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Preserves device-local failure, rebuild, and Rule 26 semantics.</w:t>
            </w:r>
          </w:p>
        </w:tc>
      </w:tr>
      <w:tr>
        <w:trPr>
          <w:cantSplit/>
        </w:trPr>
        <w:tc>
          <w:tcPr>
            <w:tcW w:type="dxa" w:w="2376"/>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C0 definition</w:t>
            </w:r>
          </w:p>
        </w:tc>
        <w:tc>
          <w:tcPr>
            <w:tcW w:type="dxa" w:w="295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Entity claims + binding claims + state observations</w:t>
            </w:r>
          </w:p>
        </w:tc>
        <w:tc>
          <w:tcPr>
            <w:tcW w:type="dxa" w:w="4104"/>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Keeps evidence replayable and distinct from persistent identity.</w:t>
            </w:r>
          </w:p>
        </w:tc>
      </w:tr>
      <w:tr>
        <w:trPr>
          <w:cantSplit/>
        </w:trPr>
        <w:tc>
          <w:tcPr>
            <w:tcW w:type="dxa" w:w="2376"/>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Continuity</w:t>
            </w:r>
          </w:p>
        </w:tc>
        <w:tc>
          <w:tcPr>
            <w:tcW w:type="dxa" w:w="295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Entity-class-specific policies</w:t>
            </w:r>
          </w:p>
        </w:tc>
        <w:tc>
          <w:tcPr>
            <w:tcW w:type="dxa" w:w="4104"/>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Different authorities govern files, resources, occurrences, and discovered systems.</w:t>
            </w:r>
          </w:p>
        </w:tc>
      </w:tr>
      <w:tr>
        <w:trPr>
          <w:cantSplit/>
        </w:trPr>
        <w:tc>
          <w:tcPr>
            <w:tcW w:type="dxa" w:w="2376"/>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Bridge population</w:t>
            </w:r>
          </w:p>
        </w:tc>
        <w:tc>
          <w:tcPr>
            <w:tcW w:type="dxa" w:w="295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After 3A</w:t>
            </w:r>
          </w:p>
        </w:tc>
        <w:tc>
          <w:tcPr>
            <w:tcW w:type="dxa" w:w="4104"/>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Prevents migration from free-text and parsed keys later.</w:t>
            </w:r>
          </w:p>
        </w:tc>
      </w:tr>
      <w:tr>
        <w:trPr>
          <w:cantSplit/>
        </w:trPr>
        <w:tc>
          <w:tcPr>
            <w:tcW w:type="dxa" w:w="2376"/>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Membership</w:t>
            </w:r>
          </w:p>
        </w:tc>
        <w:tc>
          <w:tcPr>
            <w:tcW w:type="dxa" w:w="295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Cover-capable persistence</w:t>
            </w:r>
          </w:p>
        </w:tc>
        <w:tc>
          <w:tcPr>
            <w:tcW w:type="dxa" w:w="4104"/>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Preserves cross-domain membership while allowing partition outputs as a special case.</w:t>
            </w:r>
          </w:p>
        </w:tc>
      </w:tr>
      <w:tr>
        <w:trPr>
          <w:cantSplit/>
        </w:trPr>
        <w:tc>
          <w:tcPr>
            <w:tcW w:type="dxa" w:w="2376"/>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L4 identity</w:t>
            </w:r>
          </w:p>
        </w:tc>
        <w:tc>
          <w:tcPr>
            <w:tcW w:type="dxa" w:w="295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Minted serial + succession</w:t>
            </w:r>
          </w:p>
        </w:tc>
        <w:tc>
          <w:tcPr>
            <w:tcW w:type="dxa" w:w="4104"/>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Fused position changes with the model and is only recognition evidence.</w:t>
            </w:r>
          </w:p>
        </w:tc>
      </w:tr>
      <w:tr>
        <w:trPr>
          <w:cantSplit/>
        </w:trPr>
        <w:tc>
          <w:tcPr>
            <w:tcW w:type="dxa" w:w="2376"/>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Monitoring</w:t>
            </w:r>
          </w:p>
        </w:tc>
        <w:tc>
          <w:tcPr>
            <w:tcW w:type="dxa" w:w="295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On-demand / at-build-time by default</w:t>
            </w:r>
          </w:p>
        </w:tc>
        <w:tc>
          <w:tcPr>
            <w:tcW w:type="dxa" w:w="4104"/>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Matches current moratorium unless continuous watching is explicitly requested.</w:t>
            </w:r>
          </w:p>
        </w:tc>
      </w:tr>
    </w:tbl>
    <w:p>
      <w:pPr>
        <w:spacing w:after="0"/>
      </w:pPr>
    </w:p>
    <w:p>
      <w:pPr>
        <w:pStyle w:val="Heading2"/>
        <w:keepNext/>
        <w:keepLines/>
      </w:pPr>
      <w:r>
        <w:rPr>
          <w:rFonts w:ascii="Liberation Sans" w:hAnsi="Liberation Sans"/>
        </w:rPr>
        <w:t>B.1 Open owner decisions</w:t>
      </w:r>
    </w:p>
    <w:p>
      <w:pPr>
        <w:pStyle w:val="ListBullet"/>
        <w:keepLines/>
      </w:pPr>
      <w:r>
        <w:rPr>
          <w:rFonts w:ascii="Liberation Sans" w:hAnsi="Liberation Sans"/>
          <w:b w:val="0"/>
          <w:i w:val="0"/>
        </w:rPr>
        <w:t>Formally ratify the amended PRD and record whether the earlier D11 directive already constituted ratification.</w:t>
      </w:r>
    </w:p>
    <w:p>
      <w:pPr>
        <w:pStyle w:val="ListBullet"/>
        <w:keepLines/>
      </w:pPr>
      <w:r>
        <w:rPr>
          <w:rFonts w:ascii="Liberation Sans" w:hAnsi="Liberation Sans"/>
          <w:b w:val="0"/>
          <w:i w:val="0"/>
        </w:rPr>
        <w:t>Confirm whether continuous coherence monitoring is desired or whether on-demand and materialization-time checks remain the default.</w:t>
      </w:r>
    </w:p>
    <w:p>
      <w:pPr>
        <w:pStyle w:val="ListBullet"/>
        <w:keepLines/>
      </w:pPr>
      <w:r>
        <w:rPr>
          <w:rFonts w:ascii="Liberation Sans" w:hAnsi="Liberation Sans"/>
          <w:b w:val="0"/>
          <w:i w:val="0"/>
        </w:rPr>
        <w:t>Determine the product semantics of the 540 cross-domain memberships; the persistence layer should remain cover-capable regardless.</w:t>
      </w:r>
    </w:p>
    <w:p>
      <w:pPr>
        <w:pStyle w:val="ListBullet"/>
        <w:keepLines/>
      </w:pPr>
      <w:r>
        <w:rPr>
          <w:rFonts w:ascii="Liberation Sans" w:hAnsi="Liberation Sans"/>
          <w:b w:val="0"/>
          <w:i w:val="0"/>
        </w:rPr>
        <w:t>Approve the canonical identity-minting authority and collision/reconciliation policy across fabrics.</w:t>
      </w:r>
    </w:p>
    <w:p>
      <w:pPr>
        <w:pStyle w:val="ListBullet"/>
        <w:keepLines/>
      </w:pPr>
      <w:r>
        <w:rPr>
          <w:rFonts w:ascii="Liberation Sans" w:hAnsi="Liberation Sans"/>
          <w:b w:val="0"/>
          <w:i w:val="0"/>
        </w:rPr>
        <w:t>Approve retention and storage policy for immutable evidence bundles and run receipts.</w:t>
      </w:r>
    </w:p>
    <w:p>
      <w:pPr>
        <w:pStyle w:val="Heading1"/>
        <w:keepNext/>
        <w:keepLines/>
        <w:pageBreakBefore/>
      </w:pPr>
      <w:r>
        <w:rPr>
          <w:rFonts w:ascii="Liberation Sans" w:hAnsi="Liberation Sans"/>
        </w:rPr>
        <w:t>Appendix C. Source and Evidence Register</w:t>
      </w:r>
    </w:p>
    <w:p>
      <w:pPr>
        <w:pStyle w:val="BodyText"/>
        <w:keepLines/>
      </w:pPr>
      <w:r>
        <w:rPr>
          <w:rFonts w:ascii="Liberation Sans" w:hAnsi="Liberation Sans"/>
          <w:b w:val="0"/>
          <w:i w:val="0"/>
        </w:rPr>
        <w:t>This memorandum is grounded in four supplied source artifacts. It preserves their measured-versus-inferred distinctions and does not treat draft or unproven claims as completed results.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864"/>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Source ID</w:t>
            </w:r>
          </w:p>
        </w:tc>
        <w:tc>
          <w:tcPr>
            <w:tcW w:type="dxa" w:w="3744"/>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Artifact</w:t>
            </w:r>
          </w:p>
        </w:tc>
        <w:tc>
          <w:tcPr>
            <w:tcW w:type="dxa" w:w="5112"/>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Primary contribution</w:t>
            </w:r>
          </w:p>
        </w:tc>
      </w:tr>
      <w:tr>
        <w:trPr>
          <w:cantSplit/>
        </w:trPr>
        <w:tc>
          <w:tcPr>
            <w:tcW w:type="dxa" w:w="864"/>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S1</w:t>
            </w:r>
          </w:p>
        </w:tc>
        <w:tc>
          <w:tcPr>
            <w:tcW w:type="dxa" w:w="3744"/>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CTO-Agent Dialogue (2026-08-27)</w:t>
            </w:r>
          </w:p>
        </w:tc>
        <w:tc>
          <w:tcPr>
            <w:tcW w:type="dxa" w:w="511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Issue framing; derived-identity diagnosis; minted serial, binding, and fingerprint split; Rule 26 interpretation; Issue 3A/3B proposal.</w:t>
            </w:r>
          </w:p>
        </w:tc>
      </w:tr>
      <w:tr>
        <w:trPr>
          <w:cantSplit/>
        </w:trPr>
        <w:tc>
          <w:tcPr>
            <w:tcW w:type="dxa" w:w="864"/>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S2</w:t>
            </w:r>
          </w:p>
        </w:tc>
        <w:tc>
          <w:tcPr>
            <w:tcW w:type="dxa" w:w="3744"/>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Layer Architecture (2026-08-27)</w:t>
            </w:r>
          </w:p>
        </w:tc>
        <w:tc>
          <w:tcPr>
            <w:tcW w:type="dxa" w:w="511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L0–L4 architecture, four-grain declaration, bridge conditions, fusion thesis, succession model, falsification criteria, and draft status.</w:t>
            </w:r>
          </w:p>
        </w:tc>
      </w:tr>
      <w:tr>
        <w:trPr>
          <w:cantSplit/>
        </w:trPr>
        <w:tc>
          <w:tcPr>
            <w:tcW w:type="dxa" w:w="864"/>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S3</w:t>
            </w:r>
          </w:p>
        </w:tc>
        <w:tc>
          <w:tcPr>
            <w:tcW w:type="dxa" w:w="3744"/>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Entity Spine Foundation Brief (2026-08-27)</w:t>
            </w:r>
          </w:p>
        </w:tc>
        <w:tc>
          <w:tcPr>
            <w:tcW w:type="dxa" w:w="5112"/>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Resolver strengths and substrate failure, non-enumerable families, key and grain findings, Nessie authority gap, and substrate/spine priorities.</w:t>
            </w:r>
          </w:p>
        </w:tc>
      </w:tr>
      <w:tr>
        <w:trPr>
          <w:cantSplit/>
        </w:trPr>
        <w:tc>
          <w:tcPr>
            <w:tcW w:type="dxa" w:w="864"/>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S4</w:t>
            </w:r>
          </w:p>
        </w:tc>
        <w:tc>
          <w:tcPr>
            <w:tcW w:type="dxa" w:w="3744"/>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Repo State, Gaps, and Challenges (2026-08-27)</w:t>
            </w:r>
          </w:p>
        </w:tc>
        <w:tc>
          <w:tcPr>
            <w:tcW w:type="dxa" w:w="5112"/>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Repository inventory, untracked evidence, missing producers and implementations, materializer-state gaps, Rule 24/26 analysis, and ordered recommendations.</w:t>
            </w:r>
          </w:p>
        </w:tc>
      </w:tr>
    </w:tbl>
    <w:p>
      <w:pPr>
        <w:spacing w:after="0"/>
      </w:pPr>
    </w:p>
    <w:p>
      <w:pPr>
        <w:pStyle w:val="Heading2"/>
        <w:keepNext/>
        <w:keepLines/>
      </w:pPr>
      <w:r>
        <w:rPr>
          <w:rFonts w:ascii="Liberation Sans" w:hAnsi="Liberation Sans"/>
        </w:rPr>
        <w:t>C.1 Evidence anchors used in the synthesis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744"/>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Claim</w:t>
            </w:r>
          </w:p>
        </w:tc>
        <w:tc>
          <w:tcPr>
            <w:tcW w:type="dxa" w:w="5976"/>
            <w:shd w:fill="17324D"/>
            <w:tcMar>
              <w:top w:w="100" w:type="dxa"/>
              <w:start w:w="95" w:type="dxa"/>
              <w:bottom w:w="100" w:type="dxa"/>
              <w:end w:w="95" w:type="dxa"/>
            </w:tcMar>
            <w:vAlign w:val="center"/>
            <w:tcBorders>
              <w:top w:val="single" w:sz="4" w:color="17324D"/>
              <w:left w:val="single" w:sz="4" w:color="FFFFFF"/>
              <w:bottom w:val="single" w:sz="4" w:color="17324D"/>
              <w:right w:val="single" w:sz="4" w:color="FFFFFF"/>
            </w:tcBorders>
          </w:tcPr>
          <w:p>
            <w:pPr>
              <w:spacing w:after="0"/>
              <w:jc w:val="left"/>
            </w:pPr>
            <w:r>
              <w:rPr>
                <w:rFonts w:ascii="Liberation Sans" w:hAnsi="Liberation Sans"/>
                <w:b/>
                <w:i w:val="0"/>
                <w:color w:val="FFFFFF"/>
                <w:sz w:val="17"/>
              </w:rPr>
              <w:t>Source location</w:t>
            </w:r>
          </w:p>
        </w:tc>
      </w:tr>
      <w:tr>
        <w:trPr>
          <w:cantSplit/>
        </w:trPr>
        <w:tc>
          <w:tcPr>
            <w:tcW w:type="dxa" w:w="3744"/>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Derived identity fails at multiple altitudes</w:t>
            </w:r>
          </w:p>
        </w:tc>
        <w:tc>
          <w:tcPr>
            <w:tcW w:type="dxa" w:w="5976"/>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S1 lines 9–18 and 63–79; S2 §§0, 3.6, and 6.1; S3 §§2.3 and 3.</w:t>
            </w:r>
          </w:p>
        </w:tc>
      </w:tr>
      <w:tr>
        <w:trPr>
          <w:cantSplit/>
        </w:trPr>
        <w:tc>
          <w:tcPr>
            <w:tcW w:type="dxa" w:w="3744"/>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L0 fields are thin where L1 depends on them</w:t>
            </w:r>
          </w:p>
        </w:tc>
        <w:tc>
          <w:tcPr>
            <w:tcW w:type="dxa" w:w="5976"/>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S2 §2.6; S3 §6; S4 §2 (L0).</w:t>
            </w:r>
          </w:p>
        </w:tc>
      </w:tr>
      <w:tr>
        <w:trPr>
          <w:cantSplit/>
        </w:trPr>
        <w:tc>
          <w:tcPr>
            <w:tcW w:type="dxa" w:w="3744"/>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Four native grains and absent bridges</w:t>
            </w:r>
          </w:p>
        </w:tc>
        <w:tc>
          <w:tcPr>
            <w:tcW w:type="dxa" w:w="5976"/>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S2 §§3.3–3.7; S3 §3; S4 §2 (L1).</w:t>
            </w:r>
          </w:p>
        </w:tc>
      </w:tr>
      <w:tr>
        <w:trPr>
          <w:cantSplit/>
        </w:trPr>
        <w:tc>
          <w:tcPr>
            <w:tcW w:type="dxa" w:w="3744"/>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Fusion remains a thesis</w:t>
            </w:r>
          </w:p>
        </w:tc>
        <w:tc>
          <w:tcPr>
            <w:tcW w:type="dxa" w:w="5976"/>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S2 §8; S4 §§2 and 9.</w:t>
            </w:r>
          </w:p>
        </w:tc>
      </w:tr>
      <w:tr>
        <w:trPr>
          <w:cantSplit/>
        </w:trPr>
        <w:tc>
          <w:tcPr>
            <w:tcW w:type="dxa" w:w="3744"/>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Current evidence is device-local and partly untracked</w:t>
            </w:r>
          </w:p>
        </w:tc>
        <w:tc>
          <w:tcPr>
            <w:tcW w:type="dxa" w:w="5976"/>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S4 §§1, 5, and 8.</w:t>
            </w:r>
          </w:p>
        </w:tc>
      </w:tr>
      <w:tr>
        <w:trPr>
          <w:cantSplit/>
        </w:trPr>
        <w:tc>
          <w:tcPr>
            <w:tcW w:type="dxa" w:w="3744"/>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Nessie authority is outside the census</w:t>
            </w:r>
          </w:p>
        </w:tc>
        <w:tc>
          <w:tcPr>
            <w:tcW w:type="dxa" w:w="5976"/>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S3 §4.4; S4 §§8–10.</w:t>
            </w:r>
          </w:p>
        </w:tc>
      </w:tr>
      <w:tr>
        <w:trPr>
          <w:cantSplit/>
        </w:trPr>
        <w:tc>
          <w:tcPr>
            <w:tcW w:type="dxa" w:w="3744"/>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Materializer currency and declared opinions are unmeasured</w:t>
            </w:r>
          </w:p>
        </w:tc>
        <w:tc>
          <w:tcPr>
            <w:tcW w:type="dxa" w:w="5976"/>
            <w:shd w:fill="FFFFFF"/>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S1 lines 19–26; S2 §2; S3 §6; S4 §§2–4.</w:t>
            </w:r>
          </w:p>
        </w:tc>
      </w:tr>
      <w:tr>
        <w:trPr>
          <w:cantSplit/>
        </w:trPr>
        <w:tc>
          <w:tcPr>
            <w:tcW w:type="dxa" w:w="3744"/>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Cover-versus-partition conflict and the 540</w:t>
            </w:r>
          </w:p>
        </w:tc>
        <w:tc>
          <w:tcPr>
            <w:tcW w:type="dxa" w:w="5976"/>
            <w:shd w:fill="F7F9FB"/>
            <w:tcMar>
              <w:top w:w="90" w:type="dxa"/>
              <w:start w:w="95" w:type="dxa"/>
              <w:bottom w:w="90" w:type="dxa"/>
              <w:end w:w="95" w:type="dxa"/>
            </w:tcMar>
            <w:vAlign w:val="top"/>
            <w:tcBorders>
              <w:top w:val="single" w:sz="3" w:color="DDE3E8"/>
              <w:left w:val="single" w:sz="3" w:color="DDE3E8"/>
              <w:bottom w:val="single" w:sz="3" w:color="DDE3E8"/>
              <w:right w:val="single" w:sz="3" w:color="DDE3E8"/>
            </w:tcBorders>
          </w:tcPr>
          <w:p>
            <w:pPr>
              <w:spacing w:after="0"/>
            </w:pPr>
            <w:r>
              <w:rPr>
                <w:rFonts w:ascii="Liberation Sans" w:hAnsi="Liberation Sans"/>
                <w:b w:val="0"/>
                <w:i w:val="0"/>
                <w:color w:val="111111"/>
                <w:sz w:val="16"/>
              </w:rPr>
              <w:t>S2 §10.2; S4 §9.</w:t>
            </w:r>
          </w:p>
        </w:tc>
      </w:tr>
    </w:tbl>
    <w:p>
      <w:pPr>
        <w:spacing w:after="0"/>
      </w:pPr>
    </w:p>
    <w:p>
      <w:pPr>
        <w:spacing w:before="40" w:after="100"/>
      </w:pPr>
      <w:r>
        <w:rPr>
          <w:rFonts w:ascii="Liberation Sans" w:hAnsi="Liberation Sans"/>
          <w:b w:val="0"/>
          <w:i/>
          <w:color w:val="65727D"/>
          <w:sz w:val="16"/>
        </w:rPr>
        <w:t>Exact source filenames: Pasted text(20260827-160242).txt; C3MATERIALIZE_LAYER_ARCHITECTURE_20260827.md; SPINE_FOUNDATION_BRIEF_20260827.md; C3MATERIALIZE_REPO_STATE_AND_GAPS_20260827.md. No external web research was used.</w:t>
      </w:r>
    </w:p>
    <w:p>
      <w:pPr>
        <w:spacing w:before="200"/>
        <w:jc w:val="center"/>
      </w:pPr>
      <w:r>
        <w:rPr>
          <w:rFonts w:ascii="Liberation Sans" w:hAnsi="Liberation Sans"/>
          <w:b/>
          <w:i w:val="0"/>
          <w:color w:val="65727D"/>
          <w:sz w:val="17"/>
        </w:rPr>
        <w:t>END OF MEMORANDUM</w:t>
      </w:r>
    </w:p>
    <w:sectPr w:rsidR="00FC693F" w:rsidRPr="0006063C" w:rsidSect="00034616">
      <w:headerReference w:type="default" r:id="rId9"/>
      <w:footerReference w:type="default" r:id="rId10"/>
      <w:pgSz w:w="12240" w:h="15840"/>
      <w:pgMar w:top="1037" w:right="1123" w:bottom="979" w:left="1123"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65727D"/>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b/>
        <w:i w:val="0"/>
        <w:color w:val="65727D"/>
        <w:sz w:val="16"/>
      </w:rPr>
      <w:t>C3MATERIALIZE  |  IDENTITY-STATE COHERENCE KERNEL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Liberation Sans" w:hAnsi="Liberation Sans"/>
      <w:b/>
      <w:bCs/>
      <w:color w:val="2E5D7B"/>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2B7A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10" w:line="269" w:lineRule="auto"/>
    </w:pPr>
    <w:rPr>
      <w:rFonts w:ascii="Liberation Sans" w:hAnsi="Liberation San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4" w:line="259" w:lineRule="auto"/>
      <w:contextualSpacing/>
    </w:pPr>
    <w:rPr>
      <w:rFonts w:ascii="Liberation Sans" w:hAnsi="Liberation Sans"/>
      <w:sz w:val="19"/>
    </w:rPr>
  </w:style>
  <w:style w:type="paragraph" w:styleId="ListBullet2">
    <w:name w:val="List Bullet 2"/>
    <w:basedOn w:val="Normal"/>
    <w:uiPriority w:val="99"/>
    <w:unhideWhenUsed/>
    <w:rsid w:val="00326F90"/>
    <w:pPr>
      <w:numPr>
        <w:numId w:val="2"/>
      </w:numPr>
      <w:spacing w:after="64" w:line="259" w:lineRule="auto"/>
      <w:contextualSpacing/>
    </w:pPr>
    <w:rPr>
      <w:rFonts w:ascii="Liberation Sans" w:hAnsi="Liberation San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4" w:line="259" w:lineRule="auto"/>
      <w:contextualSpacing/>
    </w:pPr>
    <w:rPr>
      <w:rFonts w:ascii="Liberation Sans" w:hAnsi="Liberation Sans"/>
      <w:sz w:val="19"/>
    </w:rPr>
  </w:style>
  <w:style w:type="paragraph" w:styleId="ListNumber2">
    <w:name w:val="List Number 2"/>
    <w:basedOn w:val="Normal"/>
    <w:uiPriority w:val="99"/>
    <w:unhideWhenUsed/>
    <w:rsid w:val="0029639D"/>
    <w:pPr>
      <w:numPr>
        <w:numId w:val="6"/>
      </w:numPr>
      <w:spacing w:after="64" w:line="259" w:lineRule="auto"/>
      <w:contextualSpacing/>
    </w:pPr>
    <w:rPr>
      <w:rFonts w:ascii="Liberation Sans" w:hAnsi="Liberation Sans"/>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80"/>
    </w:pPr>
    <w:rPr>
      <w:rFonts w:ascii="Liberation Sans" w:hAnsi="Liberation Sans"/>
      <w:i/>
      <w:color w:val="65727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Identity-State Coherence Kernel — Synthesis and Recommended Implementation Plan</dc:title>
  <dc:subject>D11 / C3MATERIALIZE identity, materializer, Rule 26, bridge, fusion, and coherence architecture</dc:subject>
  <dc:creator>OpenAI</dc:creator>
  <cp:keywords>C3MATERIALIZE, D11, identity spine, materializers, Rule 26, coherence, Kuzu, Iceberg, Nessie</cp:keywords>
  <dc:description>Prepared from the supplied source documents and CTO-agent dialogue.</dc:description>
  <cp:lastModifiedBy/>
  <cp:revision>1</cp:revision>
  <dcterms:created xsi:type="dcterms:W3CDTF">2013-12-23T23:15:00Z</dcterms:created>
  <dcterms:modified xsi:type="dcterms:W3CDTF">2013-12-23T23:15:00Z</dcterms:modified>
  <cp:category/>
</cp:coreProperties>
</file>