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pPr>
      <w:r>
        <w:rPr>
          <w:rFonts w:ascii="Aptos Display" w:hAnsi="Aptos Display"/>
          <w:b/>
          <w:color w:val="2C6E72"/>
          <w:sz w:val="24"/>
        </w:rPr>
        <w:t>D11 / C3MATERIALIZE</w:t>
      </w:r>
    </w:p>
    <w:p>
      <w:pPr>
        <w:spacing w:after="120"/>
      </w:pPr>
      <w:r>
        <w:rPr>
          <w:rFonts w:ascii="Aptos Display" w:hAnsi="Aptos Display"/>
          <w:b/>
          <w:color w:val="17324D"/>
          <w:sz w:val="56"/>
        </w:rPr>
        <w:t>IDENTITY–STATE</w:t>
        <w:br/>
        <w:t>COHERENCE KERNEL</w:t>
      </w:r>
    </w:p>
    <w:p>
      <w:pPr>
        <w:pStyle w:val="DocumentSubtitle"/>
      </w:pPr>
      <w:r>
        <w:t>Synthesis and Recommended Path Forward</w:t>
      </w:r>
    </w:p>
    <w:p>
      <w:pPr>
        <w:spacing w:after="480"/>
      </w:pPr>
      <w:r>
        <w:rPr>
          <w:rFonts w:ascii="Aptos" w:hAnsi="Aptos"/>
          <w:color w:val="4B5563"/>
          <w:sz w:val="24"/>
        </w:rPr>
        <w:t>Integrating the entity spine, materializer topology, Rule 26 locality, graph-surface provenance, L3 bridging, and L4 succession.</w:t>
      </w:r>
    </w:p>
    <w:tbl>
      <w:tblPr>
        <w:tblW w:type="auto" w:w="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376"/>
        <w:gridCol w:w="7416"/>
      </w:tblGrid>
      <w:tr>
        <w:tc>
          <w:tcPr>
            <w:tcW w:type="dxa" w:w="4997"/>
            <w:shd w:fill="2C6E72"/>
            <w:tcMar>
              <w:top w:w="25" w:type="dxa"/>
              <w:start w:w="0" w:type="dxa"/>
              <w:bottom w:w="25" w:type="dxa"/>
              <w:end w:w="0" w:type="dxa"/>
            </w:tcMar>
          </w:tcPr>
          <w:p/>
        </w:tc>
        <w:tc>
          <w:tcPr>
            <w:tcW w:type="dxa" w:w="4997"/>
            <w:shd w:fill="EAF1F7"/>
            <w:tcMar>
              <w:top w:w="25" w:type="dxa"/>
              <w:start w:w="0" w:type="dxa"/>
              <w:bottom w:w="25" w:type="dxa"/>
              <w:end w:w="0" w:type="dxa"/>
            </w:tcMar>
          </w:tcPr>
          <w:p/>
        </w:tc>
      </w:tr>
    </w:tbl>
    <w:p>
      <w:pPr>
        <w:spacing w:after="360"/>
      </w:pPr>
    </w:p>
    <w:p>
      <w:pPr>
        <w:spacing w:after="40"/>
      </w:pPr>
      <w:r>
        <w:rPr>
          <w:rFonts w:ascii="Aptos" w:hAnsi="Aptos"/>
          <w:b/>
          <w:color w:val="4B5563"/>
          <w:sz w:val="19"/>
        </w:rPr>
        <w:t xml:space="preserve">Prepared for: </w:t>
      </w:r>
      <w:r>
        <w:rPr>
          <w:rFonts w:ascii="Aptos" w:hAnsi="Aptos"/>
          <w:color w:val="111827"/>
          <w:sz w:val="19"/>
        </w:rPr>
        <w:t>Andrew Berman</w:t>
      </w:r>
    </w:p>
    <w:p>
      <w:pPr>
        <w:spacing w:after="40"/>
      </w:pPr>
      <w:r>
        <w:rPr>
          <w:rFonts w:ascii="Aptos" w:hAnsi="Aptos"/>
          <w:b/>
          <w:color w:val="4B5563"/>
          <w:sz w:val="19"/>
        </w:rPr>
        <w:t xml:space="preserve">Date: </w:t>
      </w:r>
      <w:r>
        <w:rPr>
          <w:rFonts w:ascii="Aptos" w:hAnsi="Aptos"/>
          <w:color w:val="111827"/>
          <w:sz w:val="19"/>
        </w:rPr>
        <w:t>27 August 2026</w:t>
      </w:r>
    </w:p>
    <w:p>
      <w:pPr>
        <w:spacing w:after="40"/>
      </w:pPr>
      <w:r>
        <w:rPr>
          <w:rFonts w:ascii="Aptos" w:hAnsi="Aptos"/>
          <w:b/>
          <w:color w:val="4B5563"/>
          <w:sz w:val="19"/>
        </w:rPr>
        <w:t xml:space="preserve">Status: </w:t>
      </w:r>
      <w:r>
        <w:rPr>
          <w:rFonts w:ascii="Aptos" w:hAnsi="Aptos"/>
          <w:color w:val="111827"/>
          <w:sz w:val="19"/>
        </w:rPr>
        <w:t>Working synthesis for ratification, sequencing, and execution</w:t>
      </w:r>
    </w:p>
    <w:p>
      <w:pPr>
        <w:spacing w:after="40"/>
      </w:pPr>
      <w:r>
        <w:rPr>
          <w:rFonts w:ascii="Aptos" w:hAnsi="Aptos"/>
          <w:b/>
          <w:color w:val="4B5563"/>
          <w:sz w:val="19"/>
        </w:rPr>
        <w:t xml:space="preserve">Directive home: </w:t>
      </w:r>
      <w:r>
        <w:rPr>
          <w:rFonts w:ascii="Aptos" w:hAnsi="Aptos"/>
          <w:color w:val="111827"/>
          <w:sz w:val="19"/>
        </w:rPr>
        <w:t>D11</w:t>
      </w:r>
    </w:p>
    <w:p>
      <w:pPr>
        <w:spacing w:before="760" w:after="0"/>
      </w:pPr>
      <w:r>
        <w:rPr>
          <w:rFonts w:ascii="Aptos Display" w:hAnsi="Aptos Display"/>
          <w:b/>
          <w:color w:val="17324D"/>
          <w:sz w:val="17"/>
        </w:rPr>
        <w:t>SOURCE BASIS</w:t>
      </w:r>
    </w:p>
    <w:p>
      <w:pPr>
        <w:spacing w:after="0"/>
      </w:pPr>
      <w:r>
        <w:rPr>
          <w:rFonts w:ascii="Aptos" w:hAnsi="Aptos"/>
          <w:color w:val="4B5563"/>
          <w:sz w:val="17"/>
        </w:rPr>
        <w:t>C3MATERIALIZE — The Layer Architecture; The Entity Spine — Foundation Brief; C3MATERIALIZE — Repo State, Gaps, and Challenges; and the 27 August 2026 CTO-agent discussion. The governing PRD remains marked DRAFT pending explicit ratification or amendment.</w:t>
      </w:r>
    </w:p>
    <w:p>
      <w:r>
        <w:br w:type="page"/>
      </w:r>
    </w:p>
    <w:p>
      <w:pPr>
        <w:pStyle w:val="Heading1"/>
        <w:keepNext/>
      </w:pPr>
      <w:r>
        <w:t>Contents</w:t>
      </w:r>
    </w:p>
    <w:p>
      <w:pPr>
        <w:spacing w:after="60"/>
        <w:ind w:left="0"/>
      </w:pPr>
      <w:r>
        <w:rPr>
          <w:rFonts w:ascii="Aptos" w:hAnsi="Aptos"/>
          <w:b/>
          <w:color w:val="17324D"/>
          <w:sz w:val="20"/>
        </w:rPr>
        <w:t>Executive Summary</w:t>
      </w:r>
    </w:p>
    <w:p>
      <w:pPr>
        <w:spacing w:after="60"/>
        <w:ind w:left="0"/>
      </w:pPr>
      <w:r>
        <w:rPr>
          <w:rFonts w:ascii="Aptos" w:hAnsi="Aptos"/>
          <w:b w:val="0"/>
          <w:color w:val="17324D"/>
          <w:sz w:val="20"/>
        </w:rPr>
        <w:t>1. Current Architectural Problem</w:t>
      </w:r>
    </w:p>
    <w:p>
      <w:pPr>
        <w:spacing w:after="60"/>
        <w:ind w:left="0"/>
      </w:pPr>
      <w:r>
        <w:rPr>
          <w:rFonts w:ascii="Aptos" w:hAnsi="Aptos"/>
          <w:b w:val="0"/>
          <w:color w:val="17324D"/>
          <w:sz w:val="20"/>
        </w:rPr>
        <w:t>2. Three-Issue Operating Model</w:t>
      </w:r>
    </w:p>
    <w:p>
      <w:pPr>
        <w:spacing w:after="60"/>
        <w:ind w:left="0"/>
      </w:pPr>
      <w:r>
        <w:rPr>
          <w:rFonts w:ascii="Aptos" w:hAnsi="Aptos"/>
          <w:b w:val="0"/>
          <w:color w:val="17324D"/>
          <w:sz w:val="20"/>
        </w:rPr>
        <w:t>3. Core Identity Decision: Serial, Binding, and State</w:t>
      </w:r>
    </w:p>
    <w:p>
      <w:pPr>
        <w:spacing w:after="60"/>
        <w:ind w:left="0"/>
      </w:pPr>
      <w:r>
        <w:rPr>
          <w:rFonts w:ascii="Aptos" w:hAnsi="Aptos"/>
          <w:b w:val="0"/>
          <w:color w:val="17324D"/>
          <w:sz w:val="20"/>
        </w:rPr>
        <w:t>4. Shared Contract Object Model</w:t>
      </w:r>
    </w:p>
    <w:p>
      <w:pPr>
        <w:spacing w:after="60"/>
        <w:ind w:left="0"/>
      </w:pPr>
      <w:r>
        <w:rPr>
          <w:rFonts w:ascii="Aptos" w:hAnsi="Aptos"/>
          <w:b w:val="0"/>
          <w:color w:val="17324D"/>
          <w:sz w:val="20"/>
        </w:rPr>
        <w:t>5. Materializer Topology and Process Identity</w:t>
      </w:r>
    </w:p>
    <w:p>
      <w:pPr>
        <w:spacing w:after="60"/>
        <w:ind w:left="0"/>
      </w:pPr>
      <w:r>
        <w:rPr>
          <w:rFonts w:ascii="Aptos" w:hAnsi="Aptos"/>
          <w:b w:val="0"/>
          <w:color w:val="17324D"/>
          <w:sz w:val="20"/>
        </w:rPr>
        <w:t>6. Rule 26 and Cross-Surface Coherence</w:t>
      </w:r>
    </w:p>
    <w:p>
      <w:pPr>
        <w:spacing w:after="60"/>
        <w:ind w:left="0"/>
      </w:pPr>
      <w:r>
        <w:rPr>
          <w:rFonts w:ascii="Aptos" w:hAnsi="Aptos"/>
          <w:b w:val="0"/>
          <w:color w:val="17324D"/>
          <w:sz w:val="20"/>
        </w:rPr>
        <w:t>7. C0 as the Observation-to-Identity Boundary</w:t>
      </w:r>
    </w:p>
    <w:p>
      <w:pPr>
        <w:spacing w:after="60"/>
        <w:ind w:left="0"/>
      </w:pPr>
      <w:r>
        <w:rPr>
          <w:rFonts w:ascii="Aptos" w:hAnsi="Aptos"/>
          <w:b w:val="0"/>
          <w:color w:val="17324D"/>
          <w:sz w:val="20"/>
        </w:rPr>
        <w:t>8. Bridge Registry, Projection, and the First Fusion Experiment</w:t>
      </w:r>
    </w:p>
    <w:p>
      <w:pPr>
        <w:spacing w:after="60"/>
        <w:ind w:left="0"/>
      </w:pPr>
      <w:r>
        <w:rPr>
          <w:rFonts w:ascii="Aptos" w:hAnsi="Aptos"/>
          <w:b w:val="0"/>
          <w:color w:val="17324D"/>
          <w:sz w:val="20"/>
        </w:rPr>
        <w:t>9. C3 Cover Semantics and L4 Succession</w:t>
      </w:r>
    </w:p>
    <w:p>
      <w:pPr>
        <w:spacing w:after="60"/>
        <w:ind w:left="0"/>
      </w:pPr>
      <w:r>
        <w:rPr>
          <w:rFonts w:ascii="Aptos" w:hAnsi="Aptos"/>
          <w:b w:val="0"/>
          <w:color w:val="17324D"/>
          <w:sz w:val="20"/>
        </w:rPr>
        <w:t>10. Recommended Implementation Sequence</w:t>
      </w:r>
    </w:p>
    <w:p>
      <w:pPr>
        <w:spacing w:after="60"/>
        <w:ind w:left="0"/>
      </w:pPr>
      <w:r>
        <w:rPr>
          <w:rFonts w:ascii="Aptos" w:hAnsi="Aptos"/>
          <w:b w:val="0"/>
          <w:color w:val="17324D"/>
          <w:sz w:val="20"/>
        </w:rPr>
        <w:t>11. Falsification Battery and Acceptance Gates</w:t>
      </w:r>
    </w:p>
    <w:p>
      <w:pPr>
        <w:spacing w:after="60"/>
        <w:ind w:left="0"/>
      </w:pPr>
      <w:r>
        <w:rPr>
          <w:rFonts w:ascii="Aptos" w:hAnsi="Aptos"/>
          <w:b w:val="0"/>
          <w:color w:val="17324D"/>
          <w:sz w:val="20"/>
        </w:rPr>
        <w:t>12. Recommended Ruling</w:t>
      </w:r>
    </w:p>
    <w:p>
      <w:pPr>
        <w:spacing w:after="60"/>
        <w:ind w:left="259"/>
      </w:pPr>
      <w:r>
        <w:rPr>
          <w:rFonts w:ascii="Aptos" w:hAnsi="Aptos"/>
          <w:b/>
          <w:color w:val="2C6E72"/>
          <w:sz w:val="20"/>
        </w:rPr>
        <w:t>Appendix A. Proposed Field Inventories</w:t>
      </w:r>
    </w:p>
    <w:p>
      <w:pPr>
        <w:spacing w:after="60"/>
        <w:ind w:left="259"/>
      </w:pPr>
      <w:r>
        <w:rPr>
          <w:rFonts w:ascii="Aptos" w:hAnsi="Aptos"/>
          <w:b/>
          <w:color w:val="2C6E72"/>
          <w:sz w:val="20"/>
        </w:rPr>
        <w:t>Appendix B. Decisions Resolved and Still Open</w:t>
      </w:r>
    </w:p>
    <w:p>
      <w:pPr>
        <w:spacing w:after="60"/>
        <w:ind w:left="259"/>
      </w:pPr>
      <w:r>
        <w:rPr>
          <w:rFonts w:ascii="Aptos" w:hAnsi="Aptos"/>
          <w:b/>
          <w:color w:val="2C6E72"/>
          <w:sz w:val="20"/>
        </w:rPr>
        <w:t>Appendix C. Source Basis and Attribution</w:t>
      </w:r>
    </w:p>
    <w:tbl>
      <w:tblPr>
        <w:tblW w:type="auto" w:w="0"/>
        <w:jc w:val="center"/>
        <w:tblLayout w:type="fixed"/>
        <w:tblLook w:firstColumn="1" w:firstRow="1" w:lastColumn="0" w:lastRow="0" w:noHBand="0" w:noVBand="1" w:val="04A0"/>
        <w:tblBorders>
          <w:top w:val="single" w:sz="8" w:space="0" w:color="2F5D8C"/>
          <w:left w:val="single" w:sz="8" w:space="0" w:color="2F5D8C"/>
          <w:bottom w:val="single" w:sz="8" w:space="0" w:color="2F5D8C"/>
          <w:right w:val="single" w:sz="8" w:space="0" w:color="2F5D8C"/>
          <w:insideH w:val="single" w:sz="8" w:space="0" w:color="2F5D8C"/>
          <w:insideV w:val="single" w:sz="8" w:space="0" w:color="2F5D8C"/>
        </w:tblBorders>
      </w:tblPr>
      <w:tblGrid>
        <w:gridCol w:w="9864"/>
      </w:tblGrid>
      <w:tr>
        <w:tc>
          <w:tcPr>
            <w:tcW w:type="dxa" w:w="9994"/>
            <w:shd w:fill="EAF1F7"/>
            <w:tcMar>
              <w:top w:w="150" w:type="dxa"/>
              <w:start w:w="180" w:type="dxa"/>
              <w:bottom w:w="150" w:type="dxa"/>
              <w:end w:w="180" w:type="dxa"/>
            </w:tcMar>
          </w:tcPr>
          <w:p>
            <w:pPr>
              <w:spacing w:after="80"/>
            </w:pPr>
            <w:r>
              <w:rPr>
                <w:rFonts w:ascii="Aptos Display" w:hAnsi="Aptos Display"/>
                <w:b/>
                <w:color w:val="17324D"/>
                <w:sz w:val="19"/>
              </w:rPr>
              <w:t>DOCUMENT PURPOSE</w:t>
            </w:r>
          </w:p>
          <w:p>
            <w:pPr>
              <w:spacing w:after="0" w:line="259" w:lineRule="auto"/>
            </w:pPr>
            <w:r>
              <w:rPr>
                <w:rFonts w:ascii="Aptos" w:hAnsi="Aptos"/>
                <w:color w:val="111827"/>
                <w:sz w:val="20"/>
              </w:rPr>
              <w:t>This report consolidates the architectural analysis and CTO-agent discussion into one execution-ready position. It does not replace the source artifacts; it converts them into a coherent doctrine, contract boundary, sequencing model, and falsification program.</w:t>
            </w:r>
          </w:p>
        </w:tc>
      </w:tr>
    </w:tbl>
    <w:p>
      <w:pPr>
        <w:spacing w:after="0"/>
      </w:pPr>
    </w:p>
    <w:p>
      <w:r>
        <w:br w:type="page"/>
      </w:r>
    </w:p>
    <w:p>
      <w:pPr>
        <w:pStyle w:val="Heading1"/>
        <w:keepNext/>
      </w:pPr>
      <w:r>
        <w:t>Executive Summary</w:t>
      </w:r>
    </w:p>
    <w:p>
      <w:pPr>
        <w:spacing w:after="100" w:line="259" w:lineRule="auto"/>
        <w:ind w:left="0"/>
      </w:pPr>
      <w:r>
        <w:rPr>
          <w:rFonts w:ascii="Aptos" w:hAnsi="Aptos"/>
          <w:color w:val="111827"/>
          <w:sz w:val="21"/>
        </w:rPr>
        <w:t>The source documents and CTO-agent exchange converge on the same underlying conclusion: the missing foundation is not merely a bridge table, a new hash, or an SNF implementation. The system lacks one shared, executable contract that binds enduring identity, source-native references, observed state, materializer provenance, authoritative graph versions, device-local projections, and temporal succession.</w:t>
      </w:r>
    </w:p>
    <w:p>
      <w:pPr>
        <w:spacing w:after="100" w:line="259" w:lineRule="auto"/>
        <w:ind w:left="0"/>
      </w:pPr>
      <w:r>
        <w:rPr>
          <w:rFonts w:ascii="Aptos" w:hAnsi="Aptos"/>
          <w:color w:val="111827"/>
          <w:sz w:val="21"/>
        </w:rPr>
        <w:t>That shared contract should be established as Issue 3: the Identity-State Coherence Kernel. Issue 3 is not a third parallel project. It is the integration kernel through which Issue 1 (entity identity and grain) and Issue 2 (materializer identity and topology) become mechanically coherent.</w:t>
      </w:r>
    </w:p>
    <w:tbl>
      <w:tblPr>
        <w:tblW w:type="auto" w:w="0"/>
        <w:jc w:val="center"/>
        <w:tblLayout w:type="fixed"/>
        <w:tblLook w:firstColumn="1" w:firstRow="1" w:lastColumn="0" w:lastRow="0" w:noHBand="0" w:noVBand="1" w:val="04A0"/>
        <w:tblBorders>
          <w:top w:val="single" w:sz="8" w:space="0" w:color="2C6E72"/>
          <w:left w:val="single" w:sz="8" w:space="0" w:color="2C6E72"/>
          <w:bottom w:val="single" w:sz="8" w:space="0" w:color="2C6E72"/>
          <w:right w:val="single" w:sz="8" w:space="0" w:color="2C6E72"/>
          <w:insideH w:val="single" w:sz="8" w:space="0" w:color="2C6E72"/>
          <w:insideV w:val="single" w:sz="8" w:space="0" w:color="2C6E72"/>
        </w:tblBorders>
      </w:tblPr>
      <w:tblGrid>
        <w:gridCol w:w="9864"/>
      </w:tblGrid>
      <w:tr>
        <w:tc>
          <w:tcPr>
            <w:tcW w:type="dxa" w:w="9994"/>
            <w:shd w:fill="E8F3F2"/>
            <w:tcMar>
              <w:top w:w="150" w:type="dxa"/>
              <w:start w:w="180" w:type="dxa"/>
              <w:bottom w:w="150" w:type="dxa"/>
              <w:end w:w="180" w:type="dxa"/>
            </w:tcMar>
          </w:tcPr>
          <w:p>
            <w:pPr>
              <w:spacing w:after="80"/>
            </w:pPr>
            <w:r>
              <w:rPr>
                <w:rFonts w:ascii="Aptos Display" w:hAnsi="Aptos Display"/>
                <w:b/>
                <w:color w:val="2C6E72"/>
                <w:sz w:val="19"/>
              </w:rPr>
              <w:t>CORE DESIGN DECISION</w:t>
            </w:r>
          </w:p>
          <w:p>
            <w:pPr>
              <w:spacing w:after="0" w:line="259" w:lineRule="auto"/>
            </w:pPr>
            <w:r>
              <w:rPr>
                <w:rFonts w:ascii="Aptos" w:hAnsi="Aptos"/>
                <w:color w:val="111827"/>
                <w:sz w:val="20"/>
              </w:rPr>
              <w:t>Adopt opaque, minted serials for enduring mutable entities and processes. Keep source-native keys as temporal bindings. Use hashes as state, matching, integrity, version, and receipt evidence—not as the enduring identity of anything expected to survive rename, relocation, replacement, or projection rebuild.</w:t>
            </w:r>
          </w:p>
        </w:tc>
      </w:tr>
    </w:tbl>
    <w:p>
      <w:pPr>
        <w:spacing w:after="0"/>
      </w:pPr>
    </w:p>
    <w:p>
      <w:pPr>
        <w:spacing w:after="100" w:line="259" w:lineRule="auto"/>
        <w:ind w:left="0"/>
      </w:pPr>
      <w:r>
        <w:rPr>
          <w:rFonts w:ascii="Aptos" w:hAnsi="Aptos"/>
          <w:color w:val="111827"/>
          <w:sz w:val="21"/>
        </w:rPr>
        <w:t>The operating split should be explicit:</w:t>
      </w:r>
    </w:p>
    <w:p>
      <w:pPr>
        <w:pStyle w:val="ListBullet"/>
        <w:spacing w:after="40" w:line="247" w:lineRule="auto"/>
      </w:pPr>
      <w:r>
        <w:rPr>
          <w:rFonts w:ascii="Aptos" w:hAnsi="Aptos"/>
          <w:color w:val="111827"/>
          <w:sz w:val="21"/>
        </w:rPr>
        <w:t>Issue 3A — Identity-State Contract: defines entity serials, bindings, state observations, identity relations, materializer identities, implementation versions, source frontiers, surface versions, and run receipts. This must land before the L3 bridge cells are populated against string-derived keys.</w:t>
      </w:r>
    </w:p>
    <w:p>
      <w:pPr>
        <w:pStyle w:val="ListBullet"/>
        <w:spacing w:after="40" w:line="247" w:lineRule="auto"/>
      </w:pPr>
      <w:r>
        <w:rPr>
          <w:rFonts w:ascii="Aptos" w:hAnsi="Aptos"/>
          <w:color w:val="111827"/>
          <w:sz w:val="21"/>
        </w:rPr>
        <w:t>Issue 3B — Coherence Mechanics: compares source frontiers, authoritative Iceberg/Nessie versions, Kuzu projection pins, materializer versions, target policies, and fabric locality. It produces explicit coherence evaluations rather than one ambiguous stale/current flag.</w:t>
      </w:r>
    </w:p>
    <w:p>
      <w:pPr>
        <w:spacing w:after="100" w:line="259" w:lineRule="auto"/>
        <w:ind w:left="0"/>
      </w:pPr>
      <w:r>
        <w:rPr>
          <w:rFonts w:ascii="Aptos" w:hAnsi="Aptos"/>
          <w:color w:val="111827"/>
          <w:sz w:val="21"/>
        </w:rPr>
        <w:t>The proposed identity discipline is universal but not ontologically flattening. A symbol, file, ARN resource, chain motif, materializer, graph surface, and discovered system can all receive durable serials while retaining their own declared plane and grain. Cross-plane comparison remains admissible only through explicit typed relations; a universal serial provides addressability, not equivalence.</w:t>
      </w:r>
    </w:p>
    <w:p>
      <w:pPr>
        <w:spacing w:after="100" w:line="259" w:lineRule="auto"/>
        <w:ind w:left="0"/>
      </w:pPr>
      <w:r>
        <w:rPr>
          <w:rFonts w:ascii="Aptos" w:hAnsi="Aptos"/>
          <w:color w:val="111827"/>
          <w:sz w:val="21"/>
        </w:rPr>
        <w:t>The immediate execution path is therefore: preserve the current evidence estate; ratify or amend the draft PRD; land Issue 3A; migrate the L0 manifest and materializer relations into that contract; repair resolver failure semantics; register Nessie authority surfaces; build one evidence-backed symbol-to-file bridge; and then run the first decisive structure-plus-behavior fusion experiment at file grain. Issue 3B and L4 succession follow only after those surfaces are reproducible and traceable.</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Spine establishes who or what persists.</w:t>
            </w:r>
            <w:r>
              <w:br/>
            </w:r>
            <w:r>
              <w:rPr>
                <w:rFonts w:ascii="Consolas" w:hAnsi="Consolas"/>
                <w:color w:val="111827"/>
                <w:sz w:val="18"/>
              </w:rPr>
              <w:t>Materializer topology establishes which process transformed which source frontier.</w:t>
            </w:r>
            <w:r>
              <w:br/>
            </w:r>
            <w:r>
              <w:rPr>
                <w:rFonts w:ascii="Consolas" w:hAnsi="Consolas"/>
                <w:color w:val="111827"/>
                <w:sz w:val="18"/>
              </w:rPr>
              <w:t>The coherence kernel proves that every published and projected graph surface is traceable</w:t>
            </w:r>
            <w:r>
              <w:br/>
            </w:r>
            <w:r>
              <w:rPr>
                <w:rFonts w:ascii="Consolas" w:hAnsi="Consolas"/>
                <w:color w:val="111827"/>
                <w:sz w:val="18"/>
              </w:rPr>
              <w:t>across identities, states, processes, authorities, versions, and fabrics.</w:t>
            </w:r>
          </w:p>
        </w:tc>
      </w:tr>
    </w:tbl>
    <w:p>
      <w:pPr>
        <w:spacing w:after="0"/>
      </w:pPr>
    </w:p>
    <w:p>
      <w:pPr>
        <w:pStyle w:val="Heading1"/>
        <w:keepNext/>
      </w:pPr>
      <w:r>
        <w:t>1. Current Architectural Problem</w:t>
      </w:r>
    </w:p>
    <w:p>
      <w:pPr>
        <w:pStyle w:val="Heading2"/>
        <w:keepNext/>
      </w:pPr>
      <w:r>
        <w:t>1.1 What the source estate establishes</w:t>
      </w:r>
    </w:p>
    <w:p>
      <w:pPr>
        <w:spacing w:after="100" w:line="259" w:lineRule="auto"/>
        <w:ind w:left="0"/>
      </w:pPr>
      <w:r>
        <w:rPr>
          <w:rFonts w:ascii="Aptos" w:hAnsi="Aptos"/>
          <w:color w:val="111827"/>
          <w:sz w:val="21"/>
        </w:rPr>
        <w:t>The layer architecture defines an L0→L4 stack whose promises are strictly dependent: L0 inventories the substrate; L1 resolves references and grain; L2 computes independent views; L3 fuses views; and L4 carries system identity through time. The PRD and companion documents remain explicit that L1 measured no universal entity grain, three of four cross-plane roll-ups are undeclared, and the central fusion thesis has not yet been tested because the views do not share a valid entity population.</w:t>
      </w:r>
    </w:p>
    <w:p>
      <w:pPr>
        <w:spacing w:after="100" w:line="259" w:lineRule="auto"/>
        <w:ind w:left="0"/>
      </w:pPr>
      <w:r>
        <w:rPr>
          <w:rFonts w:ascii="Aptos" w:hAnsi="Aptos"/>
          <w:color w:val="111827"/>
          <w:sz w:val="21"/>
        </w:rPr>
        <w:t>The repo-state audit adds the implementation reality: the current C2/C3 outputs are untracked and device-local; the strongest structure-view producer is not reproducible from the visible repository; L3 has no implementation; L4 has no persisted identity system; materializer digests are null across the manifest; C0 is undefined; and the Nessie catalog that adjudicates the live warehouse version sits outside the L0 inventory.</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1800"/>
        <w:gridCol w:w="3528"/>
        <w:gridCol w:w="4536"/>
      </w:tblGrid>
      <w:tr>
        <w:trPr>
          <w:tblHeader w:val="true"/>
          <w:cantSplit/>
        </w:trPr>
        <w:tc>
          <w:tcPr>
            <w:tcW w:type="dxa" w:w="3331"/>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Layer / issue</w:t>
            </w:r>
          </w:p>
        </w:tc>
        <w:tc>
          <w:tcPr>
            <w:tcW w:type="dxa" w:w="3331"/>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What exists</w:t>
            </w:r>
          </w:p>
        </w:tc>
        <w:tc>
          <w:tcPr>
            <w:tcW w:type="dxa" w:w="3331"/>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What is missing or unsafe</w:t>
            </w:r>
          </w:p>
        </w:tc>
      </w:tr>
      <w:tr>
        <w:trPr>
          <w:cantSplit/>
        </w:trPr>
        <w:tc>
          <w:tcPr>
            <w:tcW w:type="dxa" w:w="1800"/>
            <w:vAlign w:val="center"/>
            <w:tcMar>
              <w:top w:w="90" w:type="dxa"/>
              <w:start w:w="110" w:type="dxa"/>
              <w:bottom w:w="90" w:type="dxa"/>
              <w:end w:w="110" w:type="dxa"/>
            </w:tcMar>
          </w:tcPr>
          <w:p>
            <w:pPr>
              <w:spacing w:after="0" w:before="0"/>
            </w:pPr>
            <w:r/>
            <w:r>
              <w:rPr>
                <w:rFonts w:ascii="Aptos" w:hAnsi="Aptos"/>
                <w:b/>
                <w:color w:val="111827"/>
                <w:sz w:val="17"/>
              </w:rPr>
              <w:t>L0 substrate</w:t>
            </w:r>
          </w:p>
        </w:tc>
        <w:tc>
          <w:tcPr>
            <w:tcW w:type="dxa" w:w="3528"/>
            <w:vAlign w:val="center"/>
            <w:tcMar>
              <w:top w:w="90" w:type="dxa"/>
              <w:start w:w="110" w:type="dxa"/>
              <w:bottom w:w="90" w:type="dxa"/>
              <w:end w:w="110" w:type="dxa"/>
            </w:tcMar>
          </w:tcPr>
          <w:p>
            <w:pPr>
              <w:spacing w:after="0" w:before="0"/>
            </w:pPr>
            <w:r/>
            <w:r>
              <w:rPr>
                <w:rFonts w:ascii="Aptos" w:hAnsi="Aptos"/>
                <w:b w:val="0"/>
                <w:color w:val="111827"/>
                <w:sz w:val="17"/>
              </w:rPr>
              <w:t>42-part manifest, schemas, cards, tools</w:t>
            </w:r>
          </w:p>
        </w:tc>
        <w:tc>
          <w:tcPr>
            <w:tcW w:type="dxa" w:w="4536"/>
            <w:vAlign w:val="center"/>
            <w:tcMar>
              <w:top w:w="90" w:type="dxa"/>
              <w:start w:w="110" w:type="dxa"/>
              <w:bottom w:w="90" w:type="dxa"/>
              <w:end w:w="110" w:type="dxa"/>
            </w:tcMar>
          </w:tcPr>
          <w:p>
            <w:pPr>
              <w:spacing w:after="0" w:before="0"/>
            </w:pPr>
            <w:r/>
            <w:r>
              <w:rPr>
                <w:rFonts w:ascii="Aptos" w:hAnsi="Aptos"/>
                <w:b w:val="0"/>
                <w:color w:val="111827"/>
                <w:sz w:val="17"/>
              </w:rPr>
              <w:t>Sparse grains/keys/failure modes; null materializer digests; Nessie authority omitted</w:t>
            </w:r>
          </w:p>
        </w:tc>
      </w:tr>
      <w:tr>
        <w:trPr>
          <w:cantSplit/>
        </w:trPr>
        <w:tc>
          <w:tcPr>
            <w:tcW w:type="dxa" w:w="1800"/>
            <w:vAlign w:val="center"/>
            <w:tcMar>
              <w:top w:w="90" w:type="dxa"/>
              <w:start w:w="110" w:type="dxa"/>
              <w:bottom w:w="90" w:type="dxa"/>
              <w:end w:w="110" w:type="dxa"/>
            </w:tcMar>
            <w:shd w:fill="F8FAFC"/>
          </w:tcPr>
          <w:p>
            <w:pPr>
              <w:spacing w:after="0" w:before="0"/>
            </w:pPr>
            <w:r/>
            <w:r>
              <w:rPr>
                <w:rFonts w:ascii="Aptos" w:hAnsi="Aptos"/>
                <w:b/>
                <w:color w:val="111827"/>
                <w:sz w:val="17"/>
              </w:rPr>
              <w:t>L1 spine</w:t>
            </w:r>
          </w:p>
        </w:tc>
        <w:tc>
          <w:tcPr>
            <w:tcW w:type="dxa" w:w="3528"/>
            <w:vAlign w:val="center"/>
            <w:tcMar>
              <w:top w:w="90" w:type="dxa"/>
              <w:start w:w="110" w:type="dxa"/>
              <w:bottom w:w="90" w:type="dxa"/>
              <w:end w:w="110" w:type="dxa"/>
            </w:tcMar>
            <w:shd w:fill="F8FAFC"/>
          </w:tcPr>
          <w:p>
            <w:pPr>
              <w:spacing w:after="0" w:before="0"/>
            </w:pPr>
            <w:r/>
            <w:r>
              <w:rPr>
                <w:rFonts w:ascii="Aptos" w:hAnsi="Aptos"/>
                <w:b w:val="0"/>
                <w:color w:val="111827"/>
                <w:sz w:val="17"/>
              </w:rPr>
              <w:t>Four declared (PLANE, ENTITY) grains; resolver prior art</w:t>
            </w:r>
          </w:p>
        </w:tc>
        <w:tc>
          <w:tcPr>
            <w:tcW w:type="dxa" w:w="4536"/>
            <w:vAlign w:val="center"/>
            <w:tcMar>
              <w:top w:w="90" w:type="dxa"/>
              <w:start w:w="110" w:type="dxa"/>
              <w:bottom w:w="90" w:type="dxa"/>
              <w:end w:w="110" w:type="dxa"/>
            </w:tcMar>
            <w:shd w:fill="F8FAFC"/>
          </w:tcPr>
          <w:p>
            <w:pPr>
              <w:spacing w:after="0" w:before="0"/>
            </w:pPr>
            <w:r/>
            <w:r>
              <w:rPr>
                <w:rFonts w:ascii="Aptos" w:hAnsi="Aptos"/>
                <w:b w:val="0"/>
                <w:color w:val="111827"/>
                <w:sz w:val="17"/>
              </w:rPr>
              <w:t>Evidence-backed bridges; trustworthy substrate; absent-vs-unaddressed distinction</w:t>
            </w:r>
          </w:p>
        </w:tc>
      </w:tr>
      <w:tr>
        <w:trPr>
          <w:cantSplit/>
        </w:trPr>
        <w:tc>
          <w:tcPr>
            <w:tcW w:type="dxa" w:w="1800"/>
            <w:vAlign w:val="center"/>
            <w:tcMar>
              <w:top w:w="90" w:type="dxa"/>
              <w:start w:w="110" w:type="dxa"/>
              <w:bottom w:w="90" w:type="dxa"/>
              <w:end w:w="110" w:type="dxa"/>
            </w:tcMar>
          </w:tcPr>
          <w:p>
            <w:pPr>
              <w:spacing w:after="0" w:before="0"/>
            </w:pPr>
            <w:r/>
            <w:r>
              <w:rPr>
                <w:rFonts w:ascii="Aptos" w:hAnsi="Aptos"/>
                <w:b/>
                <w:color w:val="111827"/>
                <w:sz w:val="17"/>
              </w:rPr>
              <w:t>L2 views</w:t>
            </w:r>
          </w:p>
        </w:tc>
        <w:tc>
          <w:tcPr>
            <w:tcW w:type="dxa" w:w="3528"/>
            <w:vAlign w:val="center"/>
            <w:tcMar>
              <w:top w:w="90" w:type="dxa"/>
              <w:start w:w="110" w:type="dxa"/>
              <w:bottom w:w="90" w:type="dxa"/>
              <w:end w:w="110" w:type="dxa"/>
            </w:tcMar>
          </w:tcPr>
          <w:p>
            <w:pPr>
              <w:spacing w:after="0" w:before="0"/>
            </w:pPr>
            <w:r/>
            <w:r>
              <w:rPr>
                <w:rFonts w:ascii="Aptos" w:hAnsi="Aptos"/>
                <w:b w:val="0"/>
                <w:color w:val="111827"/>
                <w:sz w:val="17"/>
              </w:rPr>
              <w:t>Structure and behavior computable in principle; flow/semantic partial</w:t>
            </w:r>
          </w:p>
        </w:tc>
        <w:tc>
          <w:tcPr>
            <w:tcW w:type="dxa" w:w="4536"/>
            <w:vAlign w:val="center"/>
            <w:tcMar>
              <w:top w:w="90" w:type="dxa"/>
              <w:start w:w="110" w:type="dxa"/>
              <w:bottom w:w="90" w:type="dxa"/>
              <w:end w:w="110" w:type="dxa"/>
            </w:tcMar>
          </w:tcPr>
          <w:p>
            <w:pPr>
              <w:spacing w:after="0" w:before="0"/>
            </w:pPr>
            <w:r/>
            <w:r>
              <w:rPr>
                <w:rFonts w:ascii="Aptos" w:hAnsi="Aptos"/>
                <w:b w:val="0"/>
                <w:color w:val="111827"/>
                <w:sz w:val="17"/>
              </w:rPr>
              <w:t>Reproducible structure producer; shared carrier population; discrimination proof</w:t>
            </w:r>
          </w:p>
        </w:tc>
      </w:tr>
      <w:tr>
        <w:trPr>
          <w:cantSplit/>
        </w:trPr>
        <w:tc>
          <w:tcPr>
            <w:tcW w:type="dxa" w:w="1800"/>
            <w:vAlign w:val="center"/>
            <w:tcMar>
              <w:top w:w="90" w:type="dxa"/>
              <w:start w:w="110" w:type="dxa"/>
              <w:bottom w:w="90" w:type="dxa"/>
              <w:end w:w="110" w:type="dxa"/>
            </w:tcMar>
            <w:shd w:fill="F8FAFC"/>
          </w:tcPr>
          <w:p>
            <w:pPr>
              <w:spacing w:after="0" w:before="0"/>
            </w:pPr>
            <w:r/>
            <w:r>
              <w:rPr>
                <w:rFonts w:ascii="Aptos" w:hAnsi="Aptos"/>
                <w:b/>
                <w:color w:val="111827"/>
                <w:sz w:val="17"/>
              </w:rPr>
              <w:t>L3 fusion</w:t>
            </w:r>
          </w:p>
        </w:tc>
        <w:tc>
          <w:tcPr>
            <w:tcW w:type="dxa" w:w="3528"/>
            <w:vAlign w:val="center"/>
            <w:tcMar>
              <w:top w:w="90" w:type="dxa"/>
              <w:start w:w="110" w:type="dxa"/>
              <w:bottom w:w="90" w:type="dxa"/>
              <w:end w:w="110" w:type="dxa"/>
            </w:tcMar>
            <w:shd w:fill="F8FAFC"/>
          </w:tcPr>
          <w:p>
            <w:pPr>
              <w:spacing w:after="0" w:before="0"/>
            </w:pPr>
            <w:r/>
            <w:r>
              <w:rPr>
                <w:rFonts w:ascii="Aptos" w:hAnsi="Aptos"/>
                <w:b w:val="0"/>
                <w:color w:val="111827"/>
                <w:sz w:val="17"/>
              </w:rPr>
              <w:t>Wave-1 decomposition exists</w:t>
            </w:r>
          </w:p>
        </w:tc>
        <w:tc>
          <w:tcPr>
            <w:tcW w:type="dxa" w:w="4536"/>
            <w:vAlign w:val="center"/>
            <w:tcMar>
              <w:top w:w="90" w:type="dxa"/>
              <w:start w:w="110" w:type="dxa"/>
              <w:bottom w:w="90" w:type="dxa"/>
              <w:end w:w="110" w:type="dxa"/>
            </w:tcMar>
            <w:shd w:fill="F8FAFC"/>
          </w:tcPr>
          <w:p>
            <w:pPr>
              <w:spacing w:after="0" w:before="0"/>
            </w:pPr>
            <w:r/>
            <w:r>
              <w:rPr>
                <w:rFonts w:ascii="Aptos" w:hAnsi="Aptos"/>
                <w:b w:val="0"/>
                <w:color w:val="111827"/>
                <w:sz w:val="17"/>
              </w:rPr>
              <w:t>Admitted bridge registry; projection compiler; fusion implementation and comparison</w:t>
            </w:r>
          </w:p>
        </w:tc>
      </w:tr>
      <w:tr>
        <w:trPr>
          <w:cantSplit/>
        </w:trPr>
        <w:tc>
          <w:tcPr>
            <w:tcW w:type="dxa" w:w="1800"/>
            <w:vAlign w:val="center"/>
            <w:tcMar>
              <w:top w:w="90" w:type="dxa"/>
              <w:start w:w="110" w:type="dxa"/>
              <w:bottom w:w="90" w:type="dxa"/>
              <w:end w:w="110" w:type="dxa"/>
            </w:tcMar>
          </w:tcPr>
          <w:p>
            <w:pPr>
              <w:spacing w:after="0" w:before="0"/>
            </w:pPr>
            <w:r/>
            <w:r>
              <w:rPr>
                <w:rFonts w:ascii="Aptos" w:hAnsi="Aptos"/>
                <w:b/>
                <w:color w:val="111827"/>
                <w:sz w:val="17"/>
              </w:rPr>
              <w:t>L4 identity</w:t>
            </w:r>
          </w:p>
        </w:tc>
        <w:tc>
          <w:tcPr>
            <w:tcW w:type="dxa" w:w="3528"/>
            <w:vAlign w:val="center"/>
            <w:tcMar>
              <w:top w:w="90" w:type="dxa"/>
              <w:start w:w="110" w:type="dxa"/>
              <w:bottom w:w="90" w:type="dxa"/>
              <w:end w:w="110" w:type="dxa"/>
            </w:tcMar>
          </w:tcPr>
          <w:p>
            <w:pPr>
              <w:spacing w:after="0" w:before="0"/>
            </w:pPr>
            <w:r/>
            <w:r>
              <w:rPr>
                <w:rFonts w:ascii="Aptos" w:hAnsi="Aptos"/>
                <w:b w:val="0"/>
                <w:color w:val="111827"/>
                <w:sz w:val="17"/>
              </w:rPr>
              <w:t>Design language only</w:t>
            </w:r>
          </w:p>
        </w:tc>
        <w:tc>
          <w:tcPr>
            <w:tcW w:type="dxa" w:w="4536"/>
            <w:vAlign w:val="center"/>
            <w:tcMar>
              <w:top w:w="90" w:type="dxa"/>
              <w:start w:w="110" w:type="dxa"/>
              <w:bottom w:w="90" w:type="dxa"/>
              <w:end w:w="110" w:type="dxa"/>
            </w:tcMar>
          </w:tcPr>
          <w:p>
            <w:pPr>
              <w:spacing w:after="0" w:before="0"/>
            </w:pPr>
            <w:r/>
            <w:r>
              <w:rPr>
                <w:rFonts w:ascii="Aptos" w:hAnsi="Aptos"/>
                <w:b w:val="0"/>
                <w:color w:val="111827"/>
                <w:sz w:val="17"/>
              </w:rPr>
              <w:t>Identity ledger, version matching, succession graph, rename survival</w:t>
            </w:r>
          </w:p>
        </w:tc>
      </w:tr>
      <w:tr>
        <w:trPr>
          <w:cantSplit/>
        </w:trPr>
        <w:tc>
          <w:tcPr>
            <w:tcW w:type="dxa" w:w="1800"/>
            <w:vAlign w:val="center"/>
            <w:tcMar>
              <w:top w:w="90" w:type="dxa"/>
              <w:start w:w="110" w:type="dxa"/>
              <w:bottom w:w="90" w:type="dxa"/>
              <w:end w:w="110" w:type="dxa"/>
            </w:tcMar>
            <w:shd w:fill="F8FAFC"/>
          </w:tcPr>
          <w:p>
            <w:pPr>
              <w:spacing w:after="0" w:before="0"/>
            </w:pPr>
            <w:r/>
            <w:r>
              <w:rPr>
                <w:rFonts w:ascii="Aptos" w:hAnsi="Aptos"/>
                <w:b/>
                <w:color w:val="111827"/>
                <w:sz w:val="17"/>
              </w:rPr>
              <w:t>Issue 2 materializers</w:t>
            </w:r>
          </w:p>
        </w:tc>
        <w:tc>
          <w:tcPr>
            <w:tcW w:type="dxa" w:w="3528"/>
            <w:vAlign w:val="center"/>
            <w:tcMar>
              <w:top w:w="90" w:type="dxa"/>
              <w:start w:w="110" w:type="dxa"/>
              <w:bottom w:w="90" w:type="dxa"/>
              <w:end w:w="110" w:type="dxa"/>
            </w:tcMar>
            <w:shd w:fill="F8FAFC"/>
          </w:tcPr>
          <w:p>
            <w:pPr>
              <w:spacing w:after="0" w:before="0"/>
            </w:pPr>
            <w:r/>
            <w:r>
              <w:rPr>
                <w:rFonts w:ascii="Aptos" w:hAnsi="Aptos"/>
                <w:b w:val="0"/>
                <w:color w:val="111827"/>
                <w:sz w:val="17"/>
              </w:rPr>
              <w:t>Manifest contains materializer-bearing parts</w:t>
            </w:r>
          </w:p>
        </w:tc>
        <w:tc>
          <w:tcPr>
            <w:tcW w:type="dxa" w:w="4536"/>
            <w:vAlign w:val="center"/>
            <w:tcMar>
              <w:top w:w="90" w:type="dxa"/>
              <w:start w:w="110" w:type="dxa"/>
              <w:bottom w:w="90" w:type="dxa"/>
              <w:end w:w="110" w:type="dxa"/>
            </w:tcMar>
            <w:shd w:fill="F8FAFC"/>
          </w:tcPr>
          <w:p>
            <w:pPr>
              <w:spacing w:after="0" w:before="0"/>
            </w:pPr>
            <w:r/>
            <w:r>
              <w:rPr>
                <w:rFonts w:ascii="Aptos" w:hAnsi="Aptos"/>
                <w:b w:val="0"/>
                <w:color w:val="111827"/>
                <w:sz w:val="17"/>
              </w:rPr>
              <w:t>Many-to-many topology, canonical semantic identities, versions, opinions, run provenance</w:t>
            </w:r>
          </w:p>
        </w:tc>
      </w:tr>
    </w:tbl>
    <w:p>
      <w:pPr>
        <w:spacing w:after="0"/>
      </w:pPr>
    </w:p>
    <w:p>
      <w:pPr>
        <w:pStyle w:val="Heading2"/>
        <w:keepNext/>
      </w:pPr>
      <w:r>
        <w:t>1.2 Why “the bridge” is not one operation</w:t>
      </w:r>
    </w:p>
    <w:p>
      <w:pPr>
        <w:spacing w:after="100" w:line="259" w:lineRule="auto"/>
        <w:ind w:left="0"/>
      </w:pPr>
      <w:r>
        <w:rPr>
          <w:rFonts w:ascii="Aptos" w:hAnsi="Aptos"/>
          <w:color w:val="111827"/>
          <w:sz w:val="21"/>
        </w:rPr>
        <w:t>The documents initially frame the blocking gap as missing bridges. That is correct but incomplete because three different transitions have been grouped under one word:</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2232"/>
        <w:gridCol w:w="4680"/>
        <w:gridCol w:w="2952"/>
      </w:tblGrid>
      <w:tr>
        <w:trPr>
          <w:tblHeader w:val="true"/>
          <w:cantSplit/>
        </w:trPr>
        <w:tc>
          <w:tcPr>
            <w:tcW w:type="dxa" w:w="3331"/>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Transition</w:t>
            </w:r>
          </w:p>
        </w:tc>
        <w:tc>
          <w:tcPr>
            <w:tcW w:type="dxa" w:w="3331"/>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Question</w:t>
            </w:r>
          </w:p>
        </w:tc>
        <w:tc>
          <w:tcPr>
            <w:tcW w:type="dxa" w:w="3331"/>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Required artifact</w:t>
            </w:r>
          </w:p>
        </w:tc>
      </w:tr>
      <w:tr>
        <w:trPr>
          <w:cantSplit/>
        </w:trPr>
        <w:tc>
          <w:tcPr>
            <w:tcW w:type="dxa" w:w="2232"/>
            <w:vAlign w:val="center"/>
            <w:tcMar>
              <w:top w:w="90" w:type="dxa"/>
              <w:start w:w="110" w:type="dxa"/>
              <w:bottom w:w="90" w:type="dxa"/>
              <w:end w:w="110" w:type="dxa"/>
            </w:tcMar>
          </w:tcPr>
          <w:p>
            <w:pPr>
              <w:spacing w:after="0" w:before="0"/>
            </w:pPr>
            <w:r/>
            <w:r>
              <w:rPr>
                <w:rFonts w:ascii="Aptos" w:hAnsi="Aptos"/>
                <w:b/>
                <w:color w:val="111827"/>
                <w:sz w:val="17"/>
              </w:rPr>
              <w:t>Reference resolution</w:t>
            </w:r>
          </w:p>
        </w:tc>
        <w:tc>
          <w:tcPr>
            <w:tcW w:type="dxa" w:w="4680"/>
            <w:vAlign w:val="center"/>
            <w:tcMar>
              <w:top w:w="90" w:type="dxa"/>
              <w:start w:w="110" w:type="dxa"/>
              <w:bottom w:w="90" w:type="dxa"/>
              <w:end w:w="110" w:type="dxa"/>
            </w:tcMar>
          </w:tcPr>
          <w:p>
            <w:pPr>
              <w:spacing w:after="0" w:before="0"/>
            </w:pPr>
            <w:r/>
            <w:r>
              <w:rPr>
                <w:rFonts w:ascii="Aptos" w:hAnsi="Aptos"/>
                <w:b w:val="0"/>
                <w:color w:val="111827"/>
                <w:sz w:val="17"/>
              </w:rPr>
              <w:t>Which canonical entity does this source reference denote?</w:t>
            </w:r>
          </w:p>
        </w:tc>
        <w:tc>
          <w:tcPr>
            <w:tcW w:type="dxa" w:w="2952"/>
            <w:vAlign w:val="center"/>
            <w:tcMar>
              <w:top w:w="90" w:type="dxa"/>
              <w:start w:w="110" w:type="dxa"/>
              <w:bottom w:w="90" w:type="dxa"/>
              <w:end w:w="110" w:type="dxa"/>
            </w:tcMar>
          </w:tcPr>
          <w:p>
            <w:pPr>
              <w:spacing w:after="0" w:before="0"/>
            </w:pPr>
            <w:r/>
            <w:r>
              <w:rPr>
                <w:rFonts w:ascii="Aptos" w:hAnsi="Aptos"/>
                <w:b w:val="0"/>
                <w:color w:val="111827"/>
                <w:sz w:val="17"/>
              </w:rPr>
              <w:t>Resolution result with plural candidates, evidence, confidence, and substrate standing</w:t>
            </w:r>
          </w:p>
        </w:tc>
      </w:tr>
      <w:tr>
        <w:trPr>
          <w:cantSplit/>
        </w:trPr>
        <w:tc>
          <w:tcPr>
            <w:tcW w:type="dxa" w:w="2232"/>
            <w:vAlign w:val="center"/>
            <w:tcMar>
              <w:top w:w="90" w:type="dxa"/>
              <w:start w:w="110" w:type="dxa"/>
              <w:bottom w:w="90" w:type="dxa"/>
              <w:end w:w="110" w:type="dxa"/>
            </w:tcMar>
            <w:shd w:fill="F8FAFC"/>
          </w:tcPr>
          <w:p>
            <w:pPr>
              <w:spacing w:after="0" w:before="0"/>
            </w:pPr>
            <w:r/>
            <w:r>
              <w:rPr>
                <w:rFonts w:ascii="Aptos" w:hAnsi="Aptos"/>
                <w:b/>
                <w:color w:val="111827"/>
                <w:sz w:val="17"/>
              </w:rPr>
              <w:t>Cross-plane structural relation</w:t>
            </w:r>
          </w:p>
        </w:tc>
        <w:tc>
          <w:tcPr>
            <w:tcW w:type="dxa" w:w="4680"/>
            <w:vAlign w:val="center"/>
            <w:tcMar>
              <w:top w:w="90" w:type="dxa"/>
              <w:start w:w="110" w:type="dxa"/>
              <w:bottom w:w="90" w:type="dxa"/>
              <w:end w:w="110" w:type="dxa"/>
            </w:tcMar>
            <w:shd w:fill="F8FAFC"/>
          </w:tcPr>
          <w:p>
            <w:pPr>
              <w:spacing w:after="0" w:before="0"/>
            </w:pPr>
            <w:r/>
            <w:r>
              <w:rPr>
                <w:rFonts w:ascii="Aptos" w:hAnsi="Aptos"/>
                <w:b w:val="0"/>
                <w:color w:val="111827"/>
                <w:sz w:val="17"/>
              </w:rPr>
              <w:t>How is an entity in one plane related to an entity in another?</w:t>
            </w:r>
          </w:p>
        </w:tc>
        <w:tc>
          <w:tcPr>
            <w:tcW w:type="dxa" w:w="2952"/>
            <w:vAlign w:val="center"/>
            <w:tcMar>
              <w:top w:w="90" w:type="dxa"/>
              <w:start w:w="110" w:type="dxa"/>
              <w:bottom w:w="90" w:type="dxa"/>
              <w:end w:w="110" w:type="dxa"/>
            </w:tcMar>
            <w:shd w:fill="F8FAFC"/>
          </w:tcPr>
          <w:p>
            <w:pPr>
              <w:spacing w:after="0" w:before="0"/>
            </w:pPr>
            <w:r/>
            <w:r>
              <w:rPr>
                <w:rFonts w:ascii="Aptos" w:hAnsi="Aptos"/>
                <w:b w:val="0"/>
                <w:color w:val="111827"/>
                <w:sz w:val="17"/>
              </w:rPr>
              <w:t>Typed bridge assertion with grain, cardinality, basis, evidence, scope, and version</w:t>
            </w:r>
          </w:p>
        </w:tc>
      </w:tr>
      <w:tr>
        <w:trPr>
          <w:cantSplit/>
        </w:trPr>
        <w:tc>
          <w:tcPr>
            <w:tcW w:type="dxa" w:w="2232"/>
            <w:vAlign w:val="center"/>
            <w:tcMar>
              <w:top w:w="90" w:type="dxa"/>
              <w:start w:w="110" w:type="dxa"/>
              <w:bottom w:w="90" w:type="dxa"/>
              <w:end w:w="110" w:type="dxa"/>
            </w:tcMar>
          </w:tcPr>
          <w:p>
            <w:pPr>
              <w:spacing w:after="0" w:before="0"/>
            </w:pPr>
            <w:r/>
            <w:r>
              <w:rPr>
                <w:rFonts w:ascii="Aptos" w:hAnsi="Aptos"/>
                <w:b/>
                <w:color w:val="111827"/>
                <w:sz w:val="17"/>
              </w:rPr>
              <w:t>Temporal continuity</w:t>
            </w:r>
          </w:p>
        </w:tc>
        <w:tc>
          <w:tcPr>
            <w:tcW w:type="dxa" w:w="4680"/>
            <w:vAlign w:val="center"/>
            <w:tcMar>
              <w:top w:w="90" w:type="dxa"/>
              <w:start w:w="110" w:type="dxa"/>
              <w:bottom w:w="90" w:type="dxa"/>
              <w:end w:w="110" w:type="dxa"/>
            </w:tcMar>
          </w:tcPr>
          <w:p>
            <w:pPr>
              <w:spacing w:after="0" w:before="0"/>
            </w:pPr>
            <w:r/>
            <w:r>
              <w:rPr>
                <w:rFonts w:ascii="Aptos" w:hAnsi="Aptos"/>
                <w:b w:val="0"/>
                <w:color w:val="111827"/>
                <w:sz w:val="17"/>
              </w:rPr>
              <w:t>Is this new observation or structure the continuation of a prior identity?</w:t>
            </w:r>
          </w:p>
        </w:tc>
        <w:tc>
          <w:tcPr>
            <w:tcW w:type="dxa" w:w="2952"/>
            <w:vAlign w:val="center"/>
            <w:tcMar>
              <w:top w:w="90" w:type="dxa"/>
              <w:start w:w="110" w:type="dxa"/>
              <w:bottom w:w="90" w:type="dxa"/>
              <w:end w:w="110" w:type="dxa"/>
            </w:tcMar>
          </w:tcPr>
          <w:p>
            <w:pPr>
              <w:spacing w:after="0" w:before="0"/>
            </w:pPr>
            <w:r/>
            <w:r>
              <w:rPr>
                <w:rFonts w:ascii="Aptos" w:hAnsi="Aptos"/>
                <w:b w:val="0"/>
                <w:color w:val="111827"/>
                <w:sz w:val="17"/>
              </w:rPr>
              <w:t>Append-only succession assertion and identity decision</w:t>
            </w:r>
          </w:p>
        </w:tc>
      </w:tr>
    </w:tbl>
    <w:p>
      <w:pPr>
        <w:spacing w:after="0"/>
      </w:pPr>
    </w:p>
    <w:p>
      <w:pPr>
        <w:spacing w:after="100" w:line="259" w:lineRule="auto"/>
        <w:ind w:left="0"/>
      </w:pPr>
      <w:r>
        <w:rPr>
          <w:rFonts w:ascii="Aptos" w:hAnsi="Aptos"/>
          <w:color w:val="111827"/>
          <w:sz w:val="21"/>
        </w:rPr>
        <w:t>These transitions have different evidence, failure modes, authorities, and lifecycle rules. They should be represented by separate contracts even when governed under the same D11 arc.</w:t>
      </w:r>
    </w:p>
    <w:p>
      <w:pPr>
        <w:pStyle w:val="Heading1"/>
        <w:keepNext/>
      </w:pPr>
      <w:r>
        <w:t>2. Three-Issue Operating Model</w:t>
      </w:r>
    </w:p>
    <w:p>
      <w:pPr>
        <w:pStyle w:val="Heading2"/>
        <w:keepNext/>
      </w:pPr>
      <w:r>
        <w:t>2.1 Issue 1: identity and grain spine</w:t>
      </w:r>
    </w:p>
    <w:p>
      <w:pPr>
        <w:spacing w:after="100" w:line="259" w:lineRule="auto"/>
        <w:ind w:left="0"/>
      </w:pPr>
      <w:r>
        <w:rPr>
          <w:rFonts w:ascii="Aptos" w:hAnsi="Aptos"/>
          <w:color w:val="111827"/>
          <w:sz w:val="21"/>
        </w:rPr>
        <w:t>Issue 1 answers who or what an entity is, at what grain, under what source bindings, and through what continuity policy. It applies at every altitude: L0 parts, L1 entities, graph surfaces, materializers, motifs, and L4 systems. The common defect is derived identity—an ID computed from a mutable name, path, parse, list position, or anchor hash.</w:t>
      </w:r>
    </w:p>
    <w:p>
      <w:pPr>
        <w:pStyle w:val="Heading2"/>
        <w:keepNext/>
      </w:pPr>
      <w:r>
        <w:t>2.2 Issue 2: materializer topology</w:t>
      </w:r>
    </w:p>
    <w:p>
      <w:pPr>
        <w:spacing w:after="100" w:line="259" w:lineRule="auto"/>
        <w:ind w:left="0"/>
      </w:pPr>
      <w:r>
        <w:rPr>
          <w:rFonts w:ascii="Aptos" w:hAnsi="Aptos"/>
          <w:color w:val="111827"/>
          <w:sz w:val="21"/>
        </w:rPr>
        <w:t>Issue 2 answers which processes read, transform, publish, and project the estate; which semantic opinions they carry; which versions are canonical, historical-in-use, superseded, or unknown; and which immutable source frontier each run consumed. The L0 manifest is the correct home for this topology, but it must be upgraded from thin per-part prose into explicit entity and relation records.</w:t>
      </w:r>
    </w:p>
    <w:p>
      <w:pPr>
        <w:pStyle w:val="Heading2"/>
        <w:keepNext/>
      </w:pPr>
      <w:r>
        <w:t>2.3 Issue 3: the integration kernel</w:t>
      </w:r>
    </w:p>
    <w:p>
      <w:pPr>
        <w:spacing w:after="100" w:line="259" w:lineRule="auto"/>
        <w:ind w:left="0"/>
      </w:pPr>
      <w:r>
        <w:rPr>
          <w:rFonts w:ascii="Aptos" w:hAnsi="Aptos"/>
          <w:color w:val="111827"/>
          <w:sz w:val="21"/>
        </w:rPr>
        <w:t>Issue 3 makes Issues 1 and 2 mechanically commensurable. It should be split into a contract phase and a coherence phase:</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 xml:space="preserve">                           ┌─ Issue 1: entity spine and resolvers</w:t>
            </w:r>
            <w:r>
              <w:br/>
            </w:r>
            <w:r>
              <w:rPr>
                <w:rFonts w:ascii="Consolas" w:hAnsi="Consolas"/>
                <w:color w:val="111827"/>
                <w:sz w:val="18"/>
              </w:rPr>
              <w:t>Issue 3A: shared contract ├─ Issue 2: materializer topology</w:t>
            </w:r>
            <w:r>
              <w:br/>
            </w:r>
            <w:r>
              <w:rPr>
                <w:rFonts w:ascii="Consolas" w:hAnsi="Consolas"/>
                <w:color w:val="111827"/>
                <w:sz w:val="18"/>
              </w:rPr>
              <w:t xml:space="preserve">                           └─ L0 manifest migration</w:t>
            </w:r>
            <w:r>
              <w:br/>
            </w:r>
            <w:r>
              <w:rPr>
                <w:rFonts w:ascii="Consolas" w:hAnsi="Consolas"/>
                <w:color w:val="111827"/>
                <w:sz w:val="18"/>
              </w:rPr>
              <w:t xml:space="preserve">                                       │</w:t>
            </w:r>
            <w:r>
              <w:br/>
            </w:r>
            <w:r>
              <w:rPr>
                <w:rFonts w:ascii="Consolas" w:hAnsi="Consolas"/>
                <w:color w:val="111827"/>
                <w:sz w:val="18"/>
              </w:rPr>
              <w:t xml:space="preserve">                                       ▼</w:t>
            </w:r>
            <w:r>
              <w:br/>
            </w:r>
            <w:r>
              <w:rPr>
                <w:rFonts w:ascii="Consolas" w:hAnsi="Consolas"/>
                <w:color w:val="111827"/>
                <w:sz w:val="18"/>
              </w:rPr>
              <w:t xml:space="preserve">                          Issue 3B: coherence evaluator</w:t>
            </w:r>
            <w:r>
              <w:br/>
            </w:r>
            <w:r>
              <w:rPr>
                <w:rFonts w:ascii="Consolas" w:hAnsi="Consolas"/>
                <w:color w:val="111827"/>
                <w:sz w:val="18"/>
              </w:rPr>
              <w:t xml:space="preserve">                                       │</w:t>
            </w:r>
            <w:r>
              <w:br/>
            </w:r>
            <w:r>
              <w:rPr>
                <w:rFonts w:ascii="Consolas" w:hAnsi="Consolas"/>
                <w:color w:val="111827"/>
                <w:sz w:val="18"/>
              </w:rPr>
              <w:t xml:space="preserve">                    ┌──────────────────┴─────────────────┐</w:t>
            </w:r>
            <w:r>
              <w:br/>
            </w:r>
            <w:r>
              <w:rPr>
                <w:rFonts w:ascii="Consolas" w:hAnsi="Consolas"/>
                <w:color w:val="111827"/>
                <w:sz w:val="18"/>
              </w:rPr>
              <w:t xml:space="preserve">                    ▼                                    ▼</w:t>
            </w:r>
            <w:r>
              <w:br/>
            </w:r>
            <w:r>
              <w:rPr>
                <w:rFonts w:ascii="Consolas" w:hAnsi="Consolas"/>
                <w:color w:val="111827"/>
                <w:sz w:val="18"/>
              </w:rPr>
              <w:t xml:space="preserve">            L3 bridge / projection                L4 succession</w:t>
            </w:r>
          </w:p>
        </w:tc>
      </w:tr>
    </w:tbl>
    <w:p>
      <w:pPr>
        <w:spacing w:after="0"/>
      </w:pPr>
    </w:p>
    <w:p>
      <w:pPr>
        <w:spacing w:after="100" w:line="259" w:lineRule="auto"/>
        <w:ind w:left="0"/>
      </w:pPr>
      <w:r>
        <w:rPr>
          <w:rFonts w:ascii="Aptos" w:hAnsi="Aptos"/>
          <w:color w:val="111827"/>
          <w:sz w:val="21"/>
        </w:rPr>
        <w:t>This is a bow-tie dependency, not a simple linear sequence. The identity-state vocabulary is upstream; the coherence evaluator is downstream of minimally functional spine and materializer implementations; L3 and L4 then consume the resulting serials, versions, evidence, and lineage.</w:t>
      </w:r>
    </w:p>
    <w:p>
      <w:pPr>
        <w:pStyle w:val="Heading1"/>
        <w:keepNext/>
      </w:pPr>
      <w:r>
        <w:t>3. Core Identity Decision: Serial, Binding, and State</w:t>
      </w:r>
    </w:p>
    <w:p>
      <w:pPr>
        <w:pStyle w:val="Heading2"/>
        <w:keepNext/>
      </w:pPr>
      <w:r>
        <w:t>3.1 Resolve the fork in favor of minted identity</w:t>
      </w:r>
    </w:p>
    <w:p>
      <w:pPr>
        <w:spacing w:after="100" w:line="259" w:lineRule="auto"/>
        <w:ind w:left="0"/>
      </w:pPr>
      <w:r>
        <w:rPr>
          <w:rFonts w:ascii="Aptos" w:hAnsi="Aptos"/>
          <w:color w:val="111827"/>
          <w:sz w:val="21"/>
        </w:rPr>
        <w:t>The proposed universal hash should be rejected as the enduring identity if it is computed from mutable substrate keys. A serial derived from a Git path, ARN, anchor, or parsed token repeats the exact defect the project is intended to eliminate: rename the thing and the identity dies.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SERIAL</w:t>
            </w:r>
            <w:r>
              <w:br/>
            </w:r>
            <w:r>
              <w:rPr>
                <w:rFonts w:ascii="Consolas" w:hAnsi="Consolas"/>
                <w:color w:val="111827"/>
                <w:sz w:val="18"/>
              </w:rPr>
              <w:t xml:space="preserve">  minted once, opaque, never computed from a mutable substrate key</w:t>
            </w:r>
            <w:r>
              <w:br/>
            </w:r>
            <w:r>
              <w:rPr>
                <w:rFonts w:ascii="Consolas" w:hAnsi="Consolas"/>
                <w:color w:val="111827"/>
                <w:sz w:val="18"/>
              </w:rPr>
              <w:t xml:space="preserve">  = enduring identity</w:t>
            </w:r>
            <w:r>
              <w:br/>
            </w:r>
            <w:r>
              <w:rPr>
                <w:rFonts w:ascii="Consolas" w:hAnsi="Consolas"/>
                <w:color w:val="111827"/>
                <w:sz w:val="18"/>
              </w:rPr>
            </w:r>
            <w:r>
              <w:br/>
            </w:r>
            <w:r>
              <w:rPr>
                <w:rFonts w:ascii="Consolas" w:hAnsi="Consolas"/>
                <w:color w:val="111827"/>
                <w:sz w:val="18"/>
              </w:rPr>
              <w:t>BINDING</w:t>
            </w:r>
            <w:r>
              <w:br/>
            </w:r>
            <w:r>
              <w:rPr>
                <w:rFonts w:ascii="Consolas" w:hAnsi="Consolas"/>
                <w:color w:val="111827"/>
                <w:sz w:val="18"/>
              </w:rPr>
              <w:t xml:space="preserve">  (serial, identity space, substrate key, scope, valid interval)</w:t>
            </w:r>
            <w:r>
              <w:br/>
            </w:r>
            <w:r>
              <w:rPr>
                <w:rFonts w:ascii="Consolas" w:hAnsi="Consolas"/>
                <w:color w:val="111827"/>
                <w:sz w:val="18"/>
              </w:rPr>
              <w:t xml:space="preserve">  = where the entity is referenced</w:t>
            </w:r>
            <w:r>
              <w:br/>
            </w:r>
            <w:r>
              <w:rPr>
                <w:rFonts w:ascii="Consolas" w:hAnsi="Consolas"/>
                <w:color w:val="111827"/>
                <w:sz w:val="18"/>
              </w:rPr>
            </w:r>
            <w:r>
              <w:br/>
            </w:r>
            <w:r>
              <w:rPr>
                <w:rFonts w:ascii="Consolas" w:hAnsi="Consolas"/>
                <w:color w:val="111827"/>
                <w:sz w:val="18"/>
              </w:rPr>
              <w:t>STATE OBSERVATION / FINGERPRINT</w:t>
            </w:r>
            <w:r>
              <w:br/>
            </w:r>
            <w:r>
              <w:rPr>
                <w:rFonts w:ascii="Consolas" w:hAnsi="Consolas"/>
                <w:color w:val="111827"/>
                <w:sz w:val="18"/>
              </w:rPr>
              <w:t xml:space="preserve">  (serial, source, fabric, vintage, digest, method, normalization)</w:t>
            </w:r>
            <w:r>
              <w:br/>
            </w:r>
            <w:r>
              <w:rPr>
                <w:rFonts w:ascii="Consolas" w:hAnsi="Consolas"/>
                <w:color w:val="111827"/>
                <w:sz w:val="18"/>
              </w:rPr>
              <w:t xml:space="preserve">  = what state was observed</w:t>
            </w:r>
          </w:p>
        </w:tc>
      </w:tr>
    </w:tbl>
    <w:p>
      <w:pPr>
        <w:spacing w:after="0"/>
      </w:pPr>
    </w:p>
    <w:p>
      <w:pPr>
        <w:spacing w:after="100" w:line="259" w:lineRule="auto"/>
        <w:ind w:left="0"/>
      </w:pPr>
      <w:r>
        <w:rPr>
          <w:rFonts w:ascii="Aptos" w:hAnsi="Aptos"/>
          <w:color w:val="111827"/>
          <w:sz w:val="21"/>
        </w:rPr>
        <w:t>A rename creates a new binding and closes the prior binding. A content or configuration change creates a new state observation. Neither event necessarily creates a new serial.</w:t>
      </w:r>
    </w:p>
    <w:p>
      <w:pPr>
        <w:pStyle w:val="Heading2"/>
        <w:keepNext/>
      </w:pPr>
      <w:r>
        <w:t>3.2 Hashes remain first-class—but only at the correct grain</w:t>
      </w:r>
    </w:p>
    <w:p>
      <w:pPr>
        <w:spacing w:after="100" w:line="259" w:lineRule="auto"/>
        <w:ind w:left="0"/>
      </w:pPr>
      <w:r>
        <w:rPr>
          <w:rFonts w:ascii="Aptos" w:hAnsi="Aptos"/>
          <w:color w:val="111827"/>
          <w:sz w:val="21"/>
        </w:rPr>
        <w:t>The rule “hashes are evidence, not identity” applies to enduring mutable entities. A bounded exception is appropriate for immutable records whose identity genuinely is their content or complete execution bundle.</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3672"/>
        <w:gridCol w:w="6192"/>
      </w:tblGrid>
      <w:tr>
        <w:trPr>
          <w:tblHeader w:val="true"/>
          <w:cantSplit/>
        </w:trPr>
        <w:tc>
          <w:tcPr>
            <w:tcW w:type="dxa" w:w="4997"/>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Record</w:t>
            </w:r>
          </w:p>
        </w:tc>
        <w:tc>
          <w:tcPr>
            <w:tcW w:type="dxa" w:w="4997"/>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Recommended identity mechanism</w:t>
            </w:r>
          </w:p>
        </w:tc>
      </w:tr>
      <w:tr>
        <w:trPr>
          <w:cantSplit/>
        </w:trPr>
        <w:tc>
          <w:tcPr>
            <w:tcW w:type="dxa" w:w="3672"/>
            <w:vAlign w:val="center"/>
            <w:tcMar>
              <w:top w:w="90" w:type="dxa"/>
              <w:start w:w="110" w:type="dxa"/>
              <w:bottom w:w="90" w:type="dxa"/>
              <w:end w:w="110" w:type="dxa"/>
            </w:tcMar>
          </w:tcPr>
          <w:p>
            <w:pPr>
              <w:spacing w:after="0" w:before="0"/>
            </w:pPr>
            <w:r/>
            <w:r>
              <w:rPr>
                <w:rFonts w:ascii="Aptos" w:hAnsi="Aptos"/>
                <w:b/>
                <w:color w:val="111827"/>
                <w:sz w:val="17"/>
              </w:rPr>
              <w:t>Persistent file, resource, system, or materializer</w:t>
            </w:r>
          </w:p>
        </w:tc>
        <w:tc>
          <w:tcPr>
            <w:tcW w:type="dxa" w:w="6192"/>
            <w:vAlign w:val="center"/>
            <w:tcMar>
              <w:top w:w="90" w:type="dxa"/>
              <w:start w:w="110" w:type="dxa"/>
              <w:bottom w:w="90" w:type="dxa"/>
              <w:end w:w="110" w:type="dxa"/>
            </w:tcMar>
          </w:tcPr>
          <w:p>
            <w:pPr>
              <w:spacing w:after="0" w:before="0"/>
            </w:pPr>
            <w:r/>
            <w:r>
              <w:rPr>
                <w:rFonts w:ascii="Aptos" w:hAnsi="Aptos"/>
                <w:b w:val="0"/>
                <w:color w:val="111827"/>
                <w:sz w:val="17"/>
              </w:rPr>
              <w:t>Opaque minted serial</w:t>
            </w:r>
          </w:p>
        </w:tc>
      </w:tr>
      <w:tr>
        <w:trPr>
          <w:cantSplit/>
        </w:trPr>
        <w:tc>
          <w:tcPr>
            <w:tcW w:type="dxa" w:w="3672"/>
            <w:vAlign w:val="center"/>
            <w:tcMar>
              <w:top w:w="90" w:type="dxa"/>
              <w:start w:w="110" w:type="dxa"/>
              <w:bottom w:w="90" w:type="dxa"/>
              <w:end w:w="110" w:type="dxa"/>
            </w:tcMar>
            <w:shd w:fill="F8FAFC"/>
          </w:tcPr>
          <w:p>
            <w:pPr>
              <w:spacing w:after="0" w:before="0"/>
            </w:pPr>
            <w:r/>
            <w:r>
              <w:rPr>
                <w:rFonts w:ascii="Aptos" w:hAnsi="Aptos"/>
                <w:b/>
                <w:color w:val="111827"/>
                <w:sz w:val="17"/>
              </w:rPr>
              <w:t>Temporal binding</w:t>
            </w:r>
          </w:p>
        </w:tc>
        <w:tc>
          <w:tcPr>
            <w:tcW w:type="dxa" w:w="6192"/>
            <w:vAlign w:val="center"/>
            <w:tcMar>
              <w:top w:w="90" w:type="dxa"/>
              <w:start w:w="110" w:type="dxa"/>
              <w:bottom w:w="90" w:type="dxa"/>
              <w:end w:w="110" w:type="dxa"/>
            </w:tcMar>
            <w:shd w:fill="F8FAFC"/>
          </w:tcPr>
          <w:p>
            <w:pPr>
              <w:spacing w:after="0" w:before="0"/>
            </w:pPr>
            <w:r/>
            <w:r>
              <w:rPr>
                <w:rFonts w:ascii="Aptos" w:hAnsi="Aptos"/>
                <w:b w:val="0"/>
                <w:color w:val="111827"/>
                <w:sz w:val="17"/>
              </w:rPr>
              <w:t>Minted record ID or composite ledger key</w:t>
            </w:r>
          </w:p>
        </w:tc>
      </w:tr>
      <w:tr>
        <w:trPr>
          <w:cantSplit/>
        </w:trPr>
        <w:tc>
          <w:tcPr>
            <w:tcW w:type="dxa" w:w="3672"/>
            <w:vAlign w:val="center"/>
            <w:tcMar>
              <w:top w:w="90" w:type="dxa"/>
              <w:start w:w="110" w:type="dxa"/>
              <w:bottom w:w="90" w:type="dxa"/>
              <w:end w:w="110" w:type="dxa"/>
            </w:tcMar>
          </w:tcPr>
          <w:p>
            <w:pPr>
              <w:spacing w:after="0" w:before="0"/>
            </w:pPr>
            <w:r/>
            <w:r>
              <w:rPr>
                <w:rFonts w:ascii="Aptos" w:hAnsi="Aptos"/>
                <w:b/>
                <w:color w:val="111827"/>
                <w:sz w:val="17"/>
              </w:rPr>
              <w:t>Immutable state observation</w:t>
            </w:r>
          </w:p>
        </w:tc>
        <w:tc>
          <w:tcPr>
            <w:tcW w:type="dxa" w:w="6192"/>
            <w:vAlign w:val="center"/>
            <w:tcMar>
              <w:top w:w="90" w:type="dxa"/>
              <w:start w:w="110" w:type="dxa"/>
              <w:bottom w:w="90" w:type="dxa"/>
              <w:end w:w="110" w:type="dxa"/>
            </w:tcMar>
          </w:tcPr>
          <w:p>
            <w:pPr>
              <w:spacing w:after="0" w:before="0"/>
            </w:pPr>
            <w:r/>
            <w:r>
              <w:rPr>
                <w:rFonts w:ascii="Aptos" w:hAnsi="Aptos"/>
                <w:b w:val="0"/>
                <w:color w:val="111827"/>
                <w:sz w:val="17"/>
              </w:rPr>
              <w:t>Content-addressed ID is acceptable</w:t>
            </w:r>
          </w:p>
        </w:tc>
      </w:tr>
      <w:tr>
        <w:trPr>
          <w:cantSplit/>
        </w:trPr>
        <w:tc>
          <w:tcPr>
            <w:tcW w:type="dxa" w:w="3672"/>
            <w:vAlign w:val="center"/>
            <w:tcMar>
              <w:top w:w="90" w:type="dxa"/>
              <w:start w:w="110" w:type="dxa"/>
              <w:bottom w:w="90" w:type="dxa"/>
              <w:end w:w="110" w:type="dxa"/>
            </w:tcMar>
            <w:shd w:fill="F8FAFC"/>
          </w:tcPr>
          <w:p>
            <w:pPr>
              <w:spacing w:after="0" w:before="0"/>
            </w:pPr>
            <w:r/>
            <w:r>
              <w:rPr>
                <w:rFonts w:ascii="Aptos" w:hAnsi="Aptos"/>
                <w:b/>
                <w:color w:val="111827"/>
                <w:sz w:val="17"/>
              </w:rPr>
              <w:t>Materializer implementation version</w:t>
            </w:r>
          </w:p>
        </w:tc>
        <w:tc>
          <w:tcPr>
            <w:tcW w:type="dxa" w:w="6192"/>
            <w:vAlign w:val="center"/>
            <w:tcMar>
              <w:top w:w="90" w:type="dxa"/>
              <w:start w:w="110" w:type="dxa"/>
              <w:bottom w:w="90" w:type="dxa"/>
              <w:end w:w="110" w:type="dxa"/>
            </w:tcMar>
            <w:shd w:fill="F8FAFC"/>
          </w:tcPr>
          <w:p>
            <w:pPr>
              <w:spacing w:after="0" w:before="0"/>
            </w:pPr>
            <w:r/>
            <w:r>
              <w:rPr>
                <w:rFonts w:ascii="Aptos" w:hAnsi="Aptos"/>
                <w:b w:val="0"/>
                <w:color w:val="111827"/>
                <w:sz w:val="17"/>
              </w:rPr>
              <w:t>Digest of complete execution bundle</w:t>
            </w:r>
          </w:p>
        </w:tc>
      </w:tr>
      <w:tr>
        <w:trPr>
          <w:cantSplit/>
        </w:trPr>
        <w:tc>
          <w:tcPr>
            <w:tcW w:type="dxa" w:w="3672"/>
            <w:vAlign w:val="center"/>
            <w:tcMar>
              <w:top w:w="90" w:type="dxa"/>
              <w:start w:w="110" w:type="dxa"/>
              <w:bottom w:w="90" w:type="dxa"/>
              <w:end w:w="110" w:type="dxa"/>
            </w:tcMar>
          </w:tcPr>
          <w:p>
            <w:pPr>
              <w:spacing w:after="0" w:before="0"/>
            </w:pPr>
            <w:r/>
            <w:r>
              <w:rPr>
                <w:rFonts w:ascii="Aptos" w:hAnsi="Aptos"/>
                <w:b/>
                <w:color w:val="111827"/>
                <w:sz w:val="17"/>
              </w:rPr>
              <w:t>Materialization run receipt</w:t>
            </w:r>
          </w:p>
        </w:tc>
        <w:tc>
          <w:tcPr>
            <w:tcW w:type="dxa" w:w="6192"/>
            <w:vAlign w:val="center"/>
            <w:tcMar>
              <w:top w:w="90" w:type="dxa"/>
              <w:start w:w="110" w:type="dxa"/>
              <w:bottom w:w="90" w:type="dxa"/>
              <w:end w:w="110" w:type="dxa"/>
            </w:tcMar>
          </w:tcPr>
          <w:p>
            <w:pPr>
              <w:spacing w:after="0" w:before="0"/>
            </w:pPr>
            <w:r/>
            <w:r>
              <w:rPr>
                <w:rFonts w:ascii="Aptos" w:hAnsi="Aptos"/>
                <w:b w:val="0"/>
                <w:color w:val="111827"/>
                <w:sz w:val="17"/>
              </w:rPr>
              <w:t>Minted or content-addressed immutable ID</w:t>
            </w:r>
          </w:p>
        </w:tc>
      </w:tr>
      <w:tr>
        <w:trPr>
          <w:cantSplit/>
        </w:trPr>
        <w:tc>
          <w:tcPr>
            <w:tcW w:type="dxa" w:w="3672"/>
            <w:vAlign w:val="center"/>
            <w:tcMar>
              <w:top w:w="90" w:type="dxa"/>
              <w:start w:w="110" w:type="dxa"/>
              <w:bottom w:w="90" w:type="dxa"/>
              <w:end w:w="110" w:type="dxa"/>
            </w:tcMar>
            <w:shd w:fill="F8FAFC"/>
          </w:tcPr>
          <w:p>
            <w:pPr>
              <w:spacing w:after="0" w:before="0"/>
            </w:pPr>
            <w:r/>
            <w:r>
              <w:rPr>
                <w:rFonts w:ascii="Aptos" w:hAnsi="Aptos"/>
                <w:b/>
                <w:color w:val="111827"/>
                <w:sz w:val="17"/>
              </w:rPr>
              <w:t>Graph snapshot / surface version</w:t>
            </w:r>
          </w:p>
        </w:tc>
        <w:tc>
          <w:tcPr>
            <w:tcW w:type="dxa" w:w="6192"/>
            <w:vAlign w:val="center"/>
            <w:tcMar>
              <w:top w:w="90" w:type="dxa"/>
              <w:start w:w="110" w:type="dxa"/>
              <w:bottom w:w="90" w:type="dxa"/>
              <w:end w:w="110" w:type="dxa"/>
            </w:tcMar>
            <w:shd w:fill="F8FAFC"/>
          </w:tcPr>
          <w:p>
            <w:pPr>
              <w:spacing w:after="0" w:before="0"/>
            </w:pPr>
            <w:r/>
            <w:r>
              <w:rPr>
                <w:rFonts w:ascii="Aptos" w:hAnsi="Aptos"/>
                <w:b w:val="0"/>
                <w:color w:val="111827"/>
                <w:sz w:val="17"/>
              </w:rPr>
              <w:t>Snapshot or commit identity plus digest</w:t>
            </w:r>
          </w:p>
        </w:tc>
      </w:tr>
      <w:tr>
        <w:trPr>
          <w:cantSplit/>
        </w:trPr>
        <w:tc>
          <w:tcPr>
            <w:tcW w:type="dxa" w:w="3672"/>
            <w:vAlign w:val="center"/>
            <w:tcMar>
              <w:top w:w="90" w:type="dxa"/>
              <w:start w:w="110" w:type="dxa"/>
              <w:bottom w:w="90" w:type="dxa"/>
              <w:end w:w="110" w:type="dxa"/>
            </w:tcMar>
          </w:tcPr>
          <w:p>
            <w:pPr>
              <w:spacing w:after="0" w:before="0"/>
            </w:pPr>
            <w:r/>
            <w:r>
              <w:rPr>
                <w:rFonts w:ascii="Aptos" w:hAnsi="Aptos"/>
                <w:b/>
                <w:color w:val="111827"/>
                <w:sz w:val="17"/>
              </w:rPr>
              <w:t>Current projection instance</w:t>
            </w:r>
          </w:p>
        </w:tc>
        <w:tc>
          <w:tcPr>
            <w:tcW w:type="dxa" w:w="6192"/>
            <w:vAlign w:val="center"/>
            <w:tcMar>
              <w:top w:w="90" w:type="dxa"/>
              <w:start w:w="110" w:type="dxa"/>
              <w:bottom w:w="90" w:type="dxa"/>
              <w:end w:w="110" w:type="dxa"/>
            </w:tcMar>
          </w:tcPr>
          <w:p>
            <w:pPr>
              <w:spacing w:after="0" w:before="0"/>
            </w:pPr>
            <w:r/>
            <w:r>
              <w:rPr>
                <w:rFonts w:ascii="Aptos" w:hAnsi="Aptos"/>
                <w:b w:val="0"/>
                <w:color w:val="111827"/>
                <w:sz w:val="17"/>
              </w:rPr>
              <w:t>Minted instance ID pinned to an immutable graph version</w:t>
            </w:r>
          </w:p>
        </w:tc>
      </w:tr>
    </w:tbl>
    <w:p>
      <w:pPr>
        <w:spacing w:after="0"/>
      </w:pPr>
    </w:p>
    <w:p>
      <w:pPr>
        <w:spacing w:after="100" w:line="259" w:lineRule="auto"/>
        <w:ind w:left="0"/>
      </w:pPr>
      <w:r>
        <w:rPr>
          <w:rFonts w:ascii="Aptos" w:hAnsi="Aptos"/>
          <w:color w:val="111827"/>
          <w:sz w:val="21"/>
        </w:rPr>
        <w:t>Every fingerprint must carry its method and normalization version. The documented CRLF/LF false-staleness incident demonstrates that a digest without its normalization contract is not interpretable state evidence.</w:t>
      </w:r>
    </w:p>
    <w:p>
      <w:pPr>
        <w:pStyle w:val="Heading2"/>
        <w:keepNext/>
      </w:pPr>
      <w:r>
        <w:t>3.3 Universal addressability does not mean universal equivalence</w:t>
      </w:r>
    </w:p>
    <w:p>
      <w:pPr>
        <w:spacing w:after="100" w:line="259" w:lineRule="auto"/>
        <w:ind w:left="0"/>
      </w:pPr>
      <w:r>
        <w:rPr>
          <w:rFonts w:ascii="Aptos" w:hAnsi="Aptos"/>
          <w:color w:val="111827"/>
          <w:sz w:val="21"/>
        </w:rPr>
        <w:t>The ordered pair (PLANE, ENTITY) remains the canonical grain declaration. A universal serial does not make a symbol, file, resource, motif, and system the same kind of object. It gives each a stable address. Cross-plane comparison still requires an explicit typed relation and declared projection.</w:t>
      </w:r>
    </w:p>
    <w:p>
      <w:pPr>
        <w:pStyle w:val="Heading2"/>
        <w:keepNext/>
      </w:pPr>
      <w:r>
        <w:t>3.4 Separate logical entities from physical instances</w:t>
      </w:r>
    </w:p>
    <w:p>
      <w:pPr>
        <w:spacing w:after="100" w:line="259" w:lineRule="auto"/>
        <w:ind w:left="0"/>
      </w:pPr>
      <w:r>
        <w:rPr>
          <w:rFonts w:ascii="Aptos" w:hAnsi="Aptos"/>
          <w:color w:val="111827"/>
          <w:sz w:val="21"/>
        </w:rPr>
        <w:t>A logical graph surface represented on two fabrics should not automatically be modeled as one physical artifact. The logical object and each physical instance can differ, fail, rebuild, and drift independently.</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LOGICAL GRAPH SURFACE    ent:logical-graph</w:t>
            </w:r>
            <w:r>
              <w:br/>
            </w:r>
            <w:r>
              <w:rPr>
                <w:rFonts w:ascii="Consolas" w:hAnsi="Consolas"/>
                <w:color w:val="111827"/>
                <w:sz w:val="18"/>
              </w:rPr>
              <w:t xml:space="preserve">          │</w:t>
            </w:r>
            <w:r>
              <w:br/>
            </w:r>
            <w:r>
              <w:rPr>
                <w:rFonts w:ascii="Consolas" w:hAnsi="Consolas"/>
                <w:color w:val="111827"/>
                <w:sz w:val="18"/>
              </w:rPr>
              <w:t xml:space="preserve">          ├── INSTANCE_ON ──&gt; ent:laptop-graph-file</w:t>
            </w:r>
            <w:r>
              <w:br/>
            </w:r>
            <w:r>
              <w:rPr>
                <w:rFonts w:ascii="Consolas" w:hAnsi="Consolas"/>
                <w:color w:val="111827"/>
                <w:sz w:val="18"/>
              </w:rPr>
              <w:t xml:space="preserve">          │                    fabric = laptop</w:t>
            </w:r>
            <w:r>
              <w:br/>
            </w:r>
            <w:r>
              <w:rPr>
                <w:rFonts w:ascii="Consolas" w:hAnsi="Consolas"/>
                <w:color w:val="111827"/>
                <w:sz w:val="18"/>
              </w:rPr>
              <w:t xml:space="preserve">          │</w:t>
            </w:r>
            <w:r>
              <w:br/>
            </w:r>
            <w:r>
              <w:rPr>
                <w:rFonts w:ascii="Consolas" w:hAnsi="Consolas"/>
                <w:color w:val="111827"/>
                <w:sz w:val="18"/>
              </w:rPr>
              <w:t xml:space="preserve">          └── INSTANCE_ON ──&gt; ent:site-z-graph-file</w:t>
            </w:r>
            <w:r>
              <w:br/>
            </w:r>
            <w:r>
              <w:rPr>
                <w:rFonts w:ascii="Consolas" w:hAnsi="Consolas"/>
                <w:color w:val="111827"/>
                <w:sz w:val="18"/>
              </w:rPr>
              <w:t xml:space="preserve">                               fabric = site-z</w:t>
            </w:r>
          </w:p>
        </w:tc>
      </w:tr>
    </w:tbl>
    <w:p>
      <w:pPr>
        <w:spacing w:after="0"/>
      </w:pP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2520"/>
        <w:gridCol w:w="7344"/>
      </w:tblGrid>
      <w:tr>
        <w:trPr>
          <w:tblHeader w:val="true"/>
          <w:cantSplit/>
        </w:trPr>
        <w:tc>
          <w:tcPr>
            <w:tcW w:type="dxa" w:w="4997"/>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Axis</w:t>
            </w:r>
          </w:p>
        </w:tc>
        <w:tc>
          <w:tcPr>
            <w:tcW w:type="dxa" w:w="4997"/>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Question</w:t>
            </w:r>
          </w:p>
        </w:tc>
      </w:tr>
      <w:tr>
        <w:trPr>
          <w:cantSplit/>
        </w:trPr>
        <w:tc>
          <w:tcPr>
            <w:tcW w:type="dxa" w:w="2520"/>
            <w:vAlign w:val="center"/>
            <w:tcMar>
              <w:top w:w="90" w:type="dxa"/>
              <w:start w:w="110" w:type="dxa"/>
              <w:bottom w:w="90" w:type="dxa"/>
              <w:end w:w="110" w:type="dxa"/>
            </w:tcMar>
          </w:tcPr>
          <w:p>
            <w:pPr>
              <w:spacing w:after="0" w:before="0"/>
            </w:pPr>
            <w:r/>
            <w:r>
              <w:rPr>
                <w:rFonts w:ascii="Aptos" w:hAnsi="Aptos"/>
                <w:b/>
                <w:color w:val="111827"/>
                <w:sz w:val="17"/>
              </w:rPr>
              <w:t>Identity scope</w:t>
            </w:r>
          </w:p>
        </w:tc>
        <w:tc>
          <w:tcPr>
            <w:tcW w:type="dxa" w:w="7344"/>
            <w:vAlign w:val="center"/>
            <w:tcMar>
              <w:top w:w="90" w:type="dxa"/>
              <w:start w:w="110" w:type="dxa"/>
              <w:bottom w:w="90" w:type="dxa"/>
              <w:end w:w="110" w:type="dxa"/>
            </w:tcMar>
          </w:tcPr>
          <w:p>
            <w:pPr>
              <w:spacing w:after="0" w:before="0"/>
            </w:pPr>
            <w:r/>
            <w:r>
              <w:rPr>
                <w:rFonts w:ascii="Aptos" w:hAnsi="Aptos"/>
                <w:b w:val="0"/>
                <w:color w:val="111827"/>
                <w:sz w:val="17"/>
              </w:rPr>
              <w:t>Is this a logical estate entity, fabric instance, device instance, or run occurrence?</w:t>
            </w:r>
          </w:p>
        </w:tc>
      </w:tr>
      <w:tr>
        <w:trPr>
          <w:cantSplit/>
        </w:trPr>
        <w:tc>
          <w:tcPr>
            <w:tcW w:type="dxa" w:w="2520"/>
            <w:vAlign w:val="center"/>
            <w:tcMar>
              <w:top w:w="90" w:type="dxa"/>
              <w:start w:w="110" w:type="dxa"/>
              <w:bottom w:w="90" w:type="dxa"/>
              <w:end w:w="110" w:type="dxa"/>
            </w:tcMar>
            <w:shd w:fill="F8FAFC"/>
          </w:tcPr>
          <w:p>
            <w:pPr>
              <w:spacing w:after="0" w:before="0"/>
            </w:pPr>
            <w:r/>
            <w:r>
              <w:rPr>
                <w:rFonts w:ascii="Aptos" w:hAnsi="Aptos"/>
                <w:b/>
                <w:color w:val="111827"/>
                <w:sz w:val="17"/>
              </w:rPr>
              <w:t>Observation location</w:t>
            </w:r>
          </w:p>
        </w:tc>
        <w:tc>
          <w:tcPr>
            <w:tcW w:type="dxa" w:w="7344"/>
            <w:vAlign w:val="center"/>
            <w:tcMar>
              <w:top w:w="90" w:type="dxa"/>
              <w:start w:w="110" w:type="dxa"/>
              <w:bottom w:w="90" w:type="dxa"/>
              <w:end w:w="110" w:type="dxa"/>
            </w:tcMar>
            <w:shd w:fill="F8FAFC"/>
          </w:tcPr>
          <w:p>
            <w:pPr>
              <w:spacing w:after="0" w:before="0"/>
            </w:pPr>
            <w:r/>
            <w:r>
              <w:rPr>
                <w:rFonts w:ascii="Aptos" w:hAnsi="Aptos"/>
                <w:b w:val="0"/>
                <w:color w:val="111827"/>
                <w:sz w:val="17"/>
              </w:rPr>
              <w:t>Which device or fabric measured the state?</w:t>
            </w:r>
          </w:p>
        </w:tc>
      </w:tr>
      <w:tr>
        <w:trPr>
          <w:cantSplit/>
        </w:trPr>
        <w:tc>
          <w:tcPr>
            <w:tcW w:type="dxa" w:w="2520"/>
            <w:vAlign w:val="center"/>
            <w:tcMar>
              <w:top w:w="90" w:type="dxa"/>
              <w:start w:w="110" w:type="dxa"/>
              <w:bottom w:w="90" w:type="dxa"/>
              <w:end w:w="110" w:type="dxa"/>
            </w:tcMar>
          </w:tcPr>
          <w:p>
            <w:pPr>
              <w:spacing w:after="0" w:before="0"/>
            </w:pPr>
            <w:r/>
            <w:r>
              <w:rPr>
                <w:rFonts w:ascii="Aptos" w:hAnsi="Aptos"/>
                <w:b/>
                <w:color w:val="111827"/>
                <w:sz w:val="17"/>
              </w:rPr>
              <w:t>Replication expectation</w:t>
            </w:r>
          </w:p>
        </w:tc>
        <w:tc>
          <w:tcPr>
            <w:tcW w:type="dxa" w:w="7344"/>
            <w:vAlign w:val="center"/>
            <w:tcMar>
              <w:top w:w="90" w:type="dxa"/>
              <w:start w:w="110" w:type="dxa"/>
              <w:bottom w:w="90" w:type="dxa"/>
              <w:end w:w="110" w:type="dxa"/>
            </w:tcMar>
          </w:tcPr>
          <w:p>
            <w:pPr>
              <w:spacing w:after="0" w:before="0"/>
            </w:pPr>
            <w:r/>
            <w:r>
              <w:rPr>
                <w:rFonts w:ascii="Aptos" w:hAnsi="Aptos"/>
                <w:b w:val="0"/>
                <w:color w:val="111827"/>
                <w:sz w:val="17"/>
              </w:rPr>
              <w:t>Should instances pinned to the same declared version be identical, equivalent, or unconstrained?</w:t>
            </w:r>
          </w:p>
        </w:tc>
      </w:tr>
    </w:tbl>
    <w:p>
      <w:pPr>
        <w:spacing w:after="0"/>
      </w:pPr>
    </w:p>
    <w:p>
      <w:pPr>
        <w:pStyle w:val="Heading2"/>
        <w:keepNext/>
      </w:pPr>
      <w:r>
        <w:t>3.5 Reconcile independently minted identities</w:t>
      </w:r>
    </w:p>
    <w:p>
      <w:pPr>
        <w:spacing w:after="100" w:line="259" w:lineRule="auto"/>
        <w:ind w:left="0"/>
      </w:pPr>
      <w:r>
        <w:rPr>
          <w:rFonts w:ascii="Aptos" w:hAnsi="Aptos"/>
          <w:color w:val="111827"/>
          <w:sz w:val="21"/>
        </w:rPr>
        <w:t>Rule 26 permits independent derivation on different fabrics. That creates a distributed identity problem: two devices can discover the same real entity and mint different serials. The identity ledger must support candidate equivalence, canonicalization, merge, alias, and split without deleting historical observations.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ent:A  ── CANONICALIZED_AS ──&gt; ent:C</w:t>
            </w:r>
            <w:r>
              <w:br/>
            </w:r>
            <w:r>
              <w:rPr>
                <w:rFonts w:ascii="Consolas" w:hAnsi="Consolas"/>
                <w:color w:val="111827"/>
                <w:sz w:val="18"/>
              </w:rPr>
              <w:t>ent:B  ── CANONICALIZED_AS ──&gt; ent:C</w:t>
            </w:r>
            <w:r>
              <w:br/>
            </w:r>
            <w:r>
              <w:rPr>
                <w:rFonts w:ascii="Consolas" w:hAnsi="Consolas"/>
                <w:color w:val="111827"/>
                <w:sz w:val="18"/>
              </w:rPr>
            </w:r>
            <w:r>
              <w:br/>
            </w:r>
            <w:r>
              <w:rPr>
                <w:rFonts w:ascii="Consolas" w:hAnsi="Consolas"/>
                <w:color w:val="111827"/>
                <w:sz w:val="18"/>
              </w:rPr>
              <w:t>Historical bindings and observations remain attached to A and B;</w:t>
            </w:r>
            <w:r>
              <w:br/>
            </w:r>
            <w:r>
              <w:rPr>
                <w:rFonts w:ascii="Consolas" w:hAnsi="Consolas"/>
                <w:color w:val="111827"/>
                <w:sz w:val="18"/>
              </w:rPr>
              <w:t>current resolution may project both through C.</w:t>
            </w:r>
          </w:p>
        </w:tc>
      </w:tr>
    </w:tbl>
    <w:p>
      <w:pPr>
        <w:spacing w:after="0"/>
      </w:pPr>
    </w:p>
    <w:p>
      <w:pPr>
        <w:pStyle w:val="Heading1"/>
        <w:keepNext/>
      </w:pPr>
      <w:r>
        <w:t>4. Shared Contract Object Model</w:t>
      </w:r>
    </w:p>
    <w:p>
      <w:pPr>
        <w:spacing w:after="100" w:line="259" w:lineRule="auto"/>
        <w:ind w:left="0"/>
      </w:pPr>
      <w:r>
        <w:rPr>
          <w:rFonts w:ascii="Aptos" w:hAnsi="Aptos"/>
          <w:color w:val="111827"/>
          <w:sz w:val="21"/>
        </w:rPr>
        <w:t>Issue 3A should land a compact but general contract package. The same primitives should represent entities and processes so that the graph can trace both what changed and which process caused the change.</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2664"/>
        <w:gridCol w:w="3960"/>
        <w:gridCol w:w="3240"/>
      </w:tblGrid>
      <w:tr>
        <w:trPr>
          <w:tblHeader w:val="true"/>
          <w:cantSplit/>
        </w:trPr>
        <w:tc>
          <w:tcPr>
            <w:tcW w:type="dxa" w:w="3331"/>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Object</w:t>
            </w:r>
          </w:p>
        </w:tc>
        <w:tc>
          <w:tcPr>
            <w:tcW w:type="dxa" w:w="3331"/>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Purpose</w:t>
            </w:r>
          </w:p>
        </w:tc>
        <w:tc>
          <w:tcPr>
            <w:tcW w:type="dxa" w:w="3331"/>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Key relation</w:t>
            </w:r>
          </w:p>
        </w:tc>
      </w:tr>
      <w:tr>
        <w:trPr>
          <w:cantSplit/>
        </w:trPr>
        <w:tc>
          <w:tcPr>
            <w:tcW w:type="dxa" w:w="2664"/>
            <w:vAlign w:val="center"/>
            <w:tcMar>
              <w:top w:w="90" w:type="dxa"/>
              <w:start w:w="110" w:type="dxa"/>
              <w:bottom w:w="90" w:type="dxa"/>
              <w:end w:w="110" w:type="dxa"/>
            </w:tcMar>
          </w:tcPr>
          <w:p>
            <w:pPr>
              <w:spacing w:after="0" w:before="0"/>
            </w:pPr>
            <w:r/>
            <w:r>
              <w:rPr>
                <w:rFonts w:ascii="Aptos" w:hAnsi="Aptos"/>
                <w:b/>
                <w:color w:val="111827"/>
                <w:sz w:val="17"/>
              </w:rPr>
              <w:t>Entity</w:t>
            </w:r>
          </w:p>
        </w:tc>
        <w:tc>
          <w:tcPr>
            <w:tcW w:type="dxa" w:w="3960"/>
            <w:vAlign w:val="center"/>
            <w:tcMar>
              <w:top w:w="90" w:type="dxa"/>
              <w:start w:w="110" w:type="dxa"/>
              <w:bottom w:w="90" w:type="dxa"/>
              <w:end w:w="110" w:type="dxa"/>
            </w:tcMar>
          </w:tcPr>
          <w:p>
            <w:pPr>
              <w:spacing w:after="0" w:before="0"/>
            </w:pPr>
            <w:r/>
            <w:r>
              <w:rPr>
                <w:rFonts w:ascii="Aptos" w:hAnsi="Aptos"/>
                <w:b w:val="0"/>
                <w:color w:val="111827"/>
                <w:sz w:val="17"/>
              </w:rPr>
              <w:t>Durable identity for any addressable entity class</w:t>
            </w:r>
          </w:p>
        </w:tc>
        <w:tc>
          <w:tcPr>
            <w:tcW w:type="dxa" w:w="3240"/>
            <w:vAlign w:val="center"/>
            <w:tcMar>
              <w:top w:w="90" w:type="dxa"/>
              <w:start w:w="110" w:type="dxa"/>
              <w:bottom w:w="90" w:type="dxa"/>
              <w:end w:w="110" w:type="dxa"/>
            </w:tcMar>
          </w:tcPr>
          <w:p>
            <w:pPr>
              <w:spacing w:after="0" w:before="0"/>
            </w:pPr>
            <w:r/>
            <w:r>
              <w:rPr>
                <w:rFonts w:ascii="Aptos" w:hAnsi="Aptos"/>
                <w:b w:val="0"/>
                <w:color w:val="111827"/>
                <w:sz w:val="17"/>
              </w:rPr>
              <w:t>Owns bindings and state observations</w:t>
            </w:r>
          </w:p>
        </w:tc>
      </w:tr>
      <w:tr>
        <w:trPr>
          <w:cantSplit/>
        </w:trPr>
        <w:tc>
          <w:tcPr>
            <w:tcW w:type="dxa" w:w="2664"/>
            <w:vAlign w:val="center"/>
            <w:tcMar>
              <w:top w:w="90" w:type="dxa"/>
              <w:start w:w="110" w:type="dxa"/>
              <w:bottom w:w="90" w:type="dxa"/>
              <w:end w:w="110" w:type="dxa"/>
            </w:tcMar>
            <w:shd w:fill="F8FAFC"/>
          </w:tcPr>
          <w:p>
            <w:pPr>
              <w:spacing w:after="0" w:before="0"/>
            </w:pPr>
            <w:r/>
            <w:r>
              <w:rPr>
                <w:rFonts w:ascii="Aptos" w:hAnsi="Aptos"/>
                <w:b/>
                <w:color w:val="111827"/>
                <w:sz w:val="17"/>
              </w:rPr>
              <w:t>Entity binding</w:t>
            </w:r>
          </w:p>
        </w:tc>
        <w:tc>
          <w:tcPr>
            <w:tcW w:type="dxa" w:w="3960"/>
            <w:vAlign w:val="center"/>
            <w:tcMar>
              <w:top w:w="90" w:type="dxa"/>
              <w:start w:w="110" w:type="dxa"/>
              <w:bottom w:w="90" w:type="dxa"/>
              <w:end w:w="110" w:type="dxa"/>
            </w:tcMar>
            <w:shd w:fill="F8FAFC"/>
          </w:tcPr>
          <w:p>
            <w:pPr>
              <w:spacing w:after="0" w:before="0"/>
            </w:pPr>
            <w:r/>
            <w:r>
              <w:rPr>
                <w:rFonts w:ascii="Aptos" w:hAnsi="Aptos"/>
                <w:b w:val="0"/>
                <w:color w:val="111827"/>
                <w:sz w:val="17"/>
              </w:rPr>
              <w:t>Temporal source-native reference to an entity</w:t>
            </w:r>
          </w:p>
        </w:tc>
        <w:tc>
          <w:tcPr>
            <w:tcW w:type="dxa" w:w="3240"/>
            <w:vAlign w:val="center"/>
            <w:tcMar>
              <w:top w:w="90" w:type="dxa"/>
              <w:start w:w="110" w:type="dxa"/>
              <w:bottom w:w="90" w:type="dxa"/>
              <w:end w:w="110" w:type="dxa"/>
            </w:tcMar>
            <w:shd w:fill="F8FAFC"/>
          </w:tcPr>
          <w:p>
            <w:pPr>
              <w:spacing w:after="0" w:before="0"/>
            </w:pPr>
            <w:r/>
            <w:r>
              <w:rPr>
                <w:rFonts w:ascii="Aptos" w:hAnsi="Aptos"/>
                <w:b w:val="0"/>
                <w:color w:val="111827"/>
                <w:sz w:val="17"/>
              </w:rPr>
              <w:t>Binds an entity to an identity space and key</w:t>
            </w:r>
          </w:p>
        </w:tc>
      </w:tr>
      <w:tr>
        <w:trPr>
          <w:cantSplit/>
        </w:trPr>
        <w:tc>
          <w:tcPr>
            <w:tcW w:type="dxa" w:w="2664"/>
            <w:vAlign w:val="center"/>
            <w:tcMar>
              <w:top w:w="90" w:type="dxa"/>
              <w:start w:w="110" w:type="dxa"/>
              <w:bottom w:w="90" w:type="dxa"/>
              <w:end w:w="110" w:type="dxa"/>
            </w:tcMar>
          </w:tcPr>
          <w:p>
            <w:pPr>
              <w:spacing w:after="0" w:before="0"/>
            </w:pPr>
            <w:r/>
            <w:r>
              <w:rPr>
                <w:rFonts w:ascii="Aptos" w:hAnsi="Aptos"/>
                <w:b/>
                <w:color w:val="111827"/>
                <w:sz w:val="17"/>
              </w:rPr>
              <w:t>State observation</w:t>
            </w:r>
          </w:p>
        </w:tc>
        <w:tc>
          <w:tcPr>
            <w:tcW w:type="dxa" w:w="3960"/>
            <w:vAlign w:val="center"/>
            <w:tcMar>
              <w:top w:w="90" w:type="dxa"/>
              <w:start w:w="110" w:type="dxa"/>
              <w:bottom w:w="90" w:type="dxa"/>
              <w:end w:w="110" w:type="dxa"/>
            </w:tcMar>
          </w:tcPr>
          <w:p>
            <w:pPr>
              <w:spacing w:after="0" w:before="0"/>
            </w:pPr>
            <w:r/>
            <w:r>
              <w:rPr>
                <w:rFonts w:ascii="Aptos" w:hAnsi="Aptos"/>
                <w:b w:val="0"/>
                <w:color w:val="111827"/>
                <w:sz w:val="17"/>
              </w:rPr>
              <w:t>Immutable measurement of entity state</w:t>
            </w:r>
          </w:p>
        </w:tc>
        <w:tc>
          <w:tcPr>
            <w:tcW w:type="dxa" w:w="3240"/>
            <w:vAlign w:val="center"/>
            <w:tcMar>
              <w:top w:w="90" w:type="dxa"/>
              <w:start w:w="110" w:type="dxa"/>
              <w:bottom w:w="90" w:type="dxa"/>
              <w:end w:w="110" w:type="dxa"/>
            </w:tcMar>
          </w:tcPr>
          <w:p>
            <w:pPr>
              <w:spacing w:after="0" w:before="0"/>
            </w:pPr>
            <w:r/>
            <w:r>
              <w:rPr>
                <w:rFonts w:ascii="Aptos" w:hAnsi="Aptos"/>
                <w:b w:val="0"/>
                <w:color w:val="111827"/>
                <w:sz w:val="17"/>
              </w:rPr>
              <w:t>Observed from a source, vintage, method, normalization, and fabric</w:t>
            </w:r>
          </w:p>
        </w:tc>
      </w:tr>
      <w:tr>
        <w:trPr>
          <w:cantSplit/>
        </w:trPr>
        <w:tc>
          <w:tcPr>
            <w:tcW w:type="dxa" w:w="2664"/>
            <w:vAlign w:val="center"/>
            <w:tcMar>
              <w:top w:w="90" w:type="dxa"/>
              <w:start w:w="110" w:type="dxa"/>
              <w:bottom w:w="90" w:type="dxa"/>
              <w:end w:w="110" w:type="dxa"/>
            </w:tcMar>
            <w:shd w:fill="F8FAFC"/>
          </w:tcPr>
          <w:p>
            <w:pPr>
              <w:spacing w:after="0" w:before="0"/>
            </w:pPr>
            <w:r/>
            <w:r>
              <w:rPr>
                <w:rFonts w:ascii="Aptos" w:hAnsi="Aptos"/>
                <w:b/>
                <w:color w:val="111827"/>
                <w:sz w:val="17"/>
              </w:rPr>
              <w:t>Identity relation</w:t>
            </w:r>
          </w:p>
        </w:tc>
        <w:tc>
          <w:tcPr>
            <w:tcW w:type="dxa" w:w="3960"/>
            <w:vAlign w:val="center"/>
            <w:tcMar>
              <w:top w:w="90" w:type="dxa"/>
              <w:start w:w="110" w:type="dxa"/>
              <w:bottom w:w="90" w:type="dxa"/>
              <w:end w:w="110" w:type="dxa"/>
            </w:tcMar>
            <w:shd w:fill="F8FAFC"/>
          </w:tcPr>
          <w:p>
            <w:pPr>
              <w:spacing w:after="0" w:before="0"/>
            </w:pPr>
            <w:r/>
            <w:r>
              <w:rPr>
                <w:rFonts w:ascii="Aptos" w:hAnsi="Aptos"/>
                <w:b w:val="0"/>
                <w:color w:val="111827"/>
                <w:sz w:val="17"/>
              </w:rPr>
              <w:t>Succession, alias, equivalence, merge, split, replacement</w:t>
            </w:r>
          </w:p>
        </w:tc>
        <w:tc>
          <w:tcPr>
            <w:tcW w:type="dxa" w:w="3240"/>
            <w:vAlign w:val="center"/>
            <w:tcMar>
              <w:top w:w="90" w:type="dxa"/>
              <w:start w:w="110" w:type="dxa"/>
              <w:bottom w:w="90" w:type="dxa"/>
              <w:end w:w="110" w:type="dxa"/>
            </w:tcMar>
            <w:shd w:fill="F8FAFC"/>
          </w:tcPr>
          <w:p>
            <w:pPr>
              <w:spacing w:after="0" w:before="0"/>
            </w:pPr>
            <w:r/>
            <w:r>
              <w:rPr>
                <w:rFonts w:ascii="Aptos" w:hAnsi="Aptos"/>
                <w:b w:val="0"/>
                <w:color w:val="111827"/>
                <w:sz w:val="17"/>
              </w:rPr>
              <w:t>Connects serials without rewriting history</w:t>
            </w:r>
          </w:p>
        </w:tc>
      </w:tr>
      <w:tr>
        <w:trPr>
          <w:cantSplit/>
        </w:trPr>
        <w:tc>
          <w:tcPr>
            <w:tcW w:type="dxa" w:w="2664"/>
            <w:vAlign w:val="center"/>
            <w:tcMar>
              <w:top w:w="90" w:type="dxa"/>
              <w:start w:w="110" w:type="dxa"/>
              <w:bottom w:w="90" w:type="dxa"/>
              <w:end w:w="110" w:type="dxa"/>
            </w:tcMar>
          </w:tcPr>
          <w:p>
            <w:pPr>
              <w:spacing w:after="0" w:before="0"/>
            </w:pPr>
            <w:r/>
            <w:r>
              <w:rPr>
                <w:rFonts w:ascii="Aptos" w:hAnsi="Aptos"/>
                <w:b/>
                <w:color w:val="111827"/>
                <w:sz w:val="17"/>
              </w:rPr>
              <w:t>Materializer</w:t>
            </w:r>
          </w:p>
        </w:tc>
        <w:tc>
          <w:tcPr>
            <w:tcW w:type="dxa" w:w="3960"/>
            <w:vAlign w:val="center"/>
            <w:tcMar>
              <w:top w:w="90" w:type="dxa"/>
              <w:start w:w="110" w:type="dxa"/>
              <w:bottom w:w="90" w:type="dxa"/>
              <w:end w:w="110" w:type="dxa"/>
            </w:tcMar>
          </w:tcPr>
          <w:p>
            <w:pPr>
              <w:spacing w:after="0" w:before="0"/>
            </w:pPr>
            <w:r/>
            <w:r>
              <w:rPr>
                <w:rFonts w:ascii="Aptos" w:hAnsi="Aptos"/>
                <w:b w:val="0"/>
                <w:color w:val="111827"/>
                <w:sz w:val="17"/>
              </w:rPr>
              <w:t>Durable identity of a semantic transformation process</w:t>
            </w:r>
          </w:p>
        </w:tc>
        <w:tc>
          <w:tcPr>
            <w:tcW w:type="dxa" w:w="3240"/>
            <w:vAlign w:val="center"/>
            <w:tcMar>
              <w:top w:w="90" w:type="dxa"/>
              <w:start w:w="110" w:type="dxa"/>
              <w:bottom w:w="90" w:type="dxa"/>
              <w:end w:w="110" w:type="dxa"/>
            </w:tcMar>
          </w:tcPr>
          <w:p>
            <w:pPr>
              <w:spacing w:after="0" w:before="0"/>
            </w:pPr>
            <w:r/>
            <w:r>
              <w:rPr>
                <w:rFonts w:ascii="Aptos" w:hAnsi="Aptos"/>
                <w:b w:val="0"/>
                <w:color w:val="111827"/>
                <w:sz w:val="17"/>
              </w:rPr>
              <w:t>Owns versions and execution runs</w:t>
            </w:r>
          </w:p>
        </w:tc>
      </w:tr>
      <w:tr>
        <w:trPr>
          <w:cantSplit/>
        </w:trPr>
        <w:tc>
          <w:tcPr>
            <w:tcW w:type="dxa" w:w="2664"/>
            <w:vAlign w:val="center"/>
            <w:tcMar>
              <w:top w:w="90" w:type="dxa"/>
              <w:start w:w="110" w:type="dxa"/>
              <w:bottom w:w="90" w:type="dxa"/>
              <w:end w:w="110" w:type="dxa"/>
            </w:tcMar>
            <w:shd w:fill="F8FAFC"/>
          </w:tcPr>
          <w:p>
            <w:pPr>
              <w:spacing w:after="0" w:before="0"/>
            </w:pPr>
            <w:r/>
            <w:r>
              <w:rPr>
                <w:rFonts w:ascii="Aptos" w:hAnsi="Aptos"/>
                <w:b/>
                <w:color w:val="111827"/>
                <w:sz w:val="17"/>
              </w:rPr>
              <w:t>Materializer version</w:t>
            </w:r>
          </w:p>
        </w:tc>
        <w:tc>
          <w:tcPr>
            <w:tcW w:type="dxa" w:w="3960"/>
            <w:vAlign w:val="center"/>
            <w:tcMar>
              <w:top w:w="90" w:type="dxa"/>
              <w:start w:w="110" w:type="dxa"/>
              <w:bottom w:w="90" w:type="dxa"/>
              <w:end w:w="110" w:type="dxa"/>
            </w:tcMar>
            <w:shd w:fill="F8FAFC"/>
          </w:tcPr>
          <w:p>
            <w:pPr>
              <w:spacing w:after="0" w:before="0"/>
            </w:pPr>
            <w:r/>
            <w:r>
              <w:rPr>
                <w:rFonts w:ascii="Aptos" w:hAnsi="Aptos"/>
                <w:b w:val="0"/>
                <w:color w:val="111827"/>
                <w:sz w:val="17"/>
              </w:rPr>
              <w:t>Immutable implementation + contract bundle</w:t>
            </w:r>
          </w:p>
        </w:tc>
        <w:tc>
          <w:tcPr>
            <w:tcW w:type="dxa" w:w="3240"/>
            <w:vAlign w:val="center"/>
            <w:tcMar>
              <w:top w:w="90" w:type="dxa"/>
              <w:start w:w="110" w:type="dxa"/>
              <w:bottom w:w="90" w:type="dxa"/>
              <w:end w:w="110" w:type="dxa"/>
            </w:tcMar>
            <w:shd w:fill="F8FAFC"/>
          </w:tcPr>
          <w:p>
            <w:pPr>
              <w:spacing w:after="0" w:before="0"/>
            </w:pPr>
            <w:r/>
            <w:r>
              <w:rPr>
                <w:rFonts w:ascii="Aptos" w:hAnsi="Aptos"/>
                <w:b w:val="0"/>
                <w:color w:val="111827"/>
                <w:sz w:val="17"/>
              </w:rPr>
              <w:t>Referenced by each run</w:t>
            </w:r>
          </w:p>
        </w:tc>
      </w:tr>
      <w:tr>
        <w:trPr>
          <w:cantSplit/>
        </w:trPr>
        <w:tc>
          <w:tcPr>
            <w:tcW w:type="dxa" w:w="2664"/>
            <w:vAlign w:val="center"/>
            <w:tcMar>
              <w:top w:w="90" w:type="dxa"/>
              <w:start w:w="110" w:type="dxa"/>
              <w:bottom w:w="90" w:type="dxa"/>
              <w:end w:w="110" w:type="dxa"/>
            </w:tcMar>
          </w:tcPr>
          <w:p>
            <w:pPr>
              <w:spacing w:after="0" w:before="0"/>
            </w:pPr>
            <w:r/>
            <w:r>
              <w:rPr>
                <w:rFonts w:ascii="Aptos" w:hAnsi="Aptos"/>
                <w:b/>
                <w:color w:val="111827"/>
                <w:sz w:val="17"/>
              </w:rPr>
              <w:t>Materialization run</w:t>
            </w:r>
          </w:p>
        </w:tc>
        <w:tc>
          <w:tcPr>
            <w:tcW w:type="dxa" w:w="3960"/>
            <w:vAlign w:val="center"/>
            <w:tcMar>
              <w:top w:w="90" w:type="dxa"/>
              <w:start w:w="110" w:type="dxa"/>
              <w:bottom w:w="90" w:type="dxa"/>
              <w:end w:w="110" w:type="dxa"/>
            </w:tcMar>
          </w:tcPr>
          <w:p>
            <w:pPr>
              <w:spacing w:after="0" w:before="0"/>
            </w:pPr>
            <w:r/>
            <w:r>
              <w:rPr>
                <w:rFonts w:ascii="Aptos" w:hAnsi="Aptos"/>
                <w:b w:val="0"/>
                <w:color w:val="111827"/>
                <w:sz w:val="17"/>
              </w:rPr>
              <w:t>Specific execution event</w:t>
            </w:r>
          </w:p>
        </w:tc>
        <w:tc>
          <w:tcPr>
            <w:tcW w:type="dxa" w:w="3240"/>
            <w:vAlign w:val="center"/>
            <w:tcMar>
              <w:top w:w="90" w:type="dxa"/>
              <w:start w:w="110" w:type="dxa"/>
              <w:bottom w:w="90" w:type="dxa"/>
              <w:end w:w="110" w:type="dxa"/>
            </w:tcMar>
          </w:tcPr>
          <w:p>
            <w:pPr>
              <w:spacing w:after="0" w:before="0"/>
            </w:pPr>
            <w:r/>
            <w:r>
              <w:rPr>
                <w:rFonts w:ascii="Aptos" w:hAnsi="Aptos"/>
                <w:b w:val="0"/>
                <w:color w:val="111827"/>
                <w:sz w:val="17"/>
              </w:rPr>
              <w:t>Consumes a source frontier and produces surface versions</w:t>
            </w:r>
          </w:p>
        </w:tc>
      </w:tr>
      <w:tr>
        <w:trPr>
          <w:cantSplit/>
        </w:trPr>
        <w:tc>
          <w:tcPr>
            <w:tcW w:type="dxa" w:w="2664"/>
            <w:vAlign w:val="center"/>
            <w:tcMar>
              <w:top w:w="90" w:type="dxa"/>
              <w:start w:w="110" w:type="dxa"/>
              <w:bottom w:w="90" w:type="dxa"/>
              <w:end w:w="110" w:type="dxa"/>
            </w:tcMar>
            <w:shd w:fill="F8FAFC"/>
          </w:tcPr>
          <w:p>
            <w:pPr>
              <w:spacing w:after="0" w:before="0"/>
            </w:pPr>
            <w:r/>
            <w:r>
              <w:rPr>
                <w:rFonts w:ascii="Aptos" w:hAnsi="Aptos"/>
                <w:b/>
                <w:color w:val="111827"/>
                <w:sz w:val="17"/>
              </w:rPr>
              <w:t>Source frontier</w:t>
            </w:r>
          </w:p>
        </w:tc>
        <w:tc>
          <w:tcPr>
            <w:tcW w:type="dxa" w:w="3960"/>
            <w:vAlign w:val="center"/>
            <w:tcMar>
              <w:top w:w="90" w:type="dxa"/>
              <w:start w:w="110" w:type="dxa"/>
              <w:bottom w:w="90" w:type="dxa"/>
              <w:end w:w="110" w:type="dxa"/>
            </w:tcMar>
            <w:shd w:fill="F8FAFC"/>
          </w:tcPr>
          <w:p>
            <w:pPr>
              <w:spacing w:after="0" w:before="0"/>
            </w:pPr>
            <w:r/>
            <w:r>
              <w:rPr>
                <w:rFonts w:ascii="Aptos" w:hAnsi="Aptos"/>
                <w:b w:val="0"/>
                <w:color w:val="111827"/>
                <w:sz w:val="17"/>
              </w:rPr>
              <w:t>Immutable vector of source versions</w:t>
            </w:r>
          </w:p>
        </w:tc>
        <w:tc>
          <w:tcPr>
            <w:tcW w:type="dxa" w:w="3240"/>
            <w:vAlign w:val="center"/>
            <w:tcMar>
              <w:top w:w="90" w:type="dxa"/>
              <w:start w:w="110" w:type="dxa"/>
              <w:bottom w:w="90" w:type="dxa"/>
              <w:end w:w="110" w:type="dxa"/>
            </w:tcMar>
            <w:shd w:fill="F8FAFC"/>
          </w:tcPr>
          <w:p>
            <w:pPr>
              <w:spacing w:after="0" w:before="0"/>
            </w:pPr>
            <w:r/>
            <w:r>
              <w:rPr>
                <w:rFonts w:ascii="Aptos" w:hAnsi="Aptos"/>
                <w:b w:val="0"/>
                <w:color w:val="111827"/>
                <w:sz w:val="17"/>
              </w:rPr>
              <w:t>Defines the complete input standing of a run</w:t>
            </w:r>
          </w:p>
        </w:tc>
      </w:tr>
      <w:tr>
        <w:trPr>
          <w:cantSplit/>
        </w:trPr>
        <w:tc>
          <w:tcPr>
            <w:tcW w:type="dxa" w:w="2664"/>
            <w:vAlign w:val="center"/>
            <w:tcMar>
              <w:top w:w="90" w:type="dxa"/>
              <w:start w:w="110" w:type="dxa"/>
              <w:bottom w:w="90" w:type="dxa"/>
              <w:end w:w="110" w:type="dxa"/>
            </w:tcMar>
          </w:tcPr>
          <w:p>
            <w:pPr>
              <w:spacing w:after="0" w:before="0"/>
            </w:pPr>
            <w:r/>
            <w:r>
              <w:rPr>
                <w:rFonts w:ascii="Aptos" w:hAnsi="Aptos"/>
                <w:b/>
                <w:color w:val="111827"/>
                <w:sz w:val="17"/>
              </w:rPr>
              <w:t>Surface version</w:t>
            </w:r>
          </w:p>
        </w:tc>
        <w:tc>
          <w:tcPr>
            <w:tcW w:type="dxa" w:w="3960"/>
            <w:vAlign w:val="center"/>
            <w:tcMar>
              <w:top w:w="90" w:type="dxa"/>
              <w:start w:w="110" w:type="dxa"/>
              <w:bottom w:w="90" w:type="dxa"/>
              <w:end w:w="110" w:type="dxa"/>
            </w:tcMar>
          </w:tcPr>
          <w:p>
            <w:pPr>
              <w:spacing w:after="0" w:before="0"/>
            </w:pPr>
            <w:r/>
            <w:r>
              <w:rPr>
                <w:rFonts w:ascii="Aptos" w:hAnsi="Aptos"/>
                <w:b w:val="0"/>
                <w:color w:val="111827"/>
                <w:sz w:val="17"/>
              </w:rPr>
              <w:t>Immutable graph or projection version</w:t>
            </w:r>
          </w:p>
        </w:tc>
        <w:tc>
          <w:tcPr>
            <w:tcW w:type="dxa" w:w="3240"/>
            <w:vAlign w:val="center"/>
            <w:tcMar>
              <w:top w:w="90" w:type="dxa"/>
              <w:start w:w="110" w:type="dxa"/>
              <w:bottom w:w="90" w:type="dxa"/>
              <w:end w:w="110" w:type="dxa"/>
            </w:tcMar>
          </w:tcPr>
          <w:p>
            <w:pPr>
              <w:spacing w:after="0" w:before="0"/>
            </w:pPr>
            <w:r/>
            <w:r>
              <w:rPr>
                <w:rFonts w:ascii="Aptos" w:hAnsi="Aptos"/>
                <w:b w:val="0"/>
                <w:color w:val="111827"/>
                <w:sz w:val="17"/>
              </w:rPr>
              <w:t>Produced by a run and pinned by downstream projections</w:t>
            </w:r>
          </w:p>
        </w:tc>
      </w:tr>
      <w:tr>
        <w:trPr>
          <w:cantSplit/>
        </w:trPr>
        <w:tc>
          <w:tcPr>
            <w:tcW w:type="dxa" w:w="2664"/>
            <w:vAlign w:val="center"/>
            <w:tcMar>
              <w:top w:w="90" w:type="dxa"/>
              <w:start w:w="110" w:type="dxa"/>
              <w:bottom w:w="90" w:type="dxa"/>
              <w:end w:w="110" w:type="dxa"/>
            </w:tcMar>
            <w:shd w:fill="F8FAFC"/>
          </w:tcPr>
          <w:p>
            <w:pPr>
              <w:spacing w:after="0" w:before="0"/>
            </w:pPr>
            <w:r/>
            <w:r>
              <w:rPr>
                <w:rFonts w:ascii="Aptos" w:hAnsi="Aptos"/>
                <w:b/>
                <w:color w:val="111827"/>
                <w:sz w:val="17"/>
              </w:rPr>
              <w:t>Coherence evaluation</w:t>
            </w:r>
          </w:p>
        </w:tc>
        <w:tc>
          <w:tcPr>
            <w:tcW w:type="dxa" w:w="3960"/>
            <w:vAlign w:val="center"/>
            <w:tcMar>
              <w:top w:w="90" w:type="dxa"/>
              <w:start w:w="110" w:type="dxa"/>
              <w:bottom w:w="90" w:type="dxa"/>
              <w:end w:w="110" w:type="dxa"/>
            </w:tcMar>
            <w:shd w:fill="F8FAFC"/>
          </w:tcPr>
          <w:p>
            <w:pPr>
              <w:spacing w:after="0" w:before="0"/>
            </w:pPr>
            <w:r/>
            <w:r>
              <w:rPr>
                <w:rFonts w:ascii="Aptos" w:hAnsi="Aptos"/>
                <w:b w:val="0"/>
                <w:color w:val="111827"/>
                <w:sz w:val="17"/>
              </w:rPr>
              <w:t>Relational assessment of alignment</w:t>
            </w:r>
          </w:p>
        </w:tc>
        <w:tc>
          <w:tcPr>
            <w:tcW w:type="dxa" w:w="3240"/>
            <w:vAlign w:val="center"/>
            <w:tcMar>
              <w:top w:w="90" w:type="dxa"/>
              <w:start w:w="110" w:type="dxa"/>
              <w:bottom w:w="90" w:type="dxa"/>
              <w:end w:w="110" w:type="dxa"/>
            </w:tcMar>
            <w:shd w:fill="F8FAFC"/>
          </w:tcPr>
          <w:p>
            <w:pPr>
              <w:spacing w:after="0" w:before="0"/>
            </w:pPr>
            <w:r/>
            <w:r>
              <w:rPr>
                <w:rFonts w:ascii="Aptos" w:hAnsi="Aptos"/>
                <w:b w:val="0"/>
                <w:color w:val="111827"/>
                <w:sz w:val="17"/>
              </w:rPr>
              <w:t>Compares a subject to a target policy, version, frontier, and fabric</w:t>
            </w:r>
          </w:p>
        </w:tc>
      </w:tr>
    </w:tbl>
    <w:p>
      <w:pPr>
        <w:spacing w:after="0"/>
      </w:pPr>
    </w:p>
    <w:tbl>
      <w:tblPr>
        <w:tblW w:type="auto" w:w="0"/>
        <w:jc w:val="center"/>
        <w:tblLayout w:type="fixed"/>
        <w:tblLook w:firstColumn="1" w:firstRow="1" w:lastColumn="0" w:lastRow="0" w:noHBand="0" w:noVBand="1" w:val="04A0"/>
        <w:tblBorders>
          <w:top w:val="single" w:sz="8" w:space="0" w:color="2C6E72"/>
          <w:left w:val="single" w:sz="8" w:space="0" w:color="2C6E72"/>
          <w:bottom w:val="single" w:sz="8" w:space="0" w:color="2C6E72"/>
          <w:right w:val="single" w:sz="8" w:space="0" w:color="2C6E72"/>
          <w:insideH w:val="single" w:sz="8" w:space="0" w:color="2C6E72"/>
          <w:insideV w:val="single" w:sz="8" w:space="0" w:color="2C6E72"/>
        </w:tblBorders>
      </w:tblPr>
      <w:tblGrid>
        <w:gridCol w:w="9864"/>
      </w:tblGrid>
      <w:tr>
        <w:tc>
          <w:tcPr>
            <w:tcW w:type="dxa" w:w="9994"/>
            <w:shd w:fill="E8F3F2"/>
            <w:tcMar>
              <w:top w:w="150" w:type="dxa"/>
              <w:start w:w="180" w:type="dxa"/>
              <w:bottom w:w="150" w:type="dxa"/>
              <w:end w:w="180" w:type="dxa"/>
            </w:tcMar>
          </w:tcPr>
          <w:p>
            <w:pPr>
              <w:spacing w:after="80"/>
            </w:pPr>
            <w:r>
              <w:rPr>
                <w:rFonts w:ascii="Aptos Display" w:hAnsi="Aptos Display"/>
                <w:b/>
                <w:color w:val="2C6E72"/>
                <w:sz w:val="19"/>
              </w:rPr>
              <w:t>CONTRACT PRINCIPLE</w:t>
            </w:r>
          </w:p>
          <w:p>
            <w:pPr>
              <w:spacing w:after="0" w:line="259" w:lineRule="auto"/>
            </w:pPr>
            <w:r>
              <w:rPr>
                <w:rFonts w:ascii="Aptos" w:hAnsi="Aptos"/>
                <w:color w:val="111827"/>
                <w:sz w:val="20"/>
              </w:rPr>
              <w:t>The identity ledger is the universal mechanism. The L0 part registry, materializer registry, bridge registry, graph-version registry, and L4 identity store should be typed projections of this shared mechanism—not separate identity systems that later require reconciliation.</w:t>
            </w:r>
          </w:p>
        </w:tc>
      </w:tr>
    </w:tbl>
    <w:p>
      <w:pPr>
        <w:spacing w:after="0"/>
      </w:pPr>
    </w:p>
    <w:p>
      <w:pPr>
        <w:pStyle w:val="Heading1"/>
        <w:keepNext/>
      </w:pPr>
      <w:r>
        <w:t>5. Materializer Topology and Process Identity</w:t>
      </w:r>
    </w:p>
    <w:p>
      <w:pPr>
        <w:pStyle w:val="Heading2"/>
        <w:keepNext/>
      </w:pPr>
      <w:r>
        <w:t>5.1 Materializer-of is a relation</w:t>
      </w:r>
    </w:p>
    <w:p>
      <w:pPr>
        <w:spacing w:after="100" w:line="259" w:lineRule="auto"/>
        <w:ind w:left="0"/>
      </w:pPr>
      <w:r>
        <w:rPr>
          <w:rFonts w:ascii="Aptos" w:hAnsi="Aptos"/>
          <w:color w:val="111827"/>
          <w:sz w:val="21"/>
        </w:rPr>
        <w:t>The source audit correctly finds that a script-level property cannot hold the materializer truth. A script may be read-only for one surface, canonical writer for another, and one of several writers for a third. The registry therefore needs explicit many-to-many relations among materializer identities, inputs, outputs, adapters, and owners.</w:t>
      </w:r>
    </w:p>
    <w:p>
      <w:pPr>
        <w:pStyle w:val="Heading2"/>
        <w:keepNext/>
      </w:pPr>
      <w:r>
        <w:t>5.2 Separate the logical materializer, implementation version, and run</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MATERIALIZER SERIAL</w:t>
            </w:r>
            <w:r>
              <w:br/>
            </w:r>
            <w:r>
              <w:rPr>
                <w:rFonts w:ascii="Consolas" w:hAnsi="Consolas"/>
                <w:color w:val="111827"/>
                <w:sz w:val="18"/>
              </w:rPr>
              <w:t xml:space="preserve">  enduring semantic identity of the process</w:t>
            </w:r>
            <w:r>
              <w:br/>
            </w:r>
            <w:r>
              <w:rPr>
                <w:rFonts w:ascii="Consolas" w:hAnsi="Consolas"/>
                <w:color w:val="111827"/>
                <w:sz w:val="18"/>
              </w:rPr>
            </w:r>
            <w:r>
              <w:br/>
            </w:r>
            <w:r>
              <w:rPr>
                <w:rFonts w:ascii="Consolas" w:hAnsi="Consolas"/>
                <w:color w:val="111827"/>
                <w:sz w:val="18"/>
              </w:rPr>
              <w:t>MATERIALIZER VERSION</w:t>
            </w:r>
            <w:r>
              <w:br/>
            </w:r>
            <w:r>
              <w:rPr>
                <w:rFonts w:ascii="Consolas" w:hAnsi="Consolas"/>
                <w:color w:val="111827"/>
                <w:sz w:val="18"/>
              </w:rPr>
              <w:t xml:space="preserve">  immutable execution bundle:</w:t>
            </w:r>
            <w:r>
              <w:br/>
            </w:r>
            <w:r>
              <w:rPr>
                <w:rFonts w:ascii="Consolas" w:hAnsi="Consolas"/>
                <w:color w:val="111827"/>
                <w:sz w:val="18"/>
              </w:rPr>
              <w:t xml:space="preserve">  source tree + dependencies + configuration + opinion contract</w:t>
            </w:r>
            <w:r>
              <w:br/>
            </w:r>
            <w:r>
              <w:rPr>
                <w:rFonts w:ascii="Consolas" w:hAnsi="Consolas"/>
                <w:color w:val="111827"/>
                <w:sz w:val="18"/>
              </w:rPr>
              <w:t xml:space="preserve">  + normalizers + runtime contract</w:t>
            </w:r>
            <w:r>
              <w:br/>
            </w:r>
            <w:r>
              <w:rPr>
                <w:rFonts w:ascii="Consolas" w:hAnsi="Consolas"/>
                <w:color w:val="111827"/>
                <w:sz w:val="18"/>
              </w:rPr>
            </w:r>
            <w:r>
              <w:br/>
            </w:r>
            <w:r>
              <w:rPr>
                <w:rFonts w:ascii="Consolas" w:hAnsi="Consolas"/>
                <w:color w:val="111827"/>
                <w:sz w:val="18"/>
              </w:rPr>
              <w:t>MATERIALIZATION RUN</w:t>
            </w:r>
            <w:r>
              <w:br/>
            </w:r>
            <w:r>
              <w:rPr>
                <w:rFonts w:ascii="Consolas" w:hAnsi="Consolas"/>
                <w:color w:val="111827"/>
                <w:sz w:val="18"/>
              </w:rPr>
              <w:t xml:space="preserve">  one execution on one fabric against one source frontier,</w:t>
            </w:r>
            <w:r>
              <w:br/>
            </w:r>
            <w:r>
              <w:rPr>
                <w:rFonts w:ascii="Consolas" w:hAnsi="Consolas"/>
                <w:color w:val="111827"/>
                <w:sz w:val="18"/>
              </w:rPr>
              <w:t xml:space="preserve">  producing one or more immutable surface versions</w:t>
            </w:r>
          </w:p>
        </w:tc>
      </w:tr>
    </w:tbl>
    <w:p>
      <w:pPr>
        <w:spacing w:after="0"/>
      </w:pPr>
    </w:p>
    <w:p>
      <w:pPr>
        <w:spacing w:after="100" w:line="259" w:lineRule="auto"/>
        <w:ind w:left="0"/>
      </w:pPr>
      <w:r>
        <w:rPr>
          <w:rFonts w:ascii="Aptos" w:hAnsi="Aptos"/>
          <w:color w:val="111827"/>
          <w:sz w:val="21"/>
        </w:rPr>
        <w:t>The implementation digest should not be the hash of one Python file. It must cover the execution behavior that can affect output: imported code, dependency lock, configuration, feature flags, normalization methods, substrate adapter versions, and declared opinions.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materializer_version_digest = H(</w:t>
            </w:r>
            <w:r>
              <w:br/>
            </w:r>
            <w:r>
              <w:rPr>
                <w:rFonts w:ascii="Consolas" w:hAnsi="Consolas"/>
                <w:color w:val="111827"/>
                <w:sz w:val="18"/>
              </w:rPr>
              <w:t xml:space="preserve">    source_tree_digest,</w:t>
            </w:r>
            <w:r>
              <w:br/>
            </w:r>
            <w:r>
              <w:rPr>
                <w:rFonts w:ascii="Consolas" w:hAnsi="Consolas"/>
                <w:color w:val="111827"/>
                <w:sz w:val="18"/>
              </w:rPr>
              <w:t xml:space="preserve">    dependency_lock_digest,</w:t>
            </w:r>
            <w:r>
              <w:br/>
            </w:r>
            <w:r>
              <w:rPr>
                <w:rFonts w:ascii="Consolas" w:hAnsi="Consolas"/>
                <w:color w:val="111827"/>
                <w:sz w:val="18"/>
              </w:rPr>
              <w:t xml:space="preserve">    configuration_digest,</w:t>
            </w:r>
            <w:r>
              <w:br/>
            </w:r>
            <w:r>
              <w:rPr>
                <w:rFonts w:ascii="Consolas" w:hAnsi="Consolas"/>
                <w:color w:val="111827"/>
                <w:sz w:val="18"/>
              </w:rPr>
              <w:t xml:space="preserve">    declared_opinions_digest,</w:t>
            </w:r>
            <w:r>
              <w:br/>
            </w:r>
            <w:r>
              <w:rPr>
                <w:rFonts w:ascii="Consolas" w:hAnsi="Consolas"/>
                <w:color w:val="111827"/>
                <w:sz w:val="18"/>
              </w:rPr>
              <w:t xml:space="preserve">    normalizer_versions,</w:t>
            </w:r>
            <w:r>
              <w:br/>
            </w:r>
            <w:r>
              <w:rPr>
                <w:rFonts w:ascii="Consolas" w:hAnsi="Consolas"/>
                <w:color w:val="111827"/>
                <w:sz w:val="18"/>
              </w:rPr>
              <w:t xml:space="preserve">    runtime_contract_version</w:t>
            </w:r>
            <w:r>
              <w:br/>
            </w:r>
            <w:r>
              <w:rPr>
                <w:rFonts w:ascii="Consolas" w:hAnsi="Consolas"/>
                <w:color w:val="111827"/>
                <w:sz w:val="18"/>
              </w:rPr>
              <w:t>)</w:t>
            </w:r>
          </w:p>
        </w:tc>
      </w:tr>
    </w:tbl>
    <w:p>
      <w:pPr>
        <w:spacing w:after="0"/>
      </w:pPr>
    </w:p>
    <w:p>
      <w:pPr>
        <w:pStyle w:val="Heading2"/>
        <w:keepNext/>
      </w:pPr>
      <w:r>
        <w:t>5.3 Interpret “one canonical materializer per layer” correctly</w:t>
      </w:r>
    </w:p>
    <w:p>
      <w:pPr>
        <w:spacing w:after="100" w:line="259" w:lineRule="auto"/>
        <w:ind w:left="0"/>
      </w:pPr>
      <w:r>
        <w:rPr>
          <w:rFonts w:ascii="Aptos" w:hAnsi="Aptos"/>
          <w:color w:val="111827"/>
          <w:sz w:val="21"/>
        </w:rPr>
        <w:t>The requirement should mean one canonical semantic materializer identity and contract for each layer, with versioned implementation bundles and substrate-specific adapters. It should not force one monolithic physical executable. This preserves semantic singularity without re-creating the current C2/C3 monolith.</w:t>
      </w:r>
    </w:p>
    <w:p>
      <w:pPr>
        <w:pStyle w:val="Heading2"/>
        <w:keepNext/>
      </w:pPr>
      <w:r>
        <w:t>5.4 Declared opinions are part of the implementation identity</w:t>
      </w:r>
    </w:p>
    <w:p>
      <w:pPr>
        <w:spacing w:after="100" w:line="259" w:lineRule="auto"/>
        <w:ind w:left="0"/>
      </w:pPr>
      <w:r>
        <w:rPr>
          <w:rFonts w:ascii="Aptos" w:hAnsi="Aptos"/>
          <w:color w:val="111827"/>
          <w:sz w:val="21"/>
        </w:rPr>
        <w:t>A materializer can be current by time and still encode deprecated semantic choices. Therefore filters, thresholds, exclusions, defaults, and definitional decisions must be versioned as an opinion contract and included in the materializer version. The current state—an empty-but-legal declared_opinions field—cannot support a claim of opinion-free rebuilding.</w:t>
      </w:r>
    </w:p>
    <w:p>
      <w:pPr>
        <w:pStyle w:val="Heading1"/>
        <w:keepNext/>
      </w:pPr>
      <w:r>
        <w:t>6. Rule 26 and Cross-Surface Coherence</w:t>
      </w:r>
    </w:p>
    <w:p>
      <w:pPr>
        <w:pStyle w:val="Heading2"/>
        <w:keepNext/>
      </w:pPr>
      <w:r>
        <w:t>6.1 Rule 26 governs derivation locality</w:t>
      </w:r>
    </w:p>
    <w:p>
      <w:pPr>
        <w:spacing w:after="100" w:line="259" w:lineRule="auto"/>
        <w:ind w:left="0"/>
      </w:pPr>
      <w:r>
        <w:rPr>
          <w:rFonts w:ascii="Aptos" w:hAnsi="Aptos"/>
          <w:color w:val="111827"/>
          <w:sz w:val="21"/>
        </w:rPr>
        <w:t>Rule 26 generalizes from applies to derivations: the fabric that owns the substrate must run the derivation. A site-Z fusion must not silently consume a laptop-local .comp-graph or Kuzu surface. Every observation and every materialization run therefore records its fabric, and every downstream surface records the source observations and device context that fed it.</w:t>
      </w:r>
    </w:p>
    <w:p>
      <w:pPr>
        <w:pStyle w:val="Heading2"/>
        <w:keepNext/>
      </w:pPr>
      <w:r>
        <w:t>6.2 Use a source frontier, not one upstream head</w:t>
      </w:r>
    </w:p>
    <w:p>
      <w:pPr>
        <w:spacing w:after="100" w:line="259" w:lineRule="auto"/>
        <w:ind w:left="0"/>
      </w:pPr>
      <w:r>
        <w:rPr>
          <w:rFonts w:ascii="Aptos" w:hAnsi="Aptos"/>
          <w:color w:val="111827"/>
          <w:sz w:val="21"/>
        </w:rPr>
        <w:t>A compiled graph is rarely derived from one version. It consumes a vector of authorities and observations: Git commit, AWS observation batch, Iceberg snapshots, Nessie refs, local graph state, and runtime logs. That vector is the source frontier.</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SOURCE FRONTIER F_n</w:t>
            </w:r>
            <w:r>
              <w:br/>
            </w:r>
            <w:r>
              <w:rPr>
                <w:rFonts w:ascii="Consolas" w:hAnsi="Consolas"/>
                <w:color w:val="111827"/>
                <w:sz w:val="18"/>
              </w:rPr>
              <w:t xml:space="preserve">        +</w:t>
            </w:r>
            <w:r>
              <w:br/>
            </w:r>
            <w:r>
              <w:rPr>
                <w:rFonts w:ascii="Consolas" w:hAnsi="Consolas"/>
                <w:color w:val="111827"/>
                <w:sz w:val="18"/>
              </w:rPr>
              <w:t>MATERIALIZER VERSION M_v</w:t>
            </w:r>
            <w:r>
              <w:br/>
            </w:r>
            <w:r>
              <w:rPr>
                <w:rFonts w:ascii="Consolas" w:hAnsi="Consolas"/>
                <w:color w:val="111827"/>
                <w:sz w:val="18"/>
              </w:rPr>
              <w:t xml:space="preserve">        +</w:t>
            </w:r>
            <w:r>
              <w:br/>
            </w:r>
            <w:r>
              <w:rPr>
                <w:rFonts w:ascii="Consolas" w:hAnsi="Consolas"/>
                <w:color w:val="111827"/>
                <w:sz w:val="18"/>
              </w:rPr>
              <w:t>DECLARED OPINION CONTRACT O_v</w:t>
            </w:r>
            <w:r>
              <w:br/>
            </w:r>
            <w:r>
              <w:rPr>
                <w:rFonts w:ascii="Consolas" w:hAnsi="Consolas"/>
                <w:color w:val="111827"/>
                <w:sz w:val="18"/>
              </w:rPr>
              <w:t xml:space="preserve">        ↓</w:t>
            </w:r>
            <w:r>
              <w:br/>
            </w:r>
            <w:r>
              <w:rPr>
                <w:rFonts w:ascii="Consolas" w:hAnsi="Consolas"/>
                <w:color w:val="111827"/>
                <w:sz w:val="18"/>
              </w:rPr>
              <w:t>CANONICAL GRAPH VERSION G_n</w:t>
            </w:r>
            <w:r>
              <w:br/>
            </w:r>
            <w:r>
              <w:rPr>
                <w:rFonts w:ascii="Consolas" w:hAnsi="Consolas"/>
                <w:color w:val="111827"/>
                <w:sz w:val="18"/>
              </w:rPr>
              <w:t xml:space="preserve">        ↓</w:t>
            </w:r>
            <w:r>
              <w:br/>
            </w:r>
            <w:r>
              <w:rPr>
                <w:rFonts w:ascii="Consolas" w:hAnsi="Consolas"/>
                <w:color w:val="111827"/>
                <w:sz w:val="18"/>
              </w:rPr>
              <w:t>NESSIE REF publishes G_n as current</w:t>
            </w:r>
            <w:r>
              <w:br/>
            </w:r>
            <w:r>
              <w:rPr>
                <w:rFonts w:ascii="Consolas" w:hAnsi="Consolas"/>
                <w:color w:val="111827"/>
                <w:sz w:val="18"/>
              </w:rPr>
              <w:t xml:space="preserve">        ↓</w:t>
            </w:r>
            <w:r>
              <w:br/>
            </w:r>
            <w:r>
              <w:rPr>
                <w:rFonts w:ascii="Consolas" w:hAnsi="Consolas"/>
                <w:color w:val="111827"/>
                <w:sz w:val="18"/>
              </w:rPr>
              <w:t>KUZU PROJECTION K_n</w:t>
            </w:r>
            <w:r>
              <w:br/>
            </w:r>
            <w:r>
              <w:rPr>
                <w:rFonts w:ascii="Consolas" w:hAnsi="Consolas"/>
                <w:color w:val="111827"/>
                <w:sz w:val="18"/>
              </w:rPr>
              <w:t>pinned to G_n and projection materializer P_v</w:t>
            </w:r>
          </w:p>
        </w:tc>
      </w:tr>
    </w:tbl>
    <w:p>
      <w:pPr>
        <w:spacing w:after="0"/>
      </w:pPr>
    </w:p>
    <w:p>
      <w:pPr>
        <w:pStyle w:val="Heading2"/>
        <w:keepNext/>
      </w:pPr>
      <w:r>
        <w:t>6.3 State carriers have different authority classes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2520"/>
        <w:gridCol w:w="2376"/>
        <w:gridCol w:w="4968"/>
      </w:tblGrid>
      <w:tr>
        <w:trPr>
          <w:tblHeader w:val="true"/>
          <w:cantSplit/>
        </w:trPr>
        <w:tc>
          <w:tcPr>
            <w:tcW w:type="dxa" w:w="3331"/>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Carrier</w:t>
            </w:r>
          </w:p>
        </w:tc>
        <w:tc>
          <w:tcPr>
            <w:tcW w:type="dxa" w:w="3331"/>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Authority class</w:t>
            </w:r>
          </w:p>
        </w:tc>
        <w:tc>
          <w:tcPr>
            <w:tcW w:type="dxa" w:w="3331"/>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Required rule</w:t>
            </w:r>
          </w:p>
        </w:tc>
      </w:tr>
      <w:tr>
        <w:trPr>
          <w:cantSplit/>
        </w:trPr>
        <w:tc>
          <w:tcPr>
            <w:tcW w:type="dxa" w:w="2520"/>
            <w:vAlign w:val="center"/>
            <w:tcMar>
              <w:top w:w="90" w:type="dxa"/>
              <w:start w:w="110" w:type="dxa"/>
              <w:bottom w:w="90" w:type="dxa"/>
              <w:end w:w="110" w:type="dxa"/>
            </w:tcMar>
          </w:tcPr>
          <w:p>
            <w:pPr>
              <w:spacing w:after="0" w:before="0"/>
            </w:pPr>
            <w:r/>
            <w:r>
              <w:rPr>
                <w:rFonts w:ascii="Aptos" w:hAnsi="Aptos"/>
                <w:b/>
                <w:color w:val="111827"/>
                <w:sz w:val="17"/>
              </w:rPr>
              <w:t>C0 fact / state observations</w:t>
            </w:r>
          </w:p>
        </w:tc>
        <w:tc>
          <w:tcPr>
            <w:tcW w:type="dxa" w:w="2376"/>
            <w:vAlign w:val="center"/>
            <w:tcMar>
              <w:top w:w="90" w:type="dxa"/>
              <w:start w:w="110" w:type="dxa"/>
              <w:bottom w:w="90" w:type="dxa"/>
              <w:end w:w="110" w:type="dxa"/>
            </w:tcMar>
          </w:tcPr>
          <w:p>
            <w:pPr>
              <w:spacing w:after="0" w:before="0"/>
            </w:pPr>
            <w:r/>
            <w:r>
              <w:rPr>
                <w:rFonts w:ascii="Aptos" w:hAnsi="Aptos"/>
                <w:b w:val="0"/>
                <w:color w:val="111827"/>
                <w:sz w:val="17"/>
              </w:rPr>
              <w:t>Append-only evidence</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7"/>
              </w:rPr>
              <w:t>Latest is contextual by source, serial, fabric, method, and vintage</w:t>
            </w:r>
          </w:p>
        </w:tc>
      </w:tr>
      <w:tr>
        <w:trPr>
          <w:cantSplit/>
        </w:trPr>
        <w:tc>
          <w:tcPr>
            <w:tcW w:type="dxa" w:w="2520"/>
            <w:vAlign w:val="center"/>
            <w:tcMar>
              <w:top w:w="90" w:type="dxa"/>
              <w:start w:w="110" w:type="dxa"/>
              <w:bottom w:w="90" w:type="dxa"/>
              <w:end w:w="110" w:type="dxa"/>
            </w:tcMar>
            <w:shd w:fill="F8FAFC"/>
          </w:tcPr>
          <w:p>
            <w:pPr>
              <w:spacing w:after="0" w:before="0"/>
            </w:pPr>
            <w:r/>
            <w:r>
              <w:rPr>
                <w:rFonts w:ascii="Aptos" w:hAnsi="Aptos"/>
                <w:b/>
                <w:color w:val="111827"/>
                <w:sz w:val="17"/>
              </w:rPr>
              <w:t>Iceberg / Nessie graph</w:t>
            </w:r>
          </w:p>
        </w:tc>
        <w:tc>
          <w:tcPr>
            <w:tcW w:type="dxa" w:w="2376"/>
            <w:vAlign w:val="center"/>
            <w:tcMar>
              <w:top w:w="90" w:type="dxa"/>
              <w:start w:w="110" w:type="dxa"/>
              <w:bottom w:w="90" w:type="dxa"/>
              <w:end w:w="110" w:type="dxa"/>
            </w:tcMar>
            <w:shd w:fill="F8FAFC"/>
          </w:tcPr>
          <w:p>
            <w:pPr>
              <w:spacing w:after="0" w:before="0"/>
            </w:pPr>
            <w:r/>
            <w:r>
              <w:rPr>
                <w:rFonts w:ascii="Aptos" w:hAnsi="Aptos"/>
                <w:b w:val="0"/>
                <w:color w:val="111827"/>
                <w:sz w:val="17"/>
              </w:rPr>
              <w:t>Versioned authority</w:t>
            </w:r>
          </w:p>
        </w:tc>
        <w:tc>
          <w:tcPr>
            <w:tcW w:type="dxa" w:w="4968"/>
            <w:vAlign w:val="center"/>
            <w:tcMar>
              <w:top w:w="90" w:type="dxa"/>
              <w:start w:w="110" w:type="dxa"/>
              <w:bottom w:w="90" w:type="dxa"/>
              <w:end w:w="110" w:type="dxa"/>
            </w:tcMar>
            <w:shd w:fill="F8FAFC"/>
          </w:tcPr>
          <w:p>
            <w:pPr>
              <w:spacing w:after="0" w:before="0"/>
            </w:pPr>
            <w:r/>
            <w:r>
              <w:rPr>
                <w:rFonts w:ascii="Aptos" w:hAnsi="Aptos"/>
                <w:b w:val="0"/>
                <w:color w:val="111827"/>
                <w:sz w:val="17"/>
              </w:rPr>
              <w:t>Current is adjudicated by refs; immutable versions remain addressable</w:t>
            </w:r>
          </w:p>
        </w:tc>
      </w:tr>
      <w:tr>
        <w:trPr>
          <w:cantSplit/>
        </w:trPr>
        <w:tc>
          <w:tcPr>
            <w:tcW w:type="dxa" w:w="2520"/>
            <w:vAlign w:val="center"/>
            <w:tcMar>
              <w:top w:w="90" w:type="dxa"/>
              <w:start w:w="110" w:type="dxa"/>
              <w:bottom w:w="90" w:type="dxa"/>
              <w:end w:w="110" w:type="dxa"/>
            </w:tcMar>
          </w:tcPr>
          <w:p>
            <w:pPr>
              <w:spacing w:after="0" w:before="0"/>
            </w:pPr>
            <w:r/>
            <w:r>
              <w:rPr>
                <w:rFonts w:ascii="Aptos" w:hAnsi="Aptos"/>
                <w:b/>
                <w:color w:val="111827"/>
                <w:sz w:val="17"/>
              </w:rPr>
              <w:t>Kuzu graph</w:t>
            </w:r>
          </w:p>
        </w:tc>
        <w:tc>
          <w:tcPr>
            <w:tcW w:type="dxa" w:w="2376"/>
            <w:vAlign w:val="center"/>
            <w:tcMar>
              <w:top w:w="90" w:type="dxa"/>
              <w:start w:w="110" w:type="dxa"/>
              <w:bottom w:w="90" w:type="dxa"/>
              <w:end w:w="110" w:type="dxa"/>
            </w:tcMar>
          </w:tcPr>
          <w:p>
            <w:pPr>
              <w:spacing w:after="0" w:before="0"/>
            </w:pPr>
            <w:r/>
            <w:r>
              <w:rPr>
                <w:rFonts w:ascii="Aptos" w:hAnsi="Aptos"/>
                <w:b w:val="0"/>
                <w:color w:val="111827"/>
                <w:sz w:val="17"/>
              </w:rPr>
              <w:t>Disposable device-local projection</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7"/>
              </w:rPr>
              <w:t>Must carry its source graph pin, materializer version, fabric, and build receipt</w:t>
            </w:r>
          </w:p>
        </w:tc>
      </w:tr>
    </w:tbl>
    <w:p>
      <w:pPr>
        <w:spacing w:after="0"/>
      </w:pPr>
    </w:p>
    <w:p>
      <w:pPr>
        <w:pStyle w:val="Heading2"/>
        <w:keepNext/>
      </w:pPr>
      <w:r>
        <w:t>6.4 Coherence is a relation, not one mutable status</w:t>
      </w:r>
    </w:p>
    <w:p>
      <w:pPr>
        <w:spacing w:after="100" w:line="259" w:lineRule="auto"/>
        <w:ind w:left="0"/>
      </w:pPr>
      <w:r>
        <w:rPr>
          <w:rFonts w:ascii="Aptos" w:hAnsi="Aptos"/>
          <w:color w:val="111827"/>
          <w:sz w:val="21"/>
        </w:rPr>
        <w:t>A Kuzu projection is not intrinsically coherent or incoherent. It is coherent with respect to a declared target graph version, source frontier, materializer version, fabric, and target policy. Issue 3B should emit a coherence evaluation with separate axes: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2376"/>
        <w:gridCol w:w="7488"/>
      </w:tblGrid>
      <w:tr>
        <w:trPr>
          <w:tblHeader w:val="true"/>
          <w:cantSplit/>
        </w:trPr>
        <w:tc>
          <w:tcPr>
            <w:tcW w:type="dxa" w:w="4997"/>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Axis</w:t>
            </w:r>
          </w:p>
        </w:tc>
        <w:tc>
          <w:tcPr>
            <w:tcW w:type="dxa" w:w="4997"/>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Suggested values</w:t>
            </w:r>
          </w:p>
        </w:tc>
      </w:tr>
      <w:tr>
        <w:trPr>
          <w:cantSplit/>
        </w:trPr>
        <w:tc>
          <w:tcPr>
            <w:tcW w:type="dxa" w:w="2376"/>
            <w:vAlign w:val="center"/>
            <w:tcMar>
              <w:top w:w="90" w:type="dxa"/>
              <w:start w:w="110" w:type="dxa"/>
              <w:bottom w:w="90" w:type="dxa"/>
              <w:end w:w="110" w:type="dxa"/>
            </w:tcMar>
          </w:tcPr>
          <w:p>
            <w:pPr>
              <w:spacing w:after="0" w:before="0"/>
            </w:pPr>
            <w:r/>
            <w:r>
              <w:rPr>
                <w:rFonts w:ascii="Aptos" w:hAnsi="Aptos"/>
                <w:b/>
                <w:color w:val="111827"/>
                <w:sz w:val="17"/>
              </w:rPr>
              <w:t>Availability</w:t>
            </w:r>
          </w:p>
        </w:tc>
        <w:tc>
          <w:tcPr>
            <w:tcW w:type="dxa" w:w="7488"/>
            <w:vAlign w:val="center"/>
            <w:tcMar>
              <w:top w:w="90" w:type="dxa"/>
              <w:start w:w="110" w:type="dxa"/>
              <w:bottom w:w="90" w:type="dxa"/>
              <w:end w:w="110" w:type="dxa"/>
            </w:tcMar>
          </w:tcPr>
          <w:p>
            <w:pPr>
              <w:spacing w:after="0" w:before="0"/>
            </w:pPr>
            <w:r/>
            <w:r>
              <w:rPr>
                <w:rFonts w:ascii="Aptos" w:hAnsi="Aptos"/>
                <w:b w:val="0"/>
                <w:color w:val="111827"/>
                <w:sz w:val="17"/>
              </w:rPr>
              <w:t>AVAILABLE · PARTIAL · UNAVAILABLE</w:t>
            </w:r>
          </w:p>
        </w:tc>
      </w:tr>
      <w:tr>
        <w:trPr>
          <w:cantSplit/>
        </w:trPr>
        <w:tc>
          <w:tcPr>
            <w:tcW w:type="dxa" w:w="2376"/>
            <w:vAlign w:val="center"/>
            <w:tcMar>
              <w:top w:w="90" w:type="dxa"/>
              <w:start w:w="110" w:type="dxa"/>
              <w:bottom w:w="90" w:type="dxa"/>
              <w:end w:w="110" w:type="dxa"/>
            </w:tcMar>
            <w:shd w:fill="F8FAFC"/>
          </w:tcPr>
          <w:p>
            <w:pPr>
              <w:spacing w:after="0" w:before="0"/>
            </w:pPr>
            <w:r/>
            <w:r>
              <w:rPr>
                <w:rFonts w:ascii="Aptos" w:hAnsi="Aptos"/>
                <w:b/>
                <w:color w:val="111827"/>
                <w:sz w:val="17"/>
              </w:rPr>
              <w:t>Integrity</w:t>
            </w:r>
          </w:p>
        </w:tc>
        <w:tc>
          <w:tcPr>
            <w:tcW w:type="dxa" w:w="7488"/>
            <w:vAlign w:val="center"/>
            <w:tcMar>
              <w:top w:w="90" w:type="dxa"/>
              <w:start w:w="110" w:type="dxa"/>
              <w:bottom w:w="90" w:type="dxa"/>
              <w:end w:w="110" w:type="dxa"/>
            </w:tcMar>
            <w:shd w:fill="F8FAFC"/>
          </w:tcPr>
          <w:p>
            <w:pPr>
              <w:spacing w:after="0" w:before="0"/>
            </w:pPr>
            <w:r/>
            <w:r>
              <w:rPr>
                <w:rFonts w:ascii="Aptos" w:hAnsi="Aptos"/>
                <w:b w:val="0"/>
                <w:color w:val="111827"/>
                <w:sz w:val="17"/>
              </w:rPr>
              <w:t>VERIFIED · MISMATCH · UNVERIFIED</w:t>
            </w:r>
          </w:p>
        </w:tc>
      </w:tr>
      <w:tr>
        <w:trPr>
          <w:cantSplit/>
        </w:trPr>
        <w:tc>
          <w:tcPr>
            <w:tcW w:type="dxa" w:w="2376"/>
            <w:vAlign w:val="center"/>
            <w:tcMar>
              <w:top w:w="90" w:type="dxa"/>
              <w:start w:w="110" w:type="dxa"/>
              <w:bottom w:w="90" w:type="dxa"/>
              <w:end w:w="110" w:type="dxa"/>
            </w:tcMar>
          </w:tcPr>
          <w:p>
            <w:pPr>
              <w:spacing w:after="0" w:before="0"/>
            </w:pPr>
            <w:r/>
            <w:r>
              <w:rPr>
                <w:rFonts w:ascii="Aptos" w:hAnsi="Aptos"/>
                <w:b/>
                <w:color w:val="111827"/>
                <w:sz w:val="17"/>
              </w:rPr>
              <w:t>Currency</w:t>
            </w:r>
          </w:p>
        </w:tc>
        <w:tc>
          <w:tcPr>
            <w:tcW w:type="dxa" w:w="7488"/>
            <w:vAlign w:val="center"/>
            <w:tcMar>
              <w:top w:w="90" w:type="dxa"/>
              <w:start w:w="110" w:type="dxa"/>
              <w:bottom w:w="90" w:type="dxa"/>
              <w:end w:w="110" w:type="dxa"/>
            </w:tcMar>
          </w:tcPr>
          <w:p>
            <w:pPr>
              <w:spacing w:after="0" w:before="0"/>
            </w:pPr>
            <w:r/>
            <w:r>
              <w:rPr>
                <w:rFonts w:ascii="Aptos" w:hAnsi="Aptos"/>
                <w:b w:val="0"/>
                <w:color w:val="111827"/>
                <w:sz w:val="17"/>
              </w:rPr>
              <w:t>AT_TARGET · BEHIND_TARGET · AHEAD_OF_TARGET · UNKNOWN</w:t>
            </w:r>
          </w:p>
        </w:tc>
      </w:tr>
      <w:tr>
        <w:trPr>
          <w:cantSplit/>
        </w:trPr>
        <w:tc>
          <w:tcPr>
            <w:tcW w:type="dxa" w:w="2376"/>
            <w:vAlign w:val="center"/>
            <w:tcMar>
              <w:top w:w="90" w:type="dxa"/>
              <w:start w:w="110" w:type="dxa"/>
              <w:bottom w:w="90" w:type="dxa"/>
              <w:end w:w="110" w:type="dxa"/>
            </w:tcMar>
            <w:shd w:fill="F8FAFC"/>
          </w:tcPr>
          <w:p>
            <w:pPr>
              <w:spacing w:after="0" w:before="0"/>
            </w:pPr>
            <w:r/>
            <w:r>
              <w:rPr>
                <w:rFonts w:ascii="Aptos" w:hAnsi="Aptos"/>
                <w:b/>
                <w:color w:val="111827"/>
                <w:sz w:val="17"/>
              </w:rPr>
              <w:t>Provenance</w:t>
            </w:r>
          </w:p>
        </w:tc>
        <w:tc>
          <w:tcPr>
            <w:tcW w:type="dxa" w:w="7488"/>
            <w:vAlign w:val="center"/>
            <w:tcMar>
              <w:top w:w="90" w:type="dxa"/>
              <w:start w:w="110" w:type="dxa"/>
              <w:bottom w:w="90" w:type="dxa"/>
              <w:end w:w="110" w:type="dxa"/>
            </w:tcMar>
            <w:shd w:fill="F8FAFC"/>
          </w:tcPr>
          <w:p>
            <w:pPr>
              <w:spacing w:after="0" w:before="0"/>
            </w:pPr>
            <w:r/>
            <w:r>
              <w:rPr>
                <w:rFonts w:ascii="Aptos" w:hAnsi="Aptos"/>
                <w:b w:val="0"/>
                <w:color w:val="111827"/>
                <w:sz w:val="17"/>
              </w:rPr>
              <w:t>COMPLETE · INCOMPLETE · UNRESOLVED</w:t>
            </w:r>
          </w:p>
        </w:tc>
      </w:tr>
      <w:tr>
        <w:trPr>
          <w:cantSplit/>
        </w:trPr>
        <w:tc>
          <w:tcPr>
            <w:tcW w:type="dxa" w:w="2376"/>
            <w:vAlign w:val="center"/>
            <w:tcMar>
              <w:top w:w="90" w:type="dxa"/>
              <w:start w:w="110" w:type="dxa"/>
              <w:bottom w:w="90" w:type="dxa"/>
              <w:end w:w="110" w:type="dxa"/>
            </w:tcMar>
          </w:tcPr>
          <w:p>
            <w:pPr>
              <w:spacing w:after="0" w:before="0"/>
            </w:pPr>
            <w:r/>
            <w:r>
              <w:rPr>
                <w:rFonts w:ascii="Aptos" w:hAnsi="Aptos"/>
                <w:b/>
                <w:color w:val="111827"/>
                <w:sz w:val="17"/>
              </w:rPr>
              <w:t>Fabric validity</w:t>
            </w:r>
          </w:p>
        </w:tc>
        <w:tc>
          <w:tcPr>
            <w:tcW w:type="dxa" w:w="7488"/>
            <w:vAlign w:val="center"/>
            <w:tcMar>
              <w:top w:w="90" w:type="dxa"/>
              <w:start w:w="110" w:type="dxa"/>
              <w:bottom w:w="90" w:type="dxa"/>
              <w:end w:w="110" w:type="dxa"/>
            </w:tcMar>
          </w:tcPr>
          <w:p>
            <w:pPr>
              <w:spacing w:after="0" w:before="0"/>
            </w:pPr>
            <w:r/>
            <w:r>
              <w:rPr>
                <w:rFonts w:ascii="Aptos" w:hAnsi="Aptos"/>
                <w:b w:val="0"/>
                <w:color w:val="111827"/>
                <w:sz w:val="17"/>
              </w:rPr>
              <w:t>VALID_FOR_FABRIC · FOREIGN_FABRIC · UNKNOWN</w:t>
            </w:r>
          </w:p>
        </w:tc>
      </w:tr>
    </w:tbl>
    <w:p>
      <w:pPr>
        <w:spacing w:after="0"/>
      </w:pPr>
    </w:p>
    <w:p>
      <w:pPr>
        <w:spacing w:after="100" w:line="259" w:lineRule="auto"/>
        <w:ind w:left="0"/>
      </w:pPr>
      <w:r>
        <w:rPr>
          <w:rFonts w:ascii="Aptos" w:hAnsi="Aptos"/>
          <w:color w:val="111827"/>
          <w:sz w:val="21"/>
        </w:rPr>
        <w:t>The evaluation must also declare its target policy. “Behind latest” is not always defective: a projection may be intentionally pinned to a declared release or historical replay.</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TARGET POLICY</w:t>
            </w:r>
            <w:r>
              <w:br/>
            </w:r>
            <w:r>
              <w:rPr>
                <w:rFonts w:ascii="Consolas" w:hAnsi="Consolas"/>
                <w:color w:val="111827"/>
                <w:sz w:val="18"/>
              </w:rPr>
              <w:t xml:space="preserve">  LATEST_AUTHORITY</w:t>
            </w:r>
            <w:r>
              <w:br/>
            </w:r>
            <w:r>
              <w:rPr>
                <w:rFonts w:ascii="Consolas" w:hAnsi="Consolas"/>
                <w:color w:val="111827"/>
                <w:sz w:val="18"/>
              </w:rPr>
              <w:t xml:space="preserve">  DECLARED_RELEASE</w:t>
            </w:r>
            <w:r>
              <w:br/>
            </w:r>
            <w:r>
              <w:rPr>
                <w:rFonts w:ascii="Consolas" w:hAnsi="Consolas"/>
                <w:color w:val="111827"/>
                <w:sz w:val="18"/>
              </w:rPr>
              <w:t xml:space="preserve">  AS_OF_FRONTIER</w:t>
            </w:r>
            <w:r>
              <w:br/>
            </w:r>
            <w:r>
              <w:rPr>
                <w:rFonts w:ascii="Consolas" w:hAnsi="Consolas"/>
                <w:color w:val="111827"/>
                <w:sz w:val="18"/>
              </w:rPr>
              <w:t xml:space="preserve">  HISTORICAL_REPLAY</w:t>
            </w:r>
          </w:p>
        </w:tc>
      </w:tr>
    </w:tbl>
    <w:p>
      <w:pPr>
        <w:spacing w:after="0"/>
      </w:pPr>
    </w:p>
    <w:p>
      <w:pPr>
        <w:pStyle w:val="Heading2"/>
        <w:keepNext/>
      </w:pPr>
      <w:r>
        <w:t>6.5 Separate the kinds of delta</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2232"/>
        <w:gridCol w:w="3960"/>
        <w:gridCol w:w="3672"/>
      </w:tblGrid>
      <w:tr>
        <w:trPr>
          <w:tblHeader w:val="true"/>
          <w:cantSplit/>
        </w:trPr>
        <w:tc>
          <w:tcPr>
            <w:tcW w:type="dxa" w:w="3331"/>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Delta</w:t>
            </w:r>
          </w:p>
        </w:tc>
        <w:tc>
          <w:tcPr>
            <w:tcW w:type="dxa" w:w="3331"/>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Comparison</w:t>
            </w:r>
          </w:p>
        </w:tc>
        <w:tc>
          <w:tcPr>
            <w:tcW w:type="dxa" w:w="3331"/>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Question answered</w:t>
            </w:r>
          </w:p>
        </w:tc>
      </w:tr>
      <w:tr>
        <w:trPr>
          <w:cantSplit/>
        </w:trPr>
        <w:tc>
          <w:tcPr>
            <w:tcW w:type="dxa" w:w="2232"/>
            <w:vAlign w:val="center"/>
            <w:tcMar>
              <w:top w:w="90" w:type="dxa"/>
              <w:start w:w="110" w:type="dxa"/>
              <w:bottom w:w="90" w:type="dxa"/>
              <w:end w:w="110" w:type="dxa"/>
            </w:tcMar>
          </w:tcPr>
          <w:p>
            <w:pPr>
              <w:spacing w:after="0" w:before="0"/>
            </w:pPr>
            <w:r/>
            <w:r>
              <w:rPr>
                <w:rFonts w:ascii="Aptos" w:hAnsi="Aptos"/>
                <w:b/>
                <w:color w:val="111827"/>
                <w:sz w:val="17"/>
              </w:rPr>
              <w:t>Temporal entity delta</w:t>
            </w:r>
          </w:p>
        </w:tc>
        <w:tc>
          <w:tcPr>
            <w:tcW w:type="dxa" w:w="3960"/>
            <w:vAlign w:val="center"/>
            <w:tcMar>
              <w:top w:w="90" w:type="dxa"/>
              <w:start w:w="110" w:type="dxa"/>
              <w:bottom w:w="90" w:type="dxa"/>
              <w:end w:w="110" w:type="dxa"/>
            </w:tcMar>
          </w:tcPr>
          <w:p>
            <w:pPr>
              <w:spacing w:after="0" w:before="0"/>
            </w:pPr>
            <w:r/>
            <w:r>
              <w:rPr>
                <w:rFonts w:ascii="Aptos" w:hAnsi="Aptos"/>
                <w:b w:val="0"/>
                <w:color w:val="111827"/>
                <w:sz w:val="17"/>
              </w:rPr>
              <w:t>Same entity, successive observations</w:t>
            </w:r>
          </w:p>
        </w:tc>
        <w:tc>
          <w:tcPr>
            <w:tcW w:type="dxa" w:w="3672"/>
            <w:vAlign w:val="center"/>
            <w:tcMar>
              <w:top w:w="90" w:type="dxa"/>
              <w:start w:w="110" w:type="dxa"/>
              <w:bottom w:w="90" w:type="dxa"/>
              <w:end w:w="110" w:type="dxa"/>
            </w:tcMar>
          </w:tcPr>
          <w:p>
            <w:pPr>
              <w:spacing w:after="0" w:before="0"/>
            </w:pPr>
            <w:r/>
            <w:r>
              <w:rPr>
                <w:rFonts w:ascii="Aptos" w:hAnsi="Aptos"/>
                <w:b w:val="0"/>
                <w:color w:val="111827"/>
                <w:sz w:val="17"/>
              </w:rPr>
              <w:t>What changed in the object?</w:t>
            </w:r>
          </w:p>
        </w:tc>
      </w:tr>
      <w:tr>
        <w:trPr>
          <w:cantSplit/>
        </w:trPr>
        <w:tc>
          <w:tcPr>
            <w:tcW w:type="dxa" w:w="2232"/>
            <w:vAlign w:val="center"/>
            <w:tcMar>
              <w:top w:w="90" w:type="dxa"/>
              <w:start w:w="110" w:type="dxa"/>
              <w:bottom w:w="90" w:type="dxa"/>
              <w:end w:w="110" w:type="dxa"/>
            </w:tcMar>
            <w:shd w:fill="F8FAFC"/>
          </w:tcPr>
          <w:p>
            <w:pPr>
              <w:spacing w:after="0" w:before="0"/>
            </w:pPr>
            <w:r/>
            <w:r>
              <w:rPr>
                <w:rFonts w:ascii="Aptos" w:hAnsi="Aptos"/>
                <w:b/>
                <w:color w:val="111827"/>
                <w:sz w:val="17"/>
              </w:rPr>
              <w:t>Binding delta</w:t>
            </w:r>
          </w:p>
        </w:tc>
        <w:tc>
          <w:tcPr>
            <w:tcW w:type="dxa" w:w="3960"/>
            <w:vAlign w:val="center"/>
            <w:tcMar>
              <w:top w:w="90" w:type="dxa"/>
              <w:start w:w="110" w:type="dxa"/>
              <w:bottom w:w="90" w:type="dxa"/>
              <w:end w:w="110" w:type="dxa"/>
            </w:tcMar>
            <w:shd w:fill="F8FAFC"/>
          </w:tcPr>
          <w:p>
            <w:pPr>
              <w:spacing w:after="0" w:before="0"/>
            </w:pPr>
            <w:r/>
            <w:r>
              <w:rPr>
                <w:rFonts w:ascii="Aptos" w:hAnsi="Aptos"/>
                <w:b w:val="0"/>
                <w:color w:val="111827"/>
                <w:sz w:val="17"/>
              </w:rPr>
              <w:t>Same identity, changed source-native key</w:t>
            </w:r>
          </w:p>
        </w:tc>
        <w:tc>
          <w:tcPr>
            <w:tcW w:type="dxa" w:w="3672"/>
            <w:vAlign w:val="center"/>
            <w:tcMar>
              <w:top w:w="90" w:type="dxa"/>
              <w:start w:w="110" w:type="dxa"/>
              <w:bottom w:w="90" w:type="dxa"/>
              <w:end w:w="110" w:type="dxa"/>
            </w:tcMar>
            <w:shd w:fill="F8FAFC"/>
          </w:tcPr>
          <w:p>
            <w:pPr>
              <w:spacing w:after="0" w:before="0"/>
            </w:pPr>
            <w:r/>
            <w:r>
              <w:rPr>
                <w:rFonts w:ascii="Aptos" w:hAnsi="Aptos"/>
                <w:b w:val="0"/>
                <w:color w:val="111827"/>
                <w:sz w:val="17"/>
              </w:rPr>
              <w:t>Did the object move or rename?</w:t>
            </w:r>
          </w:p>
        </w:tc>
      </w:tr>
      <w:tr>
        <w:trPr>
          <w:cantSplit/>
        </w:trPr>
        <w:tc>
          <w:tcPr>
            <w:tcW w:type="dxa" w:w="2232"/>
            <w:vAlign w:val="center"/>
            <w:tcMar>
              <w:top w:w="90" w:type="dxa"/>
              <w:start w:w="110" w:type="dxa"/>
              <w:bottom w:w="90" w:type="dxa"/>
              <w:end w:w="110" w:type="dxa"/>
            </w:tcMar>
          </w:tcPr>
          <w:p>
            <w:pPr>
              <w:spacing w:after="0" w:before="0"/>
            </w:pPr>
            <w:r/>
            <w:r>
              <w:rPr>
                <w:rFonts w:ascii="Aptos" w:hAnsi="Aptos"/>
                <w:b/>
                <w:color w:val="111827"/>
                <w:sz w:val="17"/>
              </w:rPr>
              <w:t>Fabric delta</w:t>
            </w:r>
          </w:p>
        </w:tc>
        <w:tc>
          <w:tcPr>
            <w:tcW w:type="dxa" w:w="3960"/>
            <w:vAlign w:val="center"/>
            <w:tcMar>
              <w:top w:w="90" w:type="dxa"/>
              <w:start w:w="110" w:type="dxa"/>
              <w:bottom w:w="90" w:type="dxa"/>
              <w:end w:w="110" w:type="dxa"/>
            </w:tcMar>
          </w:tcPr>
          <w:p>
            <w:pPr>
              <w:spacing w:after="0" w:before="0"/>
            </w:pPr>
            <w:r/>
            <w:r>
              <w:rPr>
                <w:rFonts w:ascii="Aptos" w:hAnsi="Aptos"/>
                <w:b w:val="0"/>
                <w:color w:val="111827"/>
                <w:sz w:val="17"/>
              </w:rPr>
              <w:t>Equivalent logical surface across physical instances</w:t>
            </w:r>
          </w:p>
        </w:tc>
        <w:tc>
          <w:tcPr>
            <w:tcW w:type="dxa" w:w="3672"/>
            <w:vAlign w:val="center"/>
            <w:tcMar>
              <w:top w:w="90" w:type="dxa"/>
              <w:start w:w="110" w:type="dxa"/>
              <w:bottom w:w="90" w:type="dxa"/>
              <w:end w:w="110" w:type="dxa"/>
            </w:tcMar>
          </w:tcPr>
          <w:p>
            <w:pPr>
              <w:spacing w:after="0" w:before="0"/>
            </w:pPr>
            <w:r/>
            <w:r>
              <w:rPr>
                <w:rFonts w:ascii="Aptos" w:hAnsi="Aptos"/>
                <w:b w:val="0"/>
                <w:color w:val="111827"/>
                <w:sz w:val="17"/>
              </w:rPr>
              <w:t>Do fabric instances agree at the declared version?</w:t>
            </w:r>
          </w:p>
        </w:tc>
      </w:tr>
      <w:tr>
        <w:trPr>
          <w:cantSplit/>
        </w:trPr>
        <w:tc>
          <w:tcPr>
            <w:tcW w:type="dxa" w:w="2232"/>
            <w:vAlign w:val="center"/>
            <w:tcMar>
              <w:top w:w="90" w:type="dxa"/>
              <w:start w:w="110" w:type="dxa"/>
              <w:bottom w:w="90" w:type="dxa"/>
              <w:end w:w="110" w:type="dxa"/>
            </w:tcMar>
            <w:shd w:fill="F8FAFC"/>
          </w:tcPr>
          <w:p>
            <w:pPr>
              <w:spacing w:after="0" w:before="0"/>
            </w:pPr>
            <w:r/>
            <w:r>
              <w:rPr>
                <w:rFonts w:ascii="Aptos" w:hAnsi="Aptos"/>
                <w:b/>
                <w:color w:val="111827"/>
                <w:sz w:val="17"/>
              </w:rPr>
              <w:t>Projection delta</w:t>
            </w:r>
          </w:p>
        </w:tc>
        <w:tc>
          <w:tcPr>
            <w:tcW w:type="dxa" w:w="3960"/>
            <w:vAlign w:val="center"/>
            <w:tcMar>
              <w:top w:w="90" w:type="dxa"/>
              <w:start w:w="110" w:type="dxa"/>
              <w:bottom w:w="90" w:type="dxa"/>
              <w:end w:w="110" w:type="dxa"/>
            </w:tcMar>
            <w:shd w:fill="F8FAFC"/>
          </w:tcPr>
          <w:p>
            <w:pPr>
              <w:spacing w:after="0" w:before="0"/>
            </w:pPr>
            <w:r/>
            <w:r>
              <w:rPr>
                <w:rFonts w:ascii="Aptos" w:hAnsi="Aptos"/>
                <w:b w:val="0"/>
                <w:color w:val="111827"/>
                <w:sz w:val="17"/>
              </w:rPr>
              <w:t>Derived projection versus declared upstream target</w:t>
            </w:r>
          </w:p>
        </w:tc>
        <w:tc>
          <w:tcPr>
            <w:tcW w:type="dxa" w:w="3672"/>
            <w:vAlign w:val="center"/>
            <w:tcMar>
              <w:top w:w="90" w:type="dxa"/>
              <w:start w:w="110" w:type="dxa"/>
              <w:bottom w:w="90" w:type="dxa"/>
              <w:end w:w="110" w:type="dxa"/>
            </w:tcMar>
            <w:shd w:fill="F8FAFC"/>
          </w:tcPr>
          <w:p>
            <w:pPr>
              <w:spacing w:after="0" w:before="0"/>
            </w:pPr>
            <w:r/>
            <w:r>
              <w:rPr>
                <w:rFonts w:ascii="Aptos" w:hAnsi="Aptos"/>
                <w:b w:val="0"/>
                <w:color w:val="111827"/>
                <w:sz w:val="17"/>
              </w:rPr>
              <w:t>Is the projection aligned with the intended graph release?</w:t>
            </w:r>
          </w:p>
        </w:tc>
      </w:tr>
      <w:tr>
        <w:trPr>
          <w:cantSplit/>
        </w:trPr>
        <w:tc>
          <w:tcPr>
            <w:tcW w:type="dxa" w:w="2232"/>
            <w:vAlign w:val="center"/>
            <w:tcMar>
              <w:top w:w="90" w:type="dxa"/>
              <w:start w:w="110" w:type="dxa"/>
              <w:bottom w:w="90" w:type="dxa"/>
              <w:end w:w="110" w:type="dxa"/>
            </w:tcMar>
          </w:tcPr>
          <w:p>
            <w:pPr>
              <w:spacing w:after="0" w:before="0"/>
            </w:pPr>
            <w:r/>
            <w:r>
              <w:rPr>
                <w:rFonts w:ascii="Aptos" w:hAnsi="Aptos"/>
                <w:b/>
                <w:color w:val="111827"/>
                <w:sz w:val="17"/>
              </w:rPr>
              <w:t>Producer delta</w:t>
            </w:r>
          </w:p>
        </w:tc>
        <w:tc>
          <w:tcPr>
            <w:tcW w:type="dxa" w:w="3960"/>
            <w:vAlign w:val="center"/>
            <w:tcMar>
              <w:top w:w="90" w:type="dxa"/>
              <w:start w:w="110" w:type="dxa"/>
              <w:bottom w:w="90" w:type="dxa"/>
              <w:end w:w="110" w:type="dxa"/>
            </w:tcMar>
          </w:tcPr>
          <w:p>
            <w:pPr>
              <w:spacing w:after="0" w:before="0"/>
            </w:pPr>
            <w:r/>
            <w:r>
              <w:rPr>
                <w:rFonts w:ascii="Aptos" w:hAnsi="Aptos"/>
                <w:b w:val="0"/>
                <w:color w:val="111827"/>
                <w:sz w:val="17"/>
              </w:rPr>
              <w:t>Same frontier, different materializer version</w:t>
            </w:r>
          </w:p>
        </w:tc>
        <w:tc>
          <w:tcPr>
            <w:tcW w:type="dxa" w:w="3672"/>
            <w:vAlign w:val="center"/>
            <w:tcMar>
              <w:top w:w="90" w:type="dxa"/>
              <w:start w:w="110" w:type="dxa"/>
              <w:bottom w:w="90" w:type="dxa"/>
              <w:end w:w="110" w:type="dxa"/>
            </w:tcMar>
          </w:tcPr>
          <w:p>
            <w:pPr>
              <w:spacing w:after="0" w:before="0"/>
            </w:pPr>
            <w:r/>
            <w:r>
              <w:rPr>
                <w:rFonts w:ascii="Aptos" w:hAnsi="Aptos"/>
                <w:b w:val="0"/>
                <w:color w:val="111827"/>
                <w:sz w:val="17"/>
              </w:rPr>
              <w:t>Did process semantics cause the output change?</w:t>
            </w:r>
          </w:p>
        </w:tc>
      </w:tr>
    </w:tbl>
    <w:p>
      <w:pPr>
        <w:spacing w:after="0"/>
      </w:pPr>
    </w:p>
    <w:p>
      <w:pPr>
        <w:pStyle w:val="Heading1"/>
        <w:keepNext/>
      </w:pPr>
      <w:r>
        <w:t>7. C0 as the Observation-to-Identity Boundary</w:t>
      </w:r>
    </w:p>
    <w:p>
      <w:pPr>
        <w:spacing w:after="100" w:line="259" w:lineRule="auto"/>
        <w:ind w:left="0"/>
      </w:pPr>
      <w:r>
        <w:rPr>
          <w:rFonts w:ascii="Aptos" w:hAnsi="Aptos"/>
          <w:color w:val="111827"/>
          <w:sz w:val="21"/>
        </w:rPr>
        <w:t>C0 should not be defined as the durable identity itself. It should be the smallest source-addressable observation or fact that can be replayed and falsified, carrying its native key, authority, grain, source vintage, producer identity, temporal standing, population model, and failure semantics.</w:t>
      </w:r>
    </w:p>
    <w:p>
      <w:pPr>
        <w:pStyle w:val="Heading2"/>
        <w:keepNext/>
      </w:pPr>
      <w:r>
        <w:t>7.1 Canonical C0 output</w:t>
      </w:r>
    </w:p>
    <w:p>
      <w:pPr>
        <w:spacing w:after="100" w:line="259" w:lineRule="auto"/>
        <w:ind w:left="0"/>
      </w:pPr>
      <w:r>
        <w:rPr>
          <w:rFonts w:ascii="Aptos" w:hAnsi="Aptos"/>
          <w:color w:val="111827"/>
          <w:sz w:val="21"/>
        </w:rPr>
        <w:t>The canonical C0 materializer should emit three linked products: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2304"/>
        <w:gridCol w:w="7560"/>
      </w:tblGrid>
      <w:tr>
        <w:trPr>
          <w:tblHeader w:val="true"/>
          <w:cantSplit/>
        </w:trPr>
        <w:tc>
          <w:tcPr>
            <w:tcW w:type="dxa" w:w="4997"/>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Product</w:t>
            </w:r>
          </w:p>
        </w:tc>
        <w:tc>
          <w:tcPr>
            <w:tcW w:type="dxa" w:w="4997"/>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Claim</w:t>
            </w:r>
          </w:p>
        </w:tc>
      </w:tr>
      <w:tr>
        <w:trPr>
          <w:cantSplit/>
        </w:trPr>
        <w:tc>
          <w:tcPr>
            <w:tcW w:type="dxa" w:w="2304"/>
            <w:vAlign w:val="center"/>
            <w:tcMar>
              <w:top w:w="90" w:type="dxa"/>
              <w:start w:w="110" w:type="dxa"/>
              <w:bottom w:w="90" w:type="dxa"/>
              <w:end w:w="110" w:type="dxa"/>
            </w:tcMar>
          </w:tcPr>
          <w:p>
            <w:pPr>
              <w:spacing w:after="0" w:before="0"/>
            </w:pPr>
            <w:r/>
            <w:r>
              <w:rPr>
                <w:rFonts w:ascii="Aptos" w:hAnsi="Aptos"/>
                <w:b/>
                <w:color w:val="111827"/>
                <w:sz w:val="17"/>
              </w:rPr>
              <w:t>Entity claim</w:t>
            </w:r>
          </w:p>
        </w:tc>
        <w:tc>
          <w:tcPr>
            <w:tcW w:type="dxa" w:w="7560"/>
            <w:vAlign w:val="center"/>
            <w:tcMar>
              <w:top w:w="90" w:type="dxa"/>
              <w:start w:w="110" w:type="dxa"/>
              <w:bottom w:w="90" w:type="dxa"/>
              <w:end w:w="110" w:type="dxa"/>
            </w:tcMar>
          </w:tcPr>
          <w:p>
            <w:pPr>
              <w:spacing w:after="0" w:before="0"/>
            </w:pPr>
            <w:r/>
            <w:r>
              <w:rPr>
                <w:rFonts w:ascii="Aptos" w:hAnsi="Aptos"/>
                <w:b w:val="0"/>
                <w:color w:val="111827"/>
                <w:sz w:val="17"/>
              </w:rPr>
              <w:t>This source evidence appears to denote an entity.</w:t>
            </w:r>
          </w:p>
        </w:tc>
      </w:tr>
      <w:tr>
        <w:trPr>
          <w:cantSplit/>
        </w:trPr>
        <w:tc>
          <w:tcPr>
            <w:tcW w:type="dxa" w:w="2304"/>
            <w:vAlign w:val="center"/>
            <w:tcMar>
              <w:top w:w="90" w:type="dxa"/>
              <w:start w:w="110" w:type="dxa"/>
              <w:bottom w:w="90" w:type="dxa"/>
              <w:end w:w="110" w:type="dxa"/>
            </w:tcMar>
            <w:shd w:fill="F8FAFC"/>
          </w:tcPr>
          <w:p>
            <w:pPr>
              <w:spacing w:after="0" w:before="0"/>
            </w:pPr>
            <w:r/>
            <w:r>
              <w:rPr>
                <w:rFonts w:ascii="Aptos" w:hAnsi="Aptos"/>
                <w:b/>
                <w:color w:val="111827"/>
                <w:sz w:val="17"/>
              </w:rPr>
              <w:t>Binding claim</w:t>
            </w:r>
          </w:p>
        </w:tc>
        <w:tc>
          <w:tcPr>
            <w:tcW w:type="dxa" w:w="7560"/>
            <w:vAlign w:val="center"/>
            <w:tcMar>
              <w:top w:w="90" w:type="dxa"/>
              <w:start w:w="110" w:type="dxa"/>
              <w:bottom w:w="90" w:type="dxa"/>
              <w:end w:w="110" w:type="dxa"/>
            </w:tcMar>
            <w:shd w:fill="F8FAFC"/>
          </w:tcPr>
          <w:p>
            <w:pPr>
              <w:spacing w:after="0" w:before="0"/>
            </w:pPr>
            <w:r/>
            <w:r>
              <w:rPr>
                <w:rFonts w:ascii="Aptos" w:hAnsi="Aptos"/>
                <w:b w:val="0"/>
                <w:color w:val="111827"/>
                <w:sz w:val="17"/>
              </w:rPr>
              <w:t>This source-native key refers to that entity during this validity interval.</w:t>
            </w:r>
          </w:p>
        </w:tc>
      </w:tr>
      <w:tr>
        <w:trPr>
          <w:cantSplit/>
        </w:trPr>
        <w:tc>
          <w:tcPr>
            <w:tcW w:type="dxa" w:w="2304"/>
            <w:vAlign w:val="center"/>
            <w:tcMar>
              <w:top w:w="90" w:type="dxa"/>
              <w:start w:w="110" w:type="dxa"/>
              <w:bottom w:w="90" w:type="dxa"/>
              <w:end w:w="110" w:type="dxa"/>
            </w:tcMar>
          </w:tcPr>
          <w:p>
            <w:pPr>
              <w:spacing w:after="0" w:before="0"/>
            </w:pPr>
            <w:r/>
            <w:r>
              <w:rPr>
                <w:rFonts w:ascii="Aptos" w:hAnsi="Aptos"/>
                <w:b/>
                <w:color w:val="111827"/>
                <w:sz w:val="17"/>
              </w:rPr>
              <w:t>State observation</w:t>
            </w:r>
          </w:p>
        </w:tc>
        <w:tc>
          <w:tcPr>
            <w:tcW w:type="dxa" w:w="7560"/>
            <w:vAlign w:val="center"/>
            <w:tcMar>
              <w:top w:w="90" w:type="dxa"/>
              <w:start w:w="110" w:type="dxa"/>
              <w:bottom w:w="90" w:type="dxa"/>
              <w:end w:w="110" w:type="dxa"/>
            </w:tcMar>
          </w:tcPr>
          <w:p>
            <w:pPr>
              <w:spacing w:after="0" w:before="0"/>
            </w:pPr>
            <w:r/>
            <w:r>
              <w:rPr>
                <w:rFonts w:ascii="Aptos" w:hAnsi="Aptos"/>
                <w:b w:val="0"/>
                <w:color w:val="111827"/>
                <w:sz w:val="17"/>
              </w:rPr>
              <w:t>This was the observed state of that entity at this source vintage, under this method and fabric.</w:t>
            </w:r>
          </w:p>
        </w:tc>
      </w:tr>
    </w:tbl>
    <w:p>
      <w:pPr>
        <w:spacing w:after="0"/>
      </w:pP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ENTITY CLAIM</w:t>
            </w:r>
            <w:r>
              <w:br/>
            </w:r>
            <w:r>
              <w:rPr>
                <w:rFonts w:ascii="Consolas" w:hAnsi="Consolas"/>
                <w:color w:val="111827"/>
                <w:sz w:val="18"/>
              </w:rPr>
              <w:t xml:space="preserve">  entity_serial: ent:123</w:t>
            </w:r>
            <w:r>
              <w:br/>
            </w:r>
            <w:r>
              <w:rPr>
                <w:rFonts w:ascii="Consolas" w:hAnsi="Consolas"/>
                <w:color w:val="111827"/>
                <w:sz w:val="18"/>
              </w:rPr>
            </w:r>
            <w:r>
              <w:br/>
            </w:r>
            <w:r>
              <w:rPr>
                <w:rFonts w:ascii="Consolas" w:hAnsi="Consolas"/>
                <w:color w:val="111827"/>
                <w:sz w:val="18"/>
              </w:rPr>
              <w:t>BINDING</w:t>
            </w:r>
            <w:r>
              <w:br/>
            </w:r>
            <w:r>
              <w:rPr>
                <w:rFonts w:ascii="Consolas" w:hAnsi="Consolas"/>
                <w:color w:val="111827"/>
                <w:sz w:val="18"/>
              </w:rPr>
              <w:t xml:space="preserve">  entity_serial: ent:123</w:t>
            </w:r>
            <w:r>
              <w:br/>
            </w:r>
            <w:r>
              <w:rPr>
                <w:rFonts w:ascii="Consolas" w:hAnsi="Consolas"/>
                <w:color w:val="111827"/>
                <w:sz w:val="18"/>
              </w:rPr>
              <w:t xml:space="preserve">  identity_space: git</w:t>
            </w:r>
            <w:r>
              <w:br/>
            </w:r>
            <w:r>
              <w:rPr>
                <w:rFonts w:ascii="Consolas" w:hAnsi="Consolas"/>
                <w:color w:val="111827"/>
                <w:sz w:val="18"/>
              </w:rPr>
              <w:t xml:space="preserve">  native_key: portal/src/App.tsx</w:t>
            </w:r>
            <w:r>
              <w:br/>
            </w:r>
            <w:r>
              <w:rPr>
                <w:rFonts w:ascii="Consolas" w:hAnsi="Consolas"/>
                <w:color w:val="111827"/>
                <w:sz w:val="18"/>
              </w:rPr>
              <w:t xml:space="preserve">  valid_from: commit A</w:t>
            </w:r>
            <w:r>
              <w:br/>
            </w:r>
            <w:r>
              <w:rPr>
                <w:rFonts w:ascii="Consolas" w:hAnsi="Consolas"/>
                <w:color w:val="111827"/>
                <w:sz w:val="18"/>
              </w:rPr>
              <w:t xml:space="preserve">  valid_to: commit B</w:t>
            </w:r>
            <w:r>
              <w:br/>
            </w:r>
            <w:r>
              <w:rPr>
                <w:rFonts w:ascii="Consolas" w:hAnsi="Consolas"/>
                <w:color w:val="111827"/>
                <w:sz w:val="18"/>
              </w:rPr>
            </w:r>
            <w:r>
              <w:br/>
            </w:r>
            <w:r>
              <w:rPr>
                <w:rFonts w:ascii="Consolas" w:hAnsi="Consolas"/>
                <w:color w:val="111827"/>
                <w:sz w:val="18"/>
              </w:rPr>
              <w:t>STATE OBSERVATION</w:t>
            </w:r>
            <w:r>
              <w:br/>
            </w:r>
            <w:r>
              <w:rPr>
                <w:rFonts w:ascii="Consolas" w:hAnsi="Consolas"/>
                <w:color w:val="111827"/>
                <w:sz w:val="18"/>
              </w:rPr>
              <w:t xml:space="preserve">  entity_serial: ent:123</w:t>
            </w:r>
            <w:r>
              <w:br/>
            </w:r>
            <w:r>
              <w:rPr>
                <w:rFonts w:ascii="Consolas" w:hAnsi="Consolas"/>
                <w:color w:val="111827"/>
                <w:sz w:val="18"/>
              </w:rPr>
              <w:t xml:space="preserve">  source_vintage: commit A</w:t>
            </w:r>
            <w:r>
              <w:br/>
            </w:r>
            <w:r>
              <w:rPr>
                <w:rFonts w:ascii="Consolas" w:hAnsi="Consolas"/>
                <w:color w:val="111827"/>
                <w:sz w:val="18"/>
              </w:rPr>
              <w:t xml:space="preserve">  fingerprint: sha256:...</w:t>
            </w:r>
            <w:r>
              <w:br/>
            </w:r>
            <w:r>
              <w:rPr>
                <w:rFonts w:ascii="Consolas" w:hAnsi="Consolas"/>
                <w:color w:val="111827"/>
                <w:sz w:val="18"/>
              </w:rPr>
              <w:t xml:space="preserve">  method: normalized_text_v2</w:t>
            </w:r>
            <w:r>
              <w:br/>
            </w:r>
            <w:r>
              <w:rPr>
                <w:rFonts w:ascii="Consolas" w:hAnsi="Consolas"/>
                <w:color w:val="111827"/>
                <w:sz w:val="18"/>
              </w:rPr>
              <w:t xml:space="preserve">  observed_at: ...</w:t>
            </w:r>
            <w:r>
              <w:br/>
            </w:r>
            <w:r>
              <w:rPr>
                <w:rFonts w:ascii="Consolas" w:hAnsi="Consolas"/>
                <w:color w:val="111827"/>
                <w:sz w:val="18"/>
              </w:rPr>
              <w:t xml:space="preserve">  fabric_id: laptop</w:t>
            </w:r>
          </w:p>
        </w:tc>
      </w:tr>
    </w:tbl>
    <w:p>
      <w:pPr>
        <w:spacing w:after="0"/>
      </w:pPr>
    </w:p>
    <w:p>
      <w:pPr>
        <w:spacing w:after="100" w:line="259" w:lineRule="auto"/>
        <w:ind w:left="0"/>
      </w:pPr>
      <w:r>
        <w:rPr>
          <w:rFonts w:ascii="Aptos" w:hAnsi="Aptos"/>
          <w:color w:val="111827"/>
          <w:sz w:val="21"/>
        </w:rPr>
        <w:t>After a rename, the old binding closes and the new binding opens while the serial survives. If a provider-authoritative resource is replaced rather than renamed, the continuity policy may mint a new serial and record SUCCESSOR_OF or REPLACES instead.</w:t>
      </w:r>
    </w:p>
    <w:p>
      <w:pPr>
        <w:pStyle w:val="Heading2"/>
        <w:keepNext/>
      </w:pPr>
      <w:r>
        <w:t>7.2 Entity-class-specific continuity policies</w:t>
      </w:r>
    </w:p>
    <w:p>
      <w:pPr>
        <w:spacing w:after="100" w:line="259" w:lineRule="auto"/>
        <w:ind w:left="0"/>
      </w:pPr>
      <w:r>
        <w:rPr>
          <w:rFonts w:ascii="Aptos" w:hAnsi="Aptos"/>
          <w:color w:val="111827"/>
          <w:sz w:val="21"/>
        </w:rPr>
        <w:t>Every entity should be addressable through the identity spine, but not every entity should use the same continuity mechanism. Provider IDs, Git history, parser identity, producer lineage, run scope, and fused structural signatures are different authorities.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3960"/>
        <w:gridCol w:w="5904"/>
      </w:tblGrid>
      <w:tr>
        <w:trPr>
          <w:tblHeader w:val="true"/>
          <w:cantSplit/>
        </w:trPr>
        <w:tc>
          <w:tcPr>
            <w:tcW w:type="dxa" w:w="4997"/>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Entity class</w:t>
            </w:r>
          </w:p>
        </w:tc>
        <w:tc>
          <w:tcPr>
            <w:tcW w:type="dxa" w:w="4997"/>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Preferred continuity mechanism</w:t>
            </w:r>
          </w:p>
        </w:tc>
      </w:tr>
      <w:tr>
        <w:trPr>
          <w:cantSplit/>
        </w:trPr>
        <w:tc>
          <w:tcPr>
            <w:tcW w:type="dxa" w:w="3960"/>
            <w:vAlign w:val="center"/>
            <w:tcMar>
              <w:top w:w="90" w:type="dxa"/>
              <w:start w:w="110" w:type="dxa"/>
              <w:bottom w:w="90" w:type="dxa"/>
              <w:end w:w="110" w:type="dxa"/>
            </w:tcMar>
          </w:tcPr>
          <w:p>
            <w:pPr>
              <w:spacing w:after="0" w:before="0"/>
            </w:pPr>
            <w:r/>
            <w:r>
              <w:rPr>
                <w:rFonts w:ascii="Aptos" w:hAnsi="Aptos"/>
                <w:b/>
                <w:color w:val="111827"/>
                <w:sz w:val="17"/>
              </w:rPr>
              <w:t>Cloud resource with immutable provider ID</w:t>
            </w:r>
          </w:p>
        </w:tc>
        <w:tc>
          <w:tcPr>
            <w:tcW w:type="dxa" w:w="5904"/>
            <w:vAlign w:val="center"/>
            <w:tcMar>
              <w:top w:w="90" w:type="dxa"/>
              <w:start w:w="110" w:type="dxa"/>
              <w:bottom w:w="90" w:type="dxa"/>
              <w:end w:w="110" w:type="dxa"/>
            </w:tcMar>
          </w:tcPr>
          <w:p>
            <w:pPr>
              <w:spacing w:after="0" w:before="0"/>
            </w:pPr>
            <w:r/>
            <w:r>
              <w:rPr>
                <w:rFonts w:ascii="Aptos" w:hAnsi="Aptos"/>
                <w:b w:val="0"/>
                <w:color w:val="111827"/>
                <w:sz w:val="17"/>
              </w:rPr>
              <w:t>Provider-authoritative key</w:t>
            </w:r>
          </w:p>
        </w:tc>
      </w:tr>
      <w:tr>
        <w:trPr>
          <w:cantSplit/>
        </w:trPr>
        <w:tc>
          <w:tcPr>
            <w:tcW w:type="dxa" w:w="3960"/>
            <w:vAlign w:val="center"/>
            <w:tcMar>
              <w:top w:w="90" w:type="dxa"/>
              <w:start w:w="110" w:type="dxa"/>
              <w:bottom w:w="90" w:type="dxa"/>
              <w:end w:w="110" w:type="dxa"/>
            </w:tcMar>
            <w:shd w:fill="F8FAFC"/>
          </w:tcPr>
          <w:p>
            <w:pPr>
              <w:spacing w:after="0" w:before="0"/>
            </w:pPr>
            <w:r/>
            <w:r>
              <w:rPr>
                <w:rFonts w:ascii="Aptos" w:hAnsi="Aptos"/>
                <w:b/>
                <w:color w:val="111827"/>
                <w:sz w:val="17"/>
              </w:rPr>
              <w:t>File</w:t>
            </w:r>
          </w:p>
        </w:tc>
        <w:tc>
          <w:tcPr>
            <w:tcW w:type="dxa" w:w="5904"/>
            <w:vAlign w:val="center"/>
            <w:tcMar>
              <w:top w:w="90" w:type="dxa"/>
              <w:start w:w="110" w:type="dxa"/>
              <w:bottom w:w="90" w:type="dxa"/>
              <w:end w:w="110" w:type="dxa"/>
            </w:tcMar>
            <w:shd w:fill="F8FAFC"/>
          </w:tcPr>
          <w:p>
            <w:pPr>
              <w:spacing w:after="0" w:before="0"/>
            </w:pPr>
            <w:r/>
            <w:r>
              <w:rPr>
                <w:rFonts w:ascii="Aptos" w:hAnsi="Aptos"/>
                <w:b w:val="0"/>
                <w:color w:val="111827"/>
                <w:sz w:val="17"/>
              </w:rPr>
              <w:t>Git rename/history plus content and structural lineage</w:t>
            </w:r>
          </w:p>
        </w:tc>
      </w:tr>
      <w:tr>
        <w:trPr>
          <w:cantSplit/>
        </w:trPr>
        <w:tc>
          <w:tcPr>
            <w:tcW w:type="dxa" w:w="3960"/>
            <w:vAlign w:val="center"/>
            <w:tcMar>
              <w:top w:w="90" w:type="dxa"/>
              <w:start w:w="110" w:type="dxa"/>
              <w:bottom w:w="90" w:type="dxa"/>
              <w:end w:w="110" w:type="dxa"/>
            </w:tcMar>
          </w:tcPr>
          <w:p>
            <w:pPr>
              <w:spacing w:after="0" w:before="0"/>
            </w:pPr>
            <w:r/>
            <w:r>
              <w:rPr>
                <w:rFonts w:ascii="Aptos" w:hAnsi="Aptos"/>
                <w:b/>
                <w:color w:val="111827"/>
                <w:sz w:val="17"/>
              </w:rPr>
              <w:t>Symbol</w:t>
            </w:r>
          </w:p>
        </w:tc>
        <w:tc>
          <w:tcPr>
            <w:tcW w:type="dxa" w:w="5904"/>
            <w:vAlign w:val="center"/>
            <w:tcMar>
              <w:top w:w="90" w:type="dxa"/>
              <w:start w:w="110" w:type="dxa"/>
              <w:bottom w:w="90" w:type="dxa"/>
              <w:end w:w="110" w:type="dxa"/>
            </w:tcMar>
          </w:tcPr>
          <w:p>
            <w:pPr>
              <w:spacing w:after="0" w:before="0"/>
            </w:pPr>
            <w:r/>
            <w:r>
              <w:rPr>
                <w:rFonts w:ascii="Aptos" w:hAnsi="Aptos"/>
                <w:b w:val="0"/>
                <w:color w:val="111827"/>
                <w:sz w:val="17"/>
              </w:rPr>
              <w:t>Parser/compiler identity plus containing artifact and source span</w:t>
            </w:r>
          </w:p>
        </w:tc>
      </w:tr>
      <w:tr>
        <w:trPr>
          <w:cantSplit/>
        </w:trPr>
        <w:tc>
          <w:tcPr>
            <w:tcW w:type="dxa" w:w="3960"/>
            <w:vAlign w:val="center"/>
            <w:tcMar>
              <w:top w:w="90" w:type="dxa"/>
              <w:start w:w="110" w:type="dxa"/>
              <w:bottom w:w="90" w:type="dxa"/>
              <w:end w:w="110" w:type="dxa"/>
            </w:tcMar>
            <w:shd w:fill="F8FAFC"/>
          </w:tcPr>
          <w:p>
            <w:pPr>
              <w:spacing w:after="0" w:before="0"/>
            </w:pPr>
            <w:r/>
            <w:r>
              <w:rPr>
                <w:rFonts w:ascii="Aptos" w:hAnsi="Aptos"/>
                <w:b/>
                <w:color w:val="111827"/>
                <w:sz w:val="17"/>
              </w:rPr>
              <w:t>Generated artifact</w:t>
            </w:r>
          </w:p>
        </w:tc>
        <w:tc>
          <w:tcPr>
            <w:tcW w:type="dxa" w:w="5904"/>
            <w:vAlign w:val="center"/>
            <w:tcMar>
              <w:top w:w="90" w:type="dxa"/>
              <w:start w:w="110" w:type="dxa"/>
              <w:bottom w:w="90" w:type="dxa"/>
              <w:end w:w="110" w:type="dxa"/>
            </w:tcMar>
            <w:shd w:fill="F8FAFC"/>
          </w:tcPr>
          <w:p>
            <w:pPr>
              <w:spacing w:after="0" w:before="0"/>
            </w:pPr>
            <w:r/>
            <w:r>
              <w:rPr>
                <w:rFonts w:ascii="Aptos" w:hAnsi="Aptos"/>
                <w:b w:val="0"/>
                <w:color w:val="111827"/>
                <w:sz w:val="17"/>
              </w:rPr>
              <w:t>Producer lineage and generation record</w:t>
            </w:r>
          </w:p>
        </w:tc>
      </w:tr>
      <w:tr>
        <w:trPr>
          <w:cantSplit/>
        </w:trPr>
        <w:tc>
          <w:tcPr>
            <w:tcW w:type="dxa" w:w="3960"/>
            <w:vAlign w:val="center"/>
            <w:tcMar>
              <w:top w:w="90" w:type="dxa"/>
              <w:start w:w="110" w:type="dxa"/>
              <w:bottom w:w="90" w:type="dxa"/>
              <w:end w:w="110" w:type="dxa"/>
            </w:tcMar>
          </w:tcPr>
          <w:p>
            <w:pPr>
              <w:spacing w:after="0" w:before="0"/>
            </w:pPr>
            <w:r/>
            <w:r>
              <w:rPr>
                <w:rFonts w:ascii="Aptos" w:hAnsi="Aptos"/>
                <w:b/>
                <w:color w:val="111827"/>
                <w:sz w:val="17"/>
              </w:rPr>
              <w:t>Runtime occurrence</w:t>
            </w:r>
          </w:p>
        </w:tc>
        <w:tc>
          <w:tcPr>
            <w:tcW w:type="dxa" w:w="5904"/>
            <w:vAlign w:val="center"/>
            <w:tcMar>
              <w:top w:w="90" w:type="dxa"/>
              <w:start w:w="110" w:type="dxa"/>
              <w:bottom w:w="90" w:type="dxa"/>
              <w:end w:w="110" w:type="dxa"/>
            </w:tcMar>
          </w:tcPr>
          <w:p>
            <w:pPr>
              <w:spacing w:after="0" w:before="0"/>
            </w:pPr>
            <w:r/>
            <w:r>
              <w:rPr>
                <w:rFonts w:ascii="Aptos" w:hAnsi="Aptos"/>
                <w:b w:val="0"/>
                <w:color w:val="111827"/>
                <w:sz w:val="17"/>
              </w:rPr>
              <w:t>Run-scoped identity</w:t>
            </w:r>
          </w:p>
        </w:tc>
      </w:tr>
      <w:tr>
        <w:trPr>
          <w:cantSplit/>
        </w:trPr>
        <w:tc>
          <w:tcPr>
            <w:tcW w:type="dxa" w:w="3960"/>
            <w:vAlign w:val="center"/>
            <w:tcMar>
              <w:top w:w="90" w:type="dxa"/>
              <w:start w:w="110" w:type="dxa"/>
              <w:bottom w:w="90" w:type="dxa"/>
              <w:end w:w="110" w:type="dxa"/>
            </w:tcMar>
            <w:shd w:fill="F8FAFC"/>
          </w:tcPr>
          <w:p>
            <w:pPr>
              <w:spacing w:after="0" w:before="0"/>
            </w:pPr>
            <w:r/>
            <w:r>
              <w:rPr>
                <w:rFonts w:ascii="Aptos" w:hAnsi="Aptos"/>
                <w:b/>
                <w:color w:val="111827"/>
                <w:sz w:val="17"/>
              </w:rPr>
              <w:t>Non-enumerable runtime family</w:t>
            </w:r>
          </w:p>
        </w:tc>
        <w:tc>
          <w:tcPr>
            <w:tcW w:type="dxa" w:w="5904"/>
            <w:vAlign w:val="center"/>
            <w:tcMar>
              <w:top w:w="90" w:type="dxa"/>
              <w:start w:w="110" w:type="dxa"/>
              <w:bottom w:w="90" w:type="dxa"/>
              <w:end w:w="110" w:type="dxa"/>
            </w:tcMar>
            <w:shd w:fill="F8FAFC"/>
          </w:tcPr>
          <w:p>
            <w:pPr>
              <w:spacing w:after="0" w:before="0"/>
            </w:pPr>
            <w:r/>
            <w:r>
              <w:rPr>
                <w:rFonts w:ascii="Aptos" w:hAnsi="Aptos"/>
                <w:b w:val="0"/>
                <w:color w:val="111827"/>
                <w:sz w:val="17"/>
              </w:rPr>
              <w:t>Persistent family identity plus ephemeral occurrence observations</w:t>
            </w:r>
          </w:p>
        </w:tc>
      </w:tr>
      <w:tr>
        <w:trPr>
          <w:cantSplit/>
        </w:trPr>
        <w:tc>
          <w:tcPr>
            <w:tcW w:type="dxa" w:w="3960"/>
            <w:vAlign w:val="center"/>
            <w:tcMar>
              <w:top w:w="90" w:type="dxa"/>
              <w:start w:w="110" w:type="dxa"/>
              <w:bottom w:w="90" w:type="dxa"/>
              <w:end w:w="110" w:type="dxa"/>
            </w:tcMar>
          </w:tcPr>
          <w:p>
            <w:pPr>
              <w:spacing w:after="0" w:before="0"/>
            </w:pPr>
            <w:r/>
            <w:r>
              <w:rPr>
                <w:rFonts w:ascii="Aptos" w:hAnsi="Aptos"/>
                <w:b/>
                <w:color w:val="111827"/>
                <w:sz w:val="17"/>
              </w:rPr>
              <w:t>Discovered system or motif structure</w:t>
            </w:r>
          </w:p>
        </w:tc>
        <w:tc>
          <w:tcPr>
            <w:tcW w:type="dxa" w:w="5904"/>
            <w:vAlign w:val="center"/>
            <w:tcMar>
              <w:top w:w="90" w:type="dxa"/>
              <w:start w:w="110" w:type="dxa"/>
              <w:bottom w:w="90" w:type="dxa"/>
              <w:end w:w="110" w:type="dxa"/>
            </w:tcMar>
          </w:tcPr>
          <w:p>
            <w:pPr>
              <w:spacing w:after="0" w:before="0"/>
            </w:pPr>
            <w:r/>
            <w:r>
              <w:rPr>
                <w:rFonts w:ascii="Aptos" w:hAnsi="Aptos"/>
                <w:b w:val="0"/>
                <w:color w:val="111827"/>
                <w:sz w:val="17"/>
              </w:rPr>
              <w:t>Fused structural signature plus succession adjudication</w:t>
            </w:r>
          </w:p>
        </w:tc>
      </w:tr>
      <w:tr>
        <w:trPr>
          <w:cantSplit/>
        </w:trPr>
        <w:tc>
          <w:tcPr>
            <w:tcW w:type="dxa" w:w="3960"/>
            <w:vAlign w:val="center"/>
            <w:tcMar>
              <w:top w:w="90" w:type="dxa"/>
              <w:start w:w="110" w:type="dxa"/>
              <w:bottom w:w="90" w:type="dxa"/>
              <w:end w:w="110" w:type="dxa"/>
            </w:tcMar>
            <w:shd w:fill="F8FAFC"/>
          </w:tcPr>
          <w:p>
            <w:pPr>
              <w:spacing w:after="0" w:before="0"/>
            </w:pPr>
            <w:r/>
            <w:r>
              <w:rPr>
                <w:rFonts w:ascii="Aptos" w:hAnsi="Aptos"/>
                <w:b/>
                <w:color w:val="111827"/>
                <w:sz w:val="17"/>
              </w:rPr>
              <w:t>Ambiguous entity</w:t>
            </w:r>
          </w:p>
        </w:tc>
        <w:tc>
          <w:tcPr>
            <w:tcW w:type="dxa" w:w="5904"/>
            <w:vAlign w:val="center"/>
            <w:tcMar>
              <w:top w:w="90" w:type="dxa"/>
              <w:start w:w="110" w:type="dxa"/>
              <w:bottom w:w="90" w:type="dxa"/>
              <w:end w:w="110" w:type="dxa"/>
            </w:tcMar>
            <w:shd w:fill="F8FAFC"/>
          </w:tcPr>
          <w:p>
            <w:pPr>
              <w:spacing w:after="0" w:before="0"/>
            </w:pPr>
            <w:r/>
            <w:r>
              <w:rPr>
                <w:rFonts w:ascii="Aptos" w:hAnsi="Aptos"/>
                <w:b w:val="0"/>
                <w:color w:val="111827"/>
                <w:sz w:val="17"/>
              </w:rPr>
              <w:t>Held for adjudication; no forced merge or new identity</w:t>
            </w:r>
          </w:p>
        </w:tc>
      </w:tr>
    </w:tbl>
    <w:p>
      <w:pPr>
        <w:spacing w:after="0"/>
      </w:pPr>
    </w:p>
    <w:p>
      <w:pPr>
        <w:pStyle w:val="Heading1"/>
        <w:keepNext/>
      </w:pPr>
      <w:r>
        <w:t>8. Bridge Registry, Projection, and the First Fusion Experiment</w:t>
      </w:r>
    </w:p>
    <w:p>
      <w:pPr>
        <w:pStyle w:val="Heading2"/>
        <w:keepNext/>
      </w:pPr>
      <w:r>
        <w:t>8.1 Sequence the registry after Issue 3A</w:t>
      </w:r>
    </w:p>
    <w:p>
      <w:pPr>
        <w:spacing w:after="100" w:line="259" w:lineRule="auto"/>
        <w:ind w:left="0"/>
      </w:pPr>
      <w:r>
        <w:rPr>
          <w:rFonts w:ascii="Aptos" w:hAnsi="Aptos"/>
          <w:color w:val="111827"/>
          <w:sz w:val="21"/>
        </w:rPr>
        <w:t>The existing L3 wave-1 decomposition can remain released as an inert scaffold, but its rows should not be populated against free-text or parsed identity strings. Bridge assertions must reference stable serials and declared grains.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subject_entity_serial</w:t>
            </w:r>
            <w:r>
              <w:br/>
            </w:r>
            <w:r>
              <w:rPr>
                <w:rFonts w:ascii="Consolas" w:hAnsi="Consolas"/>
                <w:color w:val="111827"/>
                <w:sz w:val="18"/>
              </w:rPr>
              <w:t>subject_plane</w:t>
            </w:r>
            <w:r>
              <w:br/>
            </w:r>
            <w:r>
              <w:rPr>
                <w:rFonts w:ascii="Consolas" w:hAnsi="Consolas"/>
                <w:color w:val="111827"/>
                <w:sz w:val="18"/>
              </w:rPr>
              <w:t>subject_grain</w:t>
            </w:r>
            <w:r>
              <w:br/>
            </w:r>
            <w:r>
              <w:rPr>
                <w:rFonts w:ascii="Consolas" w:hAnsi="Consolas"/>
                <w:color w:val="111827"/>
                <w:sz w:val="18"/>
              </w:rPr>
              <w:t>relation_type</w:t>
            </w:r>
            <w:r>
              <w:br/>
            </w:r>
            <w:r>
              <w:rPr>
                <w:rFonts w:ascii="Consolas" w:hAnsi="Consolas"/>
                <w:color w:val="111827"/>
                <w:sz w:val="18"/>
              </w:rPr>
              <w:t>object_entity_serial</w:t>
            </w:r>
            <w:r>
              <w:br/>
            </w:r>
            <w:r>
              <w:rPr>
                <w:rFonts w:ascii="Consolas" w:hAnsi="Consolas"/>
                <w:color w:val="111827"/>
                <w:sz w:val="18"/>
              </w:rPr>
              <w:t>object_plane</w:t>
            </w:r>
            <w:r>
              <w:br/>
            </w:r>
            <w:r>
              <w:rPr>
                <w:rFonts w:ascii="Consolas" w:hAnsi="Consolas"/>
                <w:color w:val="111827"/>
                <w:sz w:val="18"/>
              </w:rPr>
              <w:t>object_grain</w:t>
            </w:r>
          </w:p>
        </w:tc>
      </w:tr>
    </w:tbl>
    <w:p>
      <w:pPr>
        <w:spacing w:after="0"/>
      </w:pPr>
    </w:p>
    <w:p>
      <w:pPr>
        <w:pStyle w:val="Heading2"/>
        <w:keepNext/>
      </w:pPr>
      <w:r>
        <w:t>8.2 Split claim origin from verification standing</w:t>
      </w:r>
    </w:p>
    <w:p>
      <w:pPr>
        <w:spacing w:after="100" w:line="259" w:lineRule="auto"/>
        <w:ind w:left="0"/>
      </w:pPr>
      <w:r>
        <w:rPr>
          <w:rFonts w:ascii="Aptos" w:hAnsi="Aptos"/>
          <w:color w:val="111827"/>
          <w:sz w:val="21"/>
        </w:rPr>
        <w:t>The proposed measured|inferred basis is not exhaustive because a producer-declared relation is neither necessarily measured by D11 nor inferred by D11. Provenance, epistemic quality, and lifecycle should be separate axes.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2304"/>
        <w:gridCol w:w="7560"/>
      </w:tblGrid>
      <w:tr>
        <w:trPr>
          <w:tblHeader w:val="true"/>
          <w:cantSplit/>
        </w:trPr>
        <w:tc>
          <w:tcPr>
            <w:tcW w:type="dxa" w:w="4997"/>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Axis</w:t>
            </w:r>
          </w:p>
        </w:tc>
        <w:tc>
          <w:tcPr>
            <w:tcW w:type="dxa" w:w="4997"/>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Suggested values</w:t>
            </w:r>
          </w:p>
        </w:tc>
      </w:tr>
      <w:tr>
        <w:trPr>
          <w:cantSplit/>
        </w:trPr>
        <w:tc>
          <w:tcPr>
            <w:tcW w:type="dxa" w:w="2304"/>
            <w:vAlign w:val="center"/>
            <w:tcMar>
              <w:top w:w="90" w:type="dxa"/>
              <w:start w:w="110" w:type="dxa"/>
              <w:bottom w:w="90" w:type="dxa"/>
              <w:end w:w="110" w:type="dxa"/>
            </w:tcMar>
          </w:tcPr>
          <w:p>
            <w:pPr>
              <w:spacing w:after="0" w:before="0"/>
            </w:pPr>
            <w:r/>
            <w:r>
              <w:rPr>
                <w:rFonts w:ascii="Aptos" w:hAnsi="Aptos"/>
                <w:b/>
                <w:color w:val="111827"/>
                <w:sz w:val="17"/>
              </w:rPr>
              <w:t>Claim origin</w:t>
            </w:r>
          </w:p>
        </w:tc>
        <w:tc>
          <w:tcPr>
            <w:tcW w:type="dxa" w:w="7560"/>
            <w:vAlign w:val="center"/>
            <w:tcMar>
              <w:top w:w="90" w:type="dxa"/>
              <w:start w:w="110" w:type="dxa"/>
              <w:bottom w:w="90" w:type="dxa"/>
              <w:end w:w="110" w:type="dxa"/>
            </w:tcMar>
          </w:tcPr>
          <w:p>
            <w:pPr>
              <w:spacing w:after="0" w:before="0"/>
            </w:pPr>
            <w:r/>
            <w:r>
              <w:rPr>
                <w:rFonts w:ascii="Aptos" w:hAnsi="Aptos"/>
                <w:b w:val="0"/>
                <w:color w:val="111827"/>
                <w:sz w:val="17"/>
              </w:rPr>
              <w:t>PRODUCER_DECLARED · INDEPENDENTLY_OBSERVED · RULE_DERIVED · MODEL_INFERRED · HUMAN_ADJUDICATED</w:t>
            </w:r>
          </w:p>
        </w:tc>
      </w:tr>
      <w:tr>
        <w:trPr>
          <w:cantSplit/>
        </w:trPr>
        <w:tc>
          <w:tcPr>
            <w:tcW w:type="dxa" w:w="2304"/>
            <w:vAlign w:val="center"/>
            <w:tcMar>
              <w:top w:w="90" w:type="dxa"/>
              <w:start w:w="110" w:type="dxa"/>
              <w:bottom w:w="90" w:type="dxa"/>
              <w:end w:w="110" w:type="dxa"/>
            </w:tcMar>
            <w:shd w:fill="F8FAFC"/>
          </w:tcPr>
          <w:p>
            <w:pPr>
              <w:spacing w:after="0" w:before="0"/>
            </w:pPr>
            <w:r/>
            <w:r>
              <w:rPr>
                <w:rFonts w:ascii="Aptos" w:hAnsi="Aptos"/>
                <w:b/>
                <w:color w:val="111827"/>
                <w:sz w:val="17"/>
              </w:rPr>
              <w:t>Verification state</w:t>
            </w:r>
          </w:p>
        </w:tc>
        <w:tc>
          <w:tcPr>
            <w:tcW w:type="dxa" w:w="7560"/>
            <w:vAlign w:val="center"/>
            <w:tcMar>
              <w:top w:w="90" w:type="dxa"/>
              <w:start w:w="110" w:type="dxa"/>
              <w:bottom w:w="90" w:type="dxa"/>
              <w:end w:w="110" w:type="dxa"/>
            </w:tcMar>
            <w:shd w:fill="F8FAFC"/>
          </w:tcPr>
          <w:p>
            <w:pPr>
              <w:spacing w:after="0" w:before="0"/>
            </w:pPr>
            <w:r/>
            <w:r>
              <w:rPr>
                <w:rFonts w:ascii="Aptos" w:hAnsi="Aptos"/>
                <w:b w:val="0"/>
                <w:color w:val="111827"/>
                <w:sz w:val="17"/>
              </w:rPr>
              <w:t>UNVERIFIED · CORROBORATED · CONTRADICTED · SUPERSEDED</w:t>
            </w:r>
          </w:p>
        </w:tc>
      </w:tr>
      <w:tr>
        <w:trPr>
          <w:cantSplit/>
        </w:trPr>
        <w:tc>
          <w:tcPr>
            <w:tcW w:type="dxa" w:w="2304"/>
            <w:vAlign w:val="center"/>
            <w:tcMar>
              <w:top w:w="90" w:type="dxa"/>
              <w:start w:w="110" w:type="dxa"/>
              <w:bottom w:w="90" w:type="dxa"/>
              <w:end w:w="110" w:type="dxa"/>
            </w:tcMar>
          </w:tcPr>
          <w:p>
            <w:pPr>
              <w:spacing w:after="0" w:before="0"/>
            </w:pPr>
            <w:r/>
            <w:r>
              <w:rPr>
                <w:rFonts w:ascii="Aptos" w:hAnsi="Aptos"/>
                <w:b/>
                <w:color w:val="111827"/>
                <w:sz w:val="17"/>
              </w:rPr>
              <w:t>Registry standing</w:t>
            </w:r>
          </w:p>
        </w:tc>
        <w:tc>
          <w:tcPr>
            <w:tcW w:type="dxa" w:w="7560"/>
            <w:vAlign w:val="center"/>
            <w:tcMar>
              <w:top w:w="90" w:type="dxa"/>
              <w:start w:w="110" w:type="dxa"/>
              <w:bottom w:w="90" w:type="dxa"/>
              <w:end w:w="110" w:type="dxa"/>
            </w:tcMar>
          </w:tcPr>
          <w:p>
            <w:pPr>
              <w:spacing w:after="0" w:before="0"/>
            </w:pPr>
            <w:r/>
            <w:r>
              <w:rPr>
                <w:rFonts w:ascii="Aptos" w:hAnsi="Aptos"/>
                <w:b w:val="0"/>
                <w:color w:val="111827"/>
                <w:sz w:val="17"/>
              </w:rPr>
              <w:t>CANDIDATE · ADMITTED · HELD · REJECTED · RETIRED</w:t>
            </w:r>
          </w:p>
        </w:tc>
      </w:tr>
    </w:tbl>
    <w:p>
      <w:pPr>
        <w:spacing w:after="0"/>
      </w:pPr>
    </w:p>
    <w:p>
      <w:pPr>
        <w:spacing w:after="100" w:line="259" w:lineRule="auto"/>
        <w:ind w:left="0"/>
      </w:pPr>
      <w:r>
        <w:rPr>
          <w:rFonts w:ascii="Aptos" w:hAnsi="Aptos"/>
          <w:color w:val="111827"/>
          <w:sz w:val="21"/>
        </w:rPr>
        <w:t>Parses, naming conventions, embeddings, and fuzzy matches may generate candidate bridges. They may not silently become admitted structural truth. The bridge compiler should reject, hold, or admit each assertion and emit explicit projection operators only from admitted relations.</w:t>
      </w:r>
    </w:p>
    <w:p>
      <w:pPr>
        <w:pStyle w:val="Heading2"/>
        <w:keepNext/>
      </w:pPr>
      <w:r>
        <w:t>8.3 Use a declared carrier grain</w:t>
      </w:r>
    </w:p>
    <w:p>
      <w:pPr>
        <w:spacing w:after="100" w:line="259" w:lineRule="auto"/>
        <w:ind w:left="0"/>
      </w:pPr>
      <w:r>
        <w:rPr>
          <w:rFonts w:ascii="Aptos" w:hAnsi="Aptos"/>
          <w:color w:val="111827"/>
          <w:sz w:val="21"/>
        </w:rPr>
        <w:t>The absence of one universal entity grain does not prevent fusion. Each fusion run can declare a carrier grain and compile evidence-backed projection operators from native planes onto that analytical surface. The carrier grain is a coordinate system for the experiment, not a new universal ontology.</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E_symbol       native structural entities</w:t>
            </w:r>
            <w:r>
              <w:br/>
            </w:r>
            <w:r>
              <w:rPr>
                <w:rFonts w:ascii="Consolas" w:hAnsi="Consolas"/>
                <w:color w:val="111827"/>
                <w:sz w:val="18"/>
              </w:rPr>
              <w:t>E_file         native behavioral entities</w:t>
            </w:r>
            <w:r>
              <w:br/>
            </w:r>
            <w:r>
              <w:rPr>
                <w:rFonts w:ascii="Consolas" w:hAnsi="Consolas"/>
                <w:color w:val="111827"/>
                <w:sz w:val="18"/>
              </w:rPr>
              <w:t>P_symbol→file  admitted containment projection</w:t>
            </w:r>
            <w:r>
              <w:br/>
            </w:r>
            <w:r>
              <w:rPr>
                <w:rFonts w:ascii="Consolas" w:hAnsi="Consolas"/>
                <w:color w:val="111827"/>
                <w:sz w:val="18"/>
              </w:rPr>
            </w:r>
            <w:r>
              <w:br/>
            </w:r>
            <w:r>
              <w:rPr>
                <w:rFonts w:ascii="Consolas" w:hAnsi="Consolas"/>
                <w:color w:val="111827"/>
                <w:sz w:val="18"/>
              </w:rPr>
              <w:t>W_structure_file = normalize(</w:t>
            </w:r>
            <w:r>
              <w:br/>
            </w:r>
            <w:r>
              <w:rPr>
                <w:rFonts w:ascii="Consolas" w:hAnsi="Consolas"/>
                <w:color w:val="111827"/>
                <w:sz w:val="18"/>
              </w:rPr>
              <w:t xml:space="preserve">    P_symbol→fileᵀ · W_structure_symbol · P_symbol→file</w:t>
            </w:r>
            <w:r>
              <w:br/>
            </w:r>
            <w:r>
              <w:rPr>
                <w:rFonts w:ascii="Consolas" w:hAnsi="Consolas"/>
                <w:color w:val="111827"/>
                <w:sz w:val="18"/>
              </w:rPr>
              <w:t>)</w:t>
            </w:r>
            <w:r>
              <w:br/>
            </w:r>
            <w:r>
              <w:rPr>
                <w:rFonts w:ascii="Consolas" w:hAnsi="Consolas"/>
                <w:color w:val="111827"/>
                <w:sz w:val="18"/>
              </w:rPr>
            </w:r>
            <w:r>
              <w:br/>
            </w:r>
            <w:r>
              <w:rPr>
                <w:rFonts w:ascii="Consolas" w:hAnsi="Consolas"/>
                <w:color w:val="111827"/>
                <w:sz w:val="18"/>
              </w:rPr>
              <w:t>Fuse W_structure_file with W_behavior_file.</w:t>
            </w:r>
          </w:p>
        </w:tc>
      </w:tr>
    </w:tbl>
    <w:p>
      <w:pPr>
        <w:spacing w:after="0"/>
      </w:pPr>
    </w:p>
    <w:p>
      <w:pPr>
        <w:pStyle w:val="Heading2"/>
        <w:keepNext/>
      </w:pPr>
      <w:r>
        <w:t>8.4 Run the smallest decisive experiment first</w:t>
      </w:r>
    </w:p>
    <w:p>
      <w:pPr>
        <w:spacing w:after="100" w:line="259" w:lineRule="auto"/>
        <w:ind w:left="0"/>
      </w:pPr>
      <w:r>
        <w:rPr>
          <w:rFonts w:ascii="Aptos" w:hAnsi="Aptos"/>
          <w:color w:val="111827"/>
          <w:sz w:val="21"/>
        </w:rPr>
        <w:t>The first bridge should be symbol→file because file is the only currently measured plane, behavior is already native at file grain, and parser/source-location evidence can support the relation without relying on ID-string conventions.</w:t>
      </w:r>
    </w:p>
    <w:p>
      <w:pPr>
        <w:spacing w:after="100"/>
        <w:ind w:left="403" w:hanging="403"/>
      </w:pPr>
      <w:r>
        <w:rPr>
          <w:rFonts w:ascii="Aptos" w:hAnsi="Aptos"/>
          <w:b/>
          <w:color w:val="2C6E72"/>
          <w:sz w:val="21"/>
        </w:rPr>
        <w:t xml:space="preserve">1. </w:t>
      </w:r>
      <w:r>
        <w:rPr>
          <w:rFonts w:ascii="Aptos" w:hAnsi="Aptos"/>
          <w:color w:val="111827"/>
          <w:sz w:val="21"/>
        </w:rPr>
        <w:t>Recover or rebuild the committed producer for the structural view.</w:t>
      </w:r>
    </w:p>
    <w:p>
      <w:pPr>
        <w:spacing w:after="100"/>
        <w:ind w:left="403" w:hanging="403"/>
      </w:pPr>
      <w:r>
        <w:rPr>
          <w:rFonts w:ascii="Aptos" w:hAnsi="Aptos"/>
          <w:b/>
          <w:color w:val="2C6E72"/>
          <w:sz w:val="21"/>
        </w:rPr>
        <w:t xml:space="preserve">2. </w:t>
      </w:r>
      <w:r>
        <w:rPr>
          <w:rFonts w:ascii="Aptos" w:hAnsi="Aptos"/>
          <w:color w:val="111827"/>
          <w:sz w:val="21"/>
        </w:rPr>
        <w:t>Establish a reproducible symbol population and emit explicit symbol-to-file containment edges.</w:t>
      </w:r>
    </w:p>
    <w:p>
      <w:pPr>
        <w:spacing w:after="100"/>
        <w:ind w:left="403" w:hanging="403"/>
      </w:pPr>
      <w:r>
        <w:rPr>
          <w:rFonts w:ascii="Aptos" w:hAnsi="Aptos"/>
          <w:b/>
          <w:color w:val="2C6E72"/>
          <w:sz w:val="21"/>
        </w:rPr>
        <w:t xml:space="preserve">3. </w:t>
      </w:r>
      <w:r>
        <w:rPr>
          <w:rFonts w:ascii="Aptos" w:hAnsi="Aptos"/>
          <w:color w:val="111827"/>
          <w:sz w:val="21"/>
        </w:rPr>
        <w:t>Project the symbol-level structural affinity to file grain.</w:t>
      </w:r>
    </w:p>
    <w:p>
      <w:pPr>
        <w:spacing w:after="100"/>
        <w:ind w:left="403" w:hanging="403"/>
      </w:pPr>
      <w:r>
        <w:rPr>
          <w:rFonts w:ascii="Aptos" w:hAnsi="Aptos"/>
          <w:b/>
          <w:color w:val="2C6E72"/>
          <w:sz w:val="21"/>
        </w:rPr>
        <w:t xml:space="preserve">4. </w:t>
      </w:r>
      <w:r>
        <w:rPr>
          <w:rFonts w:ascii="Aptos" w:hAnsi="Aptos"/>
          <w:color w:val="111827"/>
          <w:sz w:val="21"/>
        </w:rPr>
        <w:t>Fuse that projected structure view with the existing file-level behavior view.</w:t>
      </w:r>
    </w:p>
    <w:p>
      <w:pPr>
        <w:spacing w:after="100"/>
        <w:ind w:left="403" w:hanging="403"/>
      </w:pPr>
      <w:r>
        <w:rPr>
          <w:rFonts w:ascii="Aptos" w:hAnsi="Aptos"/>
          <w:b/>
          <w:color w:val="2C6E72"/>
          <w:sz w:val="21"/>
        </w:rPr>
        <w:t xml:space="preserve">5. </w:t>
      </w:r>
      <w:r>
        <w:rPr>
          <w:rFonts w:ascii="Aptos" w:hAnsi="Aptos"/>
          <w:color w:val="111827"/>
          <w:sz w:val="21"/>
        </w:rPr>
        <w:t>Compare structure-only, behavior-only, a simple baseline, and SNF.</w:t>
      </w:r>
    </w:p>
    <w:p>
      <w:pPr>
        <w:spacing w:after="100"/>
        <w:ind w:left="403" w:hanging="403"/>
      </w:pPr>
      <w:r>
        <w:rPr>
          <w:rFonts w:ascii="Aptos" w:hAnsi="Aptos"/>
          <w:b/>
          <w:color w:val="2C6E72"/>
          <w:sz w:val="21"/>
        </w:rPr>
        <w:t xml:space="preserve">6. </w:t>
      </w:r>
      <w:r>
        <w:rPr>
          <w:rFonts w:ascii="Aptos" w:hAnsi="Aptos"/>
          <w:color w:val="111827"/>
          <w:sz w:val="21"/>
        </w:rPr>
        <w:t>Measure seed stability, firm separation, coverage, missingness, cover behavior, and rename survival.</w:t>
      </w:r>
    </w:p>
    <w:p>
      <w:pPr>
        <w:spacing w:after="100" w:line="259" w:lineRule="auto"/>
        <w:ind w:left="0"/>
      </w:pPr>
      <w:r>
        <w:rPr>
          <w:rFonts w:ascii="Aptos" w:hAnsi="Aptos"/>
          <w:color w:val="111827"/>
          <w:sz w:val="21"/>
        </w:rPr>
        <w:t>This experiment answers the central thesis before the estate invests in the full bridge population: does evidence-backed projection and multi-view fusion produce a consensus more stable than either view alone?</w:t>
      </w:r>
    </w:p>
    <w:p>
      <w:pPr>
        <w:pStyle w:val="Heading1"/>
        <w:keepNext/>
      </w:pPr>
      <w:r>
        <w:t>9. C3 Cover Semantics and L4 Succession</w:t>
      </w:r>
    </w:p>
    <w:p>
      <w:pPr>
        <w:pStyle w:val="Heading2"/>
        <w:keepNext/>
      </w:pPr>
      <w:r>
        <w:t>9.1 Make persistence cover-capable</w:t>
      </w:r>
    </w:p>
    <w:p>
      <w:pPr>
        <w:spacing w:after="100" w:line="259" w:lineRule="auto"/>
        <w:ind w:left="0"/>
      </w:pPr>
      <w:r>
        <w:rPr>
          <w:rFonts w:ascii="Aptos" w:hAnsi="Aptos"/>
          <w:color w:val="111827"/>
          <w:sz w:val="21"/>
        </w:rPr>
        <w:t>The measured 540 genuinely cross-domain memberships mean the storage model must not make exclusivity irreversible. A system should be represented as a time-versioned cover over entities. An algorithm may emit a partition as an intermediate or a primary-membership view, but the persistence contract must support zero-to-many memberships and preserve secondary or boundary roles.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ENTITY ── MEMBER_OF ──&gt; SYSTEM</w:t>
            </w:r>
            <w:r>
              <w:br/>
            </w:r>
            <w:r>
              <w:rPr>
                <w:rFonts w:ascii="Consolas" w:hAnsi="Consolas"/>
                <w:color w:val="111827"/>
                <w:sz w:val="18"/>
              </w:rPr>
            </w:r>
            <w:r>
              <w:br/>
            </w:r>
            <w:r>
              <w:rPr>
                <w:rFonts w:ascii="Consolas" w:hAnsi="Consolas"/>
                <w:color w:val="111827"/>
                <w:sz w:val="18"/>
              </w:rPr>
              <w:t>membership assertions may carry:</w:t>
            </w:r>
            <w:r>
              <w:br/>
            </w:r>
            <w:r>
              <w:rPr>
                <w:rFonts w:ascii="Consolas" w:hAnsi="Consolas"/>
                <w:color w:val="111827"/>
                <w:sz w:val="18"/>
              </w:rPr>
              <w:t xml:space="preserve">  weight · role · basis · valid_from · valid_to · source_snapshot</w:t>
            </w:r>
          </w:p>
        </w:tc>
      </w:tr>
    </w:tbl>
    <w:p>
      <w:pPr>
        <w:spacing w:after="0"/>
      </w:pPr>
    </w:p>
    <w:p>
      <w:pPr>
        <w:spacing w:after="100" w:line="259" w:lineRule="auto"/>
        <w:ind w:left="0"/>
      </w:pPr>
      <w:r>
        <w:rPr>
          <w:rFonts w:ascii="Aptos" w:hAnsi="Aptos"/>
          <w:color w:val="111827"/>
          <w:sz w:val="21"/>
        </w:rPr>
        <w:t>The previously measured 540 cross-domain memberships should become a regression cohort. Any new materializer or clustering process must explicitly report what happened to them.</w:t>
      </w:r>
    </w:p>
    <w:p>
      <w:pPr>
        <w:pStyle w:val="Heading2"/>
        <w:keepNext/>
      </w:pPr>
      <w:r>
        <w:t>9.2 Fused position is recognition evidence, not identity</w:t>
      </w:r>
    </w:p>
    <w:p>
      <w:pPr>
        <w:spacing w:after="100" w:line="259" w:lineRule="auto"/>
        <w:ind w:left="0"/>
      </w:pPr>
      <w:r>
        <w:rPr>
          <w:rFonts w:ascii="Aptos" w:hAnsi="Aptos"/>
          <w:color w:val="111827"/>
          <w:sz w:val="21"/>
        </w:rPr>
        <w:t>The current PRD language “identity = position in fused space” should be amended before ratification. Fused position changes when views, normalization, bridge versions, populations, hyperparameters, or algorithms change. The durable identity must remain an opaque ledger object; the fused signature is versioned evidence used to decide continuity.</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IDENTITY</w:t>
            </w:r>
            <w:r>
              <w:br/>
            </w:r>
            <w:r>
              <w:rPr>
                <w:rFonts w:ascii="Consolas" w:hAnsi="Consolas"/>
                <w:color w:val="111827"/>
                <w:sz w:val="18"/>
              </w:rPr>
              <w:t xml:space="preserve">  opaque serial, minted once</w:t>
            </w:r>
            <w:r>
              <w:br/>
            </w:r>
            <w:r>
              <w:rPr>
                <w:rFonts w:ascii="Consolas" w:hAnsi="Consolas"/>
                <w:color w:val="111827"/>
                <w:sz w:val="18"/>
              </w:rPr>
            </w:r>
            <w:r>
              <w:br/>
            </w:r>
            <w:r>
              <w:rPr>
                <w:rFonts w:ascii="Consolas" w:hAnsi="Consolas"/>
                <w:color w:val="111827"/>
                <w:sz w:val="18"/>
              </w:rPr>
              <w:t>SYSTEM VERSION</w:t>
            </w:r>
            <w:r>
              <w:br/>
            </w:r>
            <w:r>
              <w:rPr>
                <w:rFonts w:ascii="Consolas" w:hAnsi="Consolas"/>
                <w:color w:val="111827"/>
                <w:sz w:val="18"/>
              </w:rPr>
              <w:t xml:space="preserve">  membership and attributes at snapshot N</w:t>
            </w:r>
            <w:r>
              <w:br/>
            </w:r>
            <w:r>
              <w:rPr>
                <w:rFonts w:ascii="Consolas" w:hAnsi="Consolas"/>
                <w:color w:val="111827"/>
                <w:sz w:val="18"/>
              </w:rPr>
            </w:r>
            <w:r>
              <w:br/>
            </w:r>
            <w:r>
              <w:rPr>
                <w:rFonts w:ascii="Consolas" w:hAnsi="Consolas"/>
                <w:color w:val="111827"/>
                <w:sz w:val="18"/>
              </w:rPr>
              <w:t>FUSED SIGNATURE</w:t>
            </w:r>
            <w:r>
              <w:br/>
            </w:r>
            <w:r>
              <w:rPr>
                <w:rFonts w:ascii="Consolas" w:hAnsi="Consolas"/>
                <w:color w:val="111827"/>
                <w:sz w:val="18"/>
              </w:rPr>
              <w:t xml:space="preserve">  versioned evidence used to match system versions</w:t>
            </w:r>
            <w:r>
              <w:br/>
            </w:r>
            <w:r>
              <w:rPr>
                <w:rFonts w:ascii="Consolas" w:hAnsi="Consolas"/>
                <w:color w:val="111827"/>
                <w:sz w:val="18"/>
              </w:rPr>
            </w:r>
            <w:r>
              <w:br/>
            </w:r>
            <w:r>
              <w:rPr>
                <w:rFonts w:ascii="Consolas" w:hAnsi="Consolas"/>
                <w:color w:val="111827"/>
                <w:sz w:val="18"/>
              </w:rPr>
              <w:t>SUCCESSION</w:t>
            </w:r>
            <w:r>
              <w:br/>
            </w:r>
            <w:r>
              <w:rPr>
                <w:rFonts w:ascii="Consolas" w:hAnsi="Consolas"/>
                <w:color w:val="111827"/>
                <w:sz w:val="18"/>
              </w:rPr>
              <w:t xml:space="preserve">  append-only relations connecting versions and identities</w:t>
            </w:r>
          </w:p>
        </w:tc>
      </w:tr>
    </w:tbl>
    <w:p>
      <w:pPr>
        <w:spacing w:after="0"/>
      </w:pPr>
    </w:p>
    <w:p>
      <w:pPr>
        <w:pStyle w:val="Heading2"/>
        <w:keepNext/>
      </w:pPr>
      <w:r>
        <w:t>9.3 Store the succession graph as primary truth</w:t>
      </w:r>
    </w:p>
    <w:p>
      <w:pPr>
        <w:spacing w:after="100" w:line="259" w:lineRule="auto"/>
        <w:ind w:left="0"/>
      </w:pPr>
      <w:r>
        <w:rPr>
          <w:rFonts w:ascii="Aptos" w:hAnsi="Aptos"/>
          <w:color w:val="111827"/>
          <w:sz w:val="21"/>
        </w:rPr>
        <w:t>Birth, retirement, split, merge, continuation, and reorganization are best derived from predecessor/successor cardinality rather than forced into one closed event enum at write time.</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2016"/>
        <w:gridCol w:w="2016"/>
        <w:gridCol w:w="5832"/>
      </w:tblGrid>
      <w:tr>
        <w:trPr>
          <w:tblHeader w:val="true"/>
          <w:cantSplit/>
        </w:trPr>
        <w:tc>
          <w:tcPr>
            <w:tcW w:type="dxa" w:w="3331"/>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Predecessors</w:t>
            </w:r>
          </w:p>
        </w:tc>
        <w:tc>
          <w:tcPr>
            <w:tcW w:type="dxa" w:w="3331"/>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Successors</w:t>
            </w:r>
          </w:p>
        </w:tc>
        <w:tc>
          <w:tcPr>
            <w:tcW w:type="dxa" w:w="3331"/>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Derived interpretation</w:t>
            </w:r>
          </w:p>
        </w:tc>
      </w:tr>
      <w:tr>
        <w:trPr>
          <w:cantSplit/>
        </w:trPr>
        <w:tc>
          <w:tcPr>
            <w:tcW w:type="dxa" w:w="2016"/>
            <w:vAlign w:val="center"/>
            <w:tcMar>
              <w:top w:w="90" w:type="dxa"/>
              <w:start w:w="110" w:type="dxa"/>
              <w:bottom w:w="90" w:type="dxa"/>
              <w:end w:w="110" w:type="dxa"/>
            </w:tcMar>
          </w:tcPr>
          <w:p>
            <w:pPr>
              <w:spacing w:after="0" w:before="0"/>
            </w:pPr>
            <w:r/>
            <w:r>
              <w:rPr>
                <w:rFonts w:ascii="Aptos" w:hAnsi="Aptos"/>
                <w:b w:val="0"/>
                <w:color w:val="111827"/>
                <w:sz w:val="17"/>
              </w:rPr>
              <w:t>0</w:t>
            </w:r>
          </w:p>
        </w:tc>
        <w:tc>
          <w:tcPr>
            <w:tcW w:type="dxa" w:w="2016"/>
            <w:vAlign w:val="center"/>
            <w:tcMar>
              <w:top w:w="90" w:type="dxa"/>
              <w:start w:w="110" w:type="dxa"/>
              <w:bottom w:w="90" w:type="dxa"/>
              <w:end w:w="110" w:type="dxa"/>
            </w:tcMar>
          </w:tcPr>
          <w:p>
            <w:pPr>
              <w:spacing w:after="0" w:before="0"/>
            </w:pPr>
            <w:r/>
            <w:r>
              <w:rPr>
                <w:rFonts w:ascii="Aptos" w:hAnsi="Aptos"/>
                <w:b w:val="0"/>
                <w:color w:val="111827"/>
                <w:sz w:val="17"/>
              </w:rPr>
              <w:t>1</w:t>
            </w:r>
          </w:p>
        </w:tc>
        <w:tc>
          <w:tcPr>
            <w:tcW w:type="dxa" w:w="5832"/>
            <w:vAlign w:val="center"/>
            <w:tcMar>
              <w:top w:w="90" w:type="dxa"/>
              <w:start w:w="110" w:type="dxa"/>
              <w:bottom w:w="90" w:type="dxa"/>
              <w:end w:w="110" w:type="dxa"/>
            </w:tcMar>
          </w:tcPr>
          <w:p>
            <w:pPr>
              <w:spacing w:after="0" w:before="0"/>
            </w:pPr>
            <w:r/>
            <w:r>
              <w:rPr>
                <w:rFonts w:ascii="Aptos" w:hAnsi="Aptos"/>
                <w:b w:val="0"/>
                <w:color w:val="111827"/>
                <w:sz w:val="17"/>
              </w:rPr>
              <w:t>Birth</w:t>
            </w:r>
          </w:p>
        </w:tc>
      </w:tr>
      <w:tr>
        <w:trPr>
          <w:cantSplit/>
        </w:trPr>
        <w:tc>
          <w:tcPr>
            <w:tcW w:type="dxa" w:w="2016"/>
            <w:vAlign w:val="center"/>
            <w:tcMar>
              <w:top w:w="90" w:type="dxa"/>
              <w:start w:w="110" w:type="dxa"/>
              <w:bottom w:w="90" w:type="dxa"/>
              <w:end w:w="110" w:type="dxa"/>
            </w:tcMar>
            <w:shd w:fill="F8FAFC"/>
          </w:tcPr>
          <w:p>
            <w:pPr>
              <w:spacing w:after="0" w:before="0"/>
            </w:pPr>
            <w:r/>
            <w:r>
              <w:rPr>
                <w:rFonts w:ascii="Aptos" w:hAnsi="Aptos"/>
                <w:b w:val="0"/>
                <w:color w:val="111827"/>
                <w:sz w:val="17"/>
              </w:rPr>
              <w:t>1</w:t>
            </w:r>
          </w:p>
        </w:tc>
        <w:tc>
          <w:tcPr>
            <w:tcW w:type="dxa" w:w="2016"/>
            <w:vAlign w:val="center"/>
            <w:tcMar>
              <w:top w:w="90" w:type="dxa"/>
              <w:start w:w="110" w:type="dxa"/>
              <w:bottom w:w="90" w:type="dxa"/>
              <w:end w:w="110" w:type="dxa"/>
            </w:tcMar>
            <w:shd w:fill="F8FAFC"/>
          </w:tcPr>
          <w:p>
            <w:pPr>
              <w:spacing w:after="0" w:before="0"/>
            </w:pPr>
            <w:r/>
            <w:r>
              <w:rPr>
                <w:rFonts w:ascii="Aptos" w:hAnsi="Aptos"/>
                <w:b w:val="0"/>
                <w:color w:val="111827"/>
                <w:sz w:val="17"/>
              </w:rPr>
              <w:t>0</w:t>
            </w:r>
          </w:p>
        </w:tc>
        <w:tc>
          <w:tcPr>
            <w:tcW w:type="dxa" w:w="5832"/>
            <w:vAlign w:val="center"/>
            <w:tcMar>
              <w:top w:w="90" w:type="dxa"/>
              <w:start w:w="110" w:type="dxa"/>
              <w:bottom w:w="90" w:type="dxa"/>
              <w:end w:w="110" w:type="dxa"/>
            </w:tcMar>
            <w:shd w:fill="F8FAFC"/>
          </w:tcPr>
          <w:p>
            <w:pPr>
              <w:spacing w:after="0" w:before="0"/>
            </w:pPr>
            <w:r/>
            <w:r>
              <w:rPr>
                <w:rFonts w:ascii="Aptos" w:hAnsi="Aptos"/>
                <w:b w:val="0"/>
                <w:color w:val="111827"/>
                <w:sz w:val="17"/>
              </w:rPr>
              <w:t>Retirement</w:t>
            </w:r>
          </w:p>
        </w:tc>
      </w:tr>
      <w:tr>
        <w:trPr>
          <w:cantSplit/>
        </w:trPr>
        <w:tc>
          <w:tcPr>
            <w:tcW w:type="dxa" w:w="2016"/>
            <w:vAlign w:val="center"/>
            <w:tcMar>
              <w:top w:w="90" w:type="dxa"/>
              <w:start w:w="110" w:type="dxa"/>
              <w:bottom w:w="90" w:type="dxa"/>
              <w:end w:w="110" w:type="dxa"/>
            </w:tcMar>
          </w:tcPr>
          <w:p>
            <w:pPr>
              <w:spacing w:after="0" w:before="0"/>
            </w:pPr>
            <w:r/>
            <w:r>
              <w:rPr>
                <w:rFonts w:ascii="Aptos" w:hAnsi="Aptos"/>
                <w:b w:val="0"/>
                <w:color w:val="111827"/>
                <w:sz w:val="17"/>
              </w:rPr>
              <w:t>1</w:t>
            </w:r>
          </w:p>
        </w:tc>
        <w:tc>
          <w:tcPr>
            <w:tcW w:type="dxa" w:w="2016"/>
            <w:vAlign w:val="center"/>
            <w:tcMar>
              <w:top w:w="90" w:type="dxa"/>
              <w:start w:w="110" w:type="dxa"/>
              <w:bottom w:w="90" w:type="dxa"/>
              <w:end w:w="110" w:type="dxa"/>
            </w:tcMar>
          </w:tcPr>
          <w:p>
            <w:pPr>
              <w:spacing w:after="0" w:before="0"/>
            </w:pPr>
            <w:r/>
            <w:r>
              <w:rPr>
                <w:rFonts w:ascii="Aptos" w:hAnsi="Aptos"/>
                <w:b w:val="0"/>
                <w:color w:val="111827"/>
                <w:sz w:val="17"/>
              </w:rPr>
              <w:t>1</w:t>
            </w:r>
          </w:p>
        </w:tc>
        <w:tc>
          <w:tcPr>
            <w:tcW w:type="dxa" w:w="5832"/>
            <w:vAlign w:val="center"/>
            <w:tcMar>
              <w:top w:w="90" w:type="dxa"/>
              <w:start w:w="110" w:type="dxa"/>
              <w:bottom w:w="90" w:type="dxa"/>
              <w:end w:w="110" w:type="dxa"/>
            </w:tcMar>
          </w:tcPr>
          <w:p>
            <w:pPr>
              <w:spacing w:after="0" w:before="0"/>
            </w:pPr>
            <w:r/>
            <w:r>
              <w:rPr>
                <w:rFonts w:ascii="Aptos" w:hAnsi="Aptos"/>
                <w:b w:val="0"/>
                <w:color w:val="111827"/>
                <w:sz w:val="17"/>
              </w:rPr>
              <w:t>Continuation, rename, or mutation</w:t>
            </w:r>
          </w:p>
        </w:tc>
      </w:tr>
      <w:tr>
        <w:trPr>
          <w:cantSplit/>
        </w:trPr>
        <w:tc>
          <w:tcPr>
            <w:tcW w:type="dxa" w:w="2016"/>
            <w:vAlign w:val="center"/>
            <w:tcMar>
              <w:top w:w="90" w:type="dxa"/>
              <w:start w:w="110" w:type="dxa"/>
              <w:bottom w:w="90" w:type="dxa"/>
              <w:end w:w="110" w:type="dxa"/>
            </w:tcMar>
            <w:shd w:fill="F8FAFC"/>
          </w:tcPr>
          <w:p>
            <w:pPr>
              <w:spacing w:after="0" w:before="0"/>
            </w:pPr>
            <w:r/>
            <w:r>
              <w:rPr>
                <w:rFonts w:ascii="Aptos" w:hAnsi="Aptos"/>
                <w:b w:val="0"/>
                <w:color w:val="111827"/>
                <w:sz w:val="17"/>
              </w:rPr>
              <w:t>1</w:t>
            </w:r>
          </w:p>
        </w:tc>
        <w:tc>
          <w:tcPr>
            <w:tcW w:type="dxa" w:w="2016"/>
            <w:vAlign w:val="center"/>
            <w:tcMar>
              <w:top w:w="90" w:type="dxa"/>
              <w:start w:w="110" w:type="dxa"/>
              <w:bottom w:w="90" w:type="dxa"/>
              <w:end w:w="110" w:type="dxa"/>
            </w:tcMar>
            <w:shd w:fill="F8FAFC"/>
          </w:tcPr>
          <w:p>
            <w:pPr>
              <w:spacing w:after="0" w:before="0"/>
            </w:pPr>
            <w:r/>
            <w:r>
              <w:rPr>
                <w:rFonts w:ascii="Aptos" w:hAnsi="Aptos"/>
                <w:b w:val="0"/>
                <w:color w:val="111827"/>
                <w:sz w:val="17"/>
              </w:rPr>
              <w:t>many</w:t>
            </w:r>
          </w:p>
        </w:tc>
        <w:tc>
          <w:tcPr>
            <w:tcW w:type="dxa" w:w="5832"/>
            <w:vAlign w:val="center"/>
            <w:tcMar>
              <w:top w:w="90" w:type="dxa"/>
              <w:start w:w="110" w:type="dxa"/>
              <w:bottom w:w="90" w:type="dxa"/>
              <w:end w:w="110" w:type="dxa"/>
            </w:tcMar>
            <w:shd w:fill="F8FAFC"/>
          </w:tcPr>
          <w:p>
            <w:pPr>
              <w:spacing w:after="0" w:before="0"/>
            </w:pPr>
            <w:r/>
            <w:r>
              <w:rPr>
                <w:rFonts w:ascii="Aptos" w:hAnsi="Aptos"/>
                <w:b w:val="0"/>
                <w:color w:val="111827"/>
                <w:sz w:val="17"/>
              </w:rPr>
              <w:t>Split</w:t>
            </w:r>
          </w:p>
        </w:tc>
      </w:tr>
      <w:tr>
        <w:trPr>
          <w:cantSplit/>
        </w:trPr>
        <w:tc>
          <w:tcPr>
            <w:tcW w:type="dxa" w:w="2016"/>
            <w:vAlign w:val="center"/>
            <w:tcMar>
              <w:top w:w="90" w:type="dxa"/>
              <w:start w:w="110" w:type="dxa"/>
              <w:bottom w:w="90" w:type="dxa"/>
              <w:end w:w="110" w:type="dxa"/>
            </w:tcMar>
          </w:tcPr>
          <w:p>
            <w:pPr>
              <w:spacing w:after="0" w:before="0"/>
            </w:pPr>
            <w:r/>
            <w:r>
              <w:rPr>
                <w:rFonts w:ascii="Aptos" w:hAnsi="Aptos"/>
                <w:b w:val="0"/>
                <w:color w:val="111827"/>
                <w:sz w:val="17"/>
              </w:rPr>
              <w:t>many</w:t>
            </w:r>
          </w:p>
        </w:tc>
        <w:tc>
          <w:tcPr>
            <w:tcW w:type="dxa" w:w="2016"/>
            <w:vAlign w:val="center"/>
            <w:tcMar>
              <w:top w:w="90" w:type="dxa"/>
              <w:start w:w="110" w:type="dxa"/>
              <w:bottom w:w="90" w:type="dxa"/>
              <w:end w:w="110" w:type="dxa"/>
            </w:tcMar>
          </w:tcPr>
          <w:p>
            <w:pPr>
              <w:spacing w:after="0" w:before="0"/>
            </w:pPr>
            <w:r/>
            <w:r>
              <w:rPr>
                <w:rFonts w:ascii="Aptos" w:hAnsi="Aptos"/>
                <w:b w:val="0"/>
                <w:color w:val="111827"/>
                <w:sz w:val="17"/>
              </w:rPr>
              <w:t>1</w:t>
            </w:r>
          </w:p>
        </w:tc>
        <w:tc>
          <w:tcPr>
            <w:tcW w:type="dxa" w:w="5832"/>
            <w:vAlign w:val="center"/>
            <w:tcMar>
              <w:top w:w="90" w:type="dxa"/>
              <w:start w:w="110" w:type="dxa"/>
              <w:bottom w:w="90" w:type="dxa"/>
              <w:end w:w="110" w:type="dxa"/>
            </w:tcMar>
          </w:tcPr>
          <w:p>
            <w:pPr>
              <w:spacing w:after="0" w:before="0"/>
            </w:pPr>
            <w:r/>
            <w:r>
              <w:rPr>
                <w:rFonts w:ascii="Aptos" w:hAnsi="Aptos"/>
                <w:b w:val="0"/>
                <w:color w:val="111827"/>
                <w:sz w:val="17"/>
              </w:rPr>
              <w:t>Merge</w:t>
            </w:r>
          </w:p>
        </w:tc>
      </w:tr>
      <w:tr>
        <w:trPr>
          <w:cantSplit/>
        </w:trPr>
        <w:tc>
          <w:tcPr>
            <w:tcW w:type="dxa" w:w="2016"/>
            <w:vAlign w:val="center"/>
            <w:tcMar>
              <w:top w:w="90" w:type="dxa"/>
              <w:start w:w="110" w:type="dxa"/>
              <w:bottom w:w="90" w:type="dxa"/>
              <w:end w:w="110" w:type="dxa"/>
            </w:tcMar>
            <w:shd w:fill="F8FAFC"/>
          </w:tcPr>
          <w:p>
            <w:pPr>
              <w:spacing w:after="0" w:before="0"/>
            </w:pPr>
            <w:r/>
            <w:r>
              <w:rPr>
                <w:rFonts w:ascii="Aptos" w:hAnsi="Aptos"/>
                <w:b w:val="0"/>
                <w:color w:val="111827"/>
                <w:sz w:val="17"/>
              </w:rPr>
              <w:t>many</w:t>
            </w:r>
          </w:p>
        </w:tc>
        <w:tc>
          <w:tcPr>
            <w:tcW w:type="dxa" w:w="2016"/>
            <w:vAlign w:val="center"/>
            <w:tcMar>
              <w:top w:w="90" w:type="dxa"/>
              <w:start w:w="110" w:type="dxa"/>
              <w:bottom w:w="90" w:type="dxa"/>
              <w:end w:w="110" w:type="dxa"/>
            </w:tcMar>
            <w:shd w:fill="F8FAFC"/>
          </w:tcPr>
          <w:p>
            <w:pPr>
              <w:spacing w:after="0" w:before="0"/>
            </w:pPr>
            <w:r/>
            <w:r>
              <w:rPr>
                <w:rFonts w:ascii="Aptos" w:hAnsi="Aptos"/>
                <w:b w:val="0"/>
                <w:color w:val="111827"/>
                <w:sz w:val="17"/>
              </w:rPr>
              <w:t>many</w:t>
            </w:r>
          </w:p>
        </w:tc>
        <w:tc>
          <w:tcPr>
            <w:tcW w:type="dxa" w:w="5832"/>
            <w:vAlign w:val="center"/>
            <w:tcMar>
              <w:top w:w="90" w:type="dxa"/>
              <w:start w:w="110" w:type="dxa"/>
              <w:bottom w:w="90" w:type="dxa"/>
              <w:end w:w="110" w:type="dxa"/>
            </w:tcMar>
            <w:shd w:fill="F8FAFC"/>
          </w:tcPr>
          <w:p>
            <w:pPr>
              <w:spacing w:after="0" w:before="0"/>
            </w:pPr>
            <w:r/>
            <w:r>
              <w:rPr>
                <w:rFonts w:ascii="Aptos" w:hAnsi="Aptos"/>
                <w:b w:val="0"/>
                <w:color w:val="111827"/>
                <w:sz w:val="17"/>
              </w:rPr>
              <w:t>Reorganization</w:t>
            </w:r>
          </w:p>
        </w:tc>
      </w:tr>
    </w:tbl>
    <w:p>
      <w:pPr>
        <w:spacing w:after="0"/>
      </w:pPr>
    </w:p>
    <w:p>
      <w:pPr>
        <w:spacing w:after="100" w:line="259" w:lineRule="auto"/>
        <w:ind w:left="0"/>
      </w:pPr>
      <w:r>
        <w:rPr>
          <w:rFonts w:ascii="Aptos" w:hAnsi="Aptos"/>
          <w:color w:val="111827"/>
          <w:sz w:val="21"/>
        </w:rPr>
        <w:t>Ambiguous continuity should be a first-class held state. It should not silently become either an automatic continuation or a newly minted identity.</w:t>
      </w:r>
    </w:p>
    <w:p>
      <w:pPr>
        <w:pStyle w:val="Heading1"/>
        <w:keepNext/>
      </w:pPr>
      <w:r>
        <w:t>10. Recommended Implementation Sequence</w:t>
      </w:r>
    </w:p>
    <w:p>
      <w:pPr>
        <w:spacing w:after="100"/>
        <w:ind w:left="403" w:hanging="403"/>
      </w:pPr>
      <w:r>
        <w:rPr>
          <w:rFonts w:ascii="Aptos" w:hAnsi="Aptos"/>
          <w:b/>
          <w:color w:val="2C6E72"/>
          <w:sz w:val="21"/>
        </w:rPr>
        <w:t xml:space="preserve">1. </w:t>
      </w:r>
      <w:r>
        <w:rPr>
          <w:rFonts w:ascii="Aptos" w:hAnsi="Aptos"/>
          <w:b/>
          <w:color w:val="111827"/>
          <w:sz w:val="21"/>
        </w:rPr>
        <w:t>Preserve the evidence estate.</w:t>
      </w:r>
      <w:r>
        <w:rPr>
          <w:rFonts w:ascii="Aptos" w:hAnsi="Aptos"/>
          <w:color w:val="111827"/>
          <w:sz w:val="21"/>
        </w:rPr>
        <w:t xml:space="preserve"> Pin the current C2/C3 outputs, source frontiers, seeds, parameters, dependencies, device, and producing code in immutable digest-addressed storage. A clean clone must be able to authenticate or reproduce every admitted input.</w:t>
      </w:r>
    </w:p>
    <w:p>
      <w:pPr>
        <w:spacing w:after="100"/>
        <w:ind w:left="403" w:hanging="403"/>
      </w:pPr>
      <w:r>
        <w:rPr>
          <w:rFonts w:ascii="Aptos" w:hAnsi="Aptos"/>
          <w:b/>
          <w:color w:val="2C6E72"/>
          <w:sz w:val="21"/>
        </w:rPr>
        <w:t xml:space="preserve">2. </w:t>
      </w:r>
      <w:r>
        <w:rPr>
          <w:rFonts w:ascii="Aptos" w:hAnsi="Aptos"/>
          <w:b/>
          <w:color w:val="111827"/>
          <w:sz w:val="21"/>
        </w:rPr>
        <w:t>Ratify or amend the PRD.</w:t>
      </w:r>
      <w:r>
        <w:rPr>
          <w:rFonts w:ascii="Aptos" w:hAnsi="Aptos"/>
          <w:color w:val="111827"/>
          <w:sz w:val="21"/>
        </w:rPr>
        <w:t xml:space="preserve"> Explicitly settle minted identity, C0 semantics, cover-capable membership, fused signatures as evidence, and the Issue 3 integration role before implementation hardens the ambiguity.</w:t>
      </w:r>
    </w:p>
    <w:p>
      <w:pPr>
        <w:spacing w:after="100"/>
        <w:ind w:left="403" w:hanging="403"/>
      </w:pPr>
      <w:r>
        <w:rPr>
          <w:rFonts w:ascii="Aptos" w:hAnsi="Aptos"/>
          <w:b/>
          <w:color w:val="2C6E72"/>
          <w:sz w:val="21"/>
        </w:rPr>
        <w:t xml:space="preserve">3. </w:t>
      </w:r>
      <w:r>
        <w:rPr>
          <w:rFonts w:ascii="Aptos" w:hAnsi="Aptos"/>
          <w:b/>
          <w:color w:val="111827"/>
          <w:sz w:val="21"/>
        </w:rPr>
        <w:t>Land Issue 3A.</w:t>
      </w:r>
      <w:r>
        <w:rPr>
          <w:rFonts w:ascii="Aptos" w:hAnsi="Aptos"/>
          <w:color w:val="111827"/>
          <w:sz w:val="21"/>
        </w:rPr>
        <w:t xml:space="preserve"> Define ENTITY, ENTITY_BINDING, STATE_OBSERVATION, IDENTITY_RELATION, MATERIALIZER, MATERIALIZER_VERSION, MATERIALIZATION_RUN, SOURCE_FRONTIER, and SURFACE_VERSION under adversarial schema validation.</w:t>
      </w:r>
    </w:p>
    <w:p>
      <w:pPr>
        <w:spacing w:after="100"/>
        <w:ind w:left="403" w:hanging="403"/>
      </w:pPr>
      <w:r>
        <w:rPr>
          <w:rFonts w:ascii="Aptos" w:hAnsi="Aptos"/>
          <w:b/>
          <w:color w:val="2C6E72"/>
          <w:sz w:val="21"/>
        </w:rPr>
        <w:t xml:space="preserve">4. </w:t>
      </w:r>
      <w:r>
        <w:rPr>
          <w:rFonts w:ascii="Aptos" w:hAnsi="Aptos"/>
          <w:b/>
          <w:color w:val="111827"/>
          <w:sz w:val="21"/>
        </w:rPr>
        <w:t>Migrate L0 and the materializer topology.</w:t>
      </w:r>
      <w:r>
        <w:rPr>
          <w:rFonts w:ascii="Aptos" w:hAnsi="Aptos"/>
          <w:color w:val="111827"/>
          <w:sz w:val="21"/>
        </w:rPr>
        <w:t xml:space="preserve"> Assign serials to all manifest parts, represent plural materializer relations, register Nessie _refs/_objs, populate grains/keys/failure modes, and make opinion contracts and implementation versions load-bearing.</w:t>
      </w:r>
    </w:p>
    <w:p>
      <w:pPr>
        <w:spacing w:after="100"/>
        <w:ind w:left="403" w:hanging="403"/>
      </w:pPr>
      <w:r>
        <w:rPr>
          <w:rFonts w:ascii="Aptos" w:hAnsi="Aptos"/>
          <w:b/>
          <w:color w:val="2C6E72"/>
          <w:sz w:val="21"/>
        </w:rPr>
        <w:t xml:space="preserve">5. </w:t>
      </w:r>
      <w:r>
        <w:rPr>
          <w:rFonts w:ascii="Aptos" w:hAnsi="Aptos"/>
          <w:b/>
          <w:color w:val="111827"/>
          <w:sz w:val="21"/>
        </w:rPr>
        <w:t>Repair resolver trust semantics.</w:t>
      </w:r>
      <w:r>
        <w:rPr>
          <w:rFonts w:ascii="Aptos" w:hAnsi="Aptos"/>
          <w:color w:val="111827"/>
          <w:sz w:val="21"/>
        </w:rPr>
        <w:t xml:space="preserve"> Distinguish SUBSTRATE_UNAVAILABLE from GENUINELY_UNADDRESSED and make every resolution result carry source vintage, fabric, evidence, plural candidates, and confidence.</w:t>
      </w:r>
    </w:p>
    <w:p>
      <w:pPr>
        <w:spacing w:after="100"/>
        <w:ind w:left="403" w:hanging="403"/>
      </w:pPr>
      <w:r>
        <w:rPr>
          <w:rFonts w:ascii="Aptos" w:hAnsi="Aptos"/>
          <w:b/>
          <w:color w:val="2C6E72"/>
          <w:sz w:val="21"/>
        </w:rPr>
        <w:t xml:space="preserve">6. </w:t>
      </w:r>
      <w:r>
        <w:rPr>
          <w:rFonts w:ascii="Aptos" w:hAnsi="Aptos"/>
          <w:b/>
          <w:color w:val="111827"/>
          <w:sz w:val="21"/>
        </w:rPr>
        <w:t>Populate one bridge end to end.</w:t>
      </w:r>
      <w:r>
        <w:rPr>
          <w:rFonts w:ascii="Aptos" w:hAnsi="Aptos"/>
          <w:color w:val="111827"/>
          <w:sz w:val="21"/>
        </w:rPr>
        <w:t xml:space="preserve"> Start with evidence-backed symbol→file containment, expressed in serials and governed through candidate/admitted standing.</w:t>
      </w:r>
    </w:p>
    <w:p>
      <w:pPr>
        <w:spacing w:after="100"/>
        <w:ind w:left="403" w:hanging="403"/>
      </w:pPr>
      <w:r>
        <w:rPr>
          <w:rFonts w:ascii="Aptos" w:hAnsi="Aptos"/>
          <w:b/>
          <w:color w:val="2C6E72"/>
          <w:sz w:val="21"/>
        </w:rPr>
        <w:t xml:space="preserve">7. </w:t>
      </w:r>
      <w:r>
        <w:rPr>
          <w:rFonts w:ascii="Aptos" w:hAnsi="Aptos"/>
          <w:b/>
          <w:color w:val="111827"/>
          <w:sz w:val="21"/>
        </w:rPr>
        <w:t>Run the decisive two-view experiment.</w:t>
      </w:r>
      <w:r>
        <w:rPr>
          <w:rFonts w:ascii="Aptos" w:hAnsi="Aptos"/>
          <w:color w:val="111827"/>
          <w:sz w:val="21"/>
        </w:rPr>
        <w:t xml:space="preserve"> Project structure to file grain, fuse with behavior, compare baselines, and measure stability, separation, coverage, missingness, and cross-domain membership preservation.</w:t>
      </w:r>
    </w:p>
    <w:p>
      <w:pPr>
        <w:spacing w:after="100"/>
        <w:ind w:left="403" w:hanging="403"/>
      </w:pPr>
      <w:r>
        <w:rPr>
          <w:rFonts w:ascii="Aptos" w:hAnsi="Aptos"/>
          <w:b/>
          <w:color w:val="2C6E72"/>
          <w:sz w:val="21"/>
        </w:rPr>
        <w:t xml:space="preserve">8. </w:t>
      </w:r>
      <w:r>
        <w:rPr>
          <w:rFonts w:ascii="Aptos" w:hAnsi="Aptos"/>
          <w:b/>
          <w:color w:val="111827"/>
          <w:sz w:val="21"/>
        </w:rPr>
        <w:t>Implement Issue 3B and then L4.</w:t>
      </w:r>
      <w:r>
        <w:rPr>
          <w:rFonts w:ascii="Aptos" w:hAnsi="Aptos"/>
          <w:color w:val="111827"/>
          <w:sz w:val="21"/>
        </w:rPr>
        <w:t xml:space="preserve"> Evaluate graph and projection coherence against source frontiers, target policies, materializer versions, Nessie heads, and fabrics; only then begin minting persistent discovered-system identities and succession history.</w:t>
      </w:r>
    </w:p>
    <w:tbl>
      <w:tblPr>
        <w:tblW w:type="auto" w:w="0"/>
        <w:jc w:val="center"/>
        <w:tblLayout w:type="fixed"/>
        <w:tblLook w:firstColumn="1" w:firstRow="1" w:lastColumn="0" w:lastRow="0" w:noHBand="0" w:noVBand="1" w:val="04A0"/>
        <w:tblBorders>
          <w:top w:val="single" w:sz="8" w:space="0" w:color="2C6E72"/>
          <w:left w:val="single" w:sz="8" w:space="0" w:color="2C6E72"/>
          <w:bottom w:val="single" w:sz="8" w:space="0" w:color="2C6E72"/>
          <w:right w:val="single" w:sz="8" w:space="0" w:color="2C6E72"/>
          <w:insideH w:val="single" w:sz="8" w:space="0" w:color="2C6E72"/>
          <w:insideV w:val="single" w:sz="8" w:space="0" w:color="2C6E72"/>
        </w:tblBorders>
      </w:tblPr>
      <w:tblGrid>
        <w:gridCol w:w="9864"/>
      </w:tblGrid>
      <w:tr>
        <w:tc>
          <w:tcPr>
            <w:tcW w:type="dxa" w:w="9994"/>
            <w:shd w:fill="E8F3F2"/>
            <w:tcMar>
              <w:top w:w="150" w:type="dxa"/>
              <w:start w:w="180" w:type="dxa"/>
              <w:bottom w:w="150" w:type="dxa"/>
              <w:end w:w="180" w:type="dxa"/>
            </w:tcMar>
          </w:tcPr>
          <w:p>
            <w:pPr>
              <w:spacing w:after="80"/>
            </w:pPr>
            <w:r>
              <w:rPr>
                <w:rFonts w:ascii="Aptos Display" w:hAnsi="Aptos Display"/>
                <w:b/>
                <w:color w:val="2C6E72"/>
                <w:sz w:val="19"/>
              </w:rPr>
              <w:t>IMMEDIATE MOVE</w:t>
            </w:r>
          </w:p>
          <w:p>
            <w:pPr>
              <w:spacing w:after="0" w:line="259" w:lineRule="auto"/>
            </w:pPr>
            <w:r>
              <w:rPr>
                <w:rFonts w:ascii="Aptos" w:hAnsi="Aptos"/>
                <w:color w:val="111827"/>
                <w:sz w:val="20"/>
              </w:rPr>
              <w:t>Draft and validate the Issue 3A identity-state contract before filling the L3 bridge cells. In parallel, preserve the current evidence and reconstruct the structural-view producer. The first delivery after 3A should be the symbol-to-file bridge and file-carrier fusion experiment.</w:t>
            </w:r>
          </w:p>
        </w:tc>
      </w:tr>
    </w:tbl>
    <w:p>
      <w:pPr>
        <w:spacing w:after="0"/>
      </w:pPr>
    </w:p>
    <w:p>
      <w:pPr>
        <w:pStyle w:val="Heading1"/>
        <w:keepNext/>
      </w:pPr>
      <w:r>
        <w:t>11. Falsification Battery and Acceptance Gates</w:t>
      </w:r>
    </w:p>
    <w:p>
      <w:pPr>
        <w:spacing w:after="100" w:line="259" w:lineRule="auto"/>
        <w:ind w:left="0"/>
      </w:pPr>
      <w:r>
        <w:rPr>
          <w:rFonts w:ascii="Aptos" w:hAnsi="Aptos"/>
          <w:color w:val="111827"/>
          <w:sz w:val="21"/>
        </w:rPr>
        <w:t>The architecture should be accepted through falsifiers, not milestones. The following battery converts the core claims into mechanical tests.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3312"/>
        <w:gridCol w:w="6552"/>
      </w:tblGrid>
      <w:tr>
        <w:trPr>
          <w:tblHeader w:val="true"/>
          <w:cantSplit/>
        </w:trPr>
        <w:tc>
          <w:tcPr>
            <w:tcW w:type="dxa" w:w="4997"/>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Test</w:t>
            </w:r>
          </w:p>
        </w:tc>
        <w:tc>
          <w:tcPr>
            <w:tcW w:type="dxa" w:w="4997"/>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Required result</w:t>
            </w:r>
          </w:p>
        </w:tc>
      </w:tr>
      <w:tr>
        <w:trPr>
          <w:cantSplit/>
        </w:trPr>
        <w:tc>
          <w:tcPr>
            <w:tcW w:type="dxa" w:w="3312"/>
            <w:vAlign w:val="center"/>
            <w:tcMar>
              <w:top w:w="90" w:type="dxa"/>
              <w:start w:w="110" w:type="dxa"/>
              <w:bottom w:w="90" w:type="dxa"/>
              <w:end w:w="110" w:type="dxa"/>
            </w:tcMar>
          </w:tcPr>
          <w:p>
            <w:pPr>
              <w:spacing w:after="0" w:before="0"/>
            </w:pPr>
            <w:r/>
            <w:r>
              <w:rPr>
                <w:rFonts w:ascii="Aptos" w:hAnsi="Aptos"/>
                <w:b/>
                <w:color w:val="111827"/>
                <w:sz w:val="17"/>
              </w:rPr>
              <w:t>File rename</w:t>
            </w:r>
          </w:p>
        </w:tc>
        <w:tc>
          <w:tcPr>
            <w:tcW w:type="dxa" w:w="6552"/>
            <w:vAlign w:val="center"/>
            <w:tcMar>
              <w:top w:w="90" w:type="dxa"/>
              <w:start w:w="110" w:type="dxa"/>
              <w:bottom w:w="90" w:type="dxa"/>
              <w:end w:w="110" w:type="dxa"/>
            </w:tcMar>
          </w:tcPr>
          <w:p>
            <w:pPr>
              <w:spacing w:after="0" w:before="0"/>
            </w:pPr>
            <w:r/>
            <w:r>
              <w:rPr>
                <w:rFonts w:ascii="Aptos" w:hAnsi="Aptos"/>
                <w:b w:val="0"/>
                <w:color w:val="111827"/>
                <w:sz w:val="17"/>
              </w:rPr>
              <w:t>Binding changes; enduring entity serial survives.</w:t>
            </w:r>
          </w:p>
        </w:tc>
      </w:tr>
      <w:tr>
        <w:trPr>
          <w:cantSplit/>
        </w:trPr>
        <w:tc>
          <w:tcPr>
            <w:tcW w:type="dxa" w:w="3312"/>
            <w:vAlign w:val="center"/>
            <w:tcMar>
              <w:top w:w="90" w:type="dxa"/>
              <w:start w:w="110" w:type="dxa"/>
              <w:bottom w:w="90" w:type="dxa"/>
              <w:end w:w="110" w:type="dxa"/>
            </w:tcMar>
            <w:shd w:fill="F8FAFC"/>
          </w:tcPr>
          <w:p>
            <w:pPr>
              <w:spacing w:after="0" w:before="0"/>
            </w:pPr>
            <w:r/>
            <w:r>
              <w:rPr>
                <w:rFonts w:ascii="Aptos" w:hAnsi="Aptos"/>
                <w:b/>
                <w:color w:val="111827"/>
                <w:sz w:val="17"/>
              </w:rPr>
              <w:t>Resource replacement with reused name</w:t>
            </w:r>
          </w:p>
        </w:tc>
        <w:tc>
          <w:tcPr>
            <w:tcW w:type="dxa" w:w="6552"/>
            <w:vAlign w:val="center"/>
            <w:tcMar>
              <w:top w:w="90" w:type="dxa"/>
              <w:start w:w="110" w:type="dxa"/>
              <w:bottom w:w="90" w:type="dxa"/>
              <w:end w:w="110" w:type="dxa"/>
            </w:tcMar>
            <w:shd w:fill="F8FAFC"/>
          </w:tcPr>
          <w:p>
            <w:pPr>
              <w:spacing w:after="0" w:before="0"/>
            </w:pPr>
            <w:r/>
            <w:r>
              <w:rPr>
                <w:rFonts w:ascii="Aptos" w:hAnsi="Aptos"/>
                <w:b w:val="0"/>
                <w:color w:val="111827"/>
                <w:sz w:val="17"/>
              </w:rPr>
              <w:t>New serial is minted when continuity evidence indicates replacement rather than rename.</w:t>
            </w:r>
          </w:p>
        </w:tc>
      </w:tr>
      <w:tr>
        <w:trPr>
          <w:cantSplit/>
        </w:trPr>
        <w:tc>
          <w:tcPr>
            <w:tcW w:type="dxa" w:w="3312"/>
            <w:vAlign w:val="center"/>
            <w:tcMar>
              <w:top w:w="90" w:type="dxa"/>
              <w:start w:w="110" w:type="dxa"/>
              <w:bottom w:w="90" w:type="dxa"/>
              <w:end w:w="110" w:type="dxa"/>
            </w:tcMar>
          </w:tcPr>
          <w:p>
            <w:pPr>
              <w:spacing w:after="0" w:before="0"/>
            </w:pPr>
            <w:r/>
            <w:r>
              <w:rPr>
                <w:rFonts w:ascii="Aptos" w:hAnsi="Aptos"/>
                <w:b/>
                <w:color w:val="111827"/>
                <w:sz w:val="17"/>
              </w:rPr>
              <w:t>Kuzu rebuild</w:t>
            </w:r>
          </w:p>
        </w:tc>
        <w:tc>
          <w:tcPr>
            <w:tcW w:type="dxa" w:w="6552"/>
            <w:vAlign w:val="center"/>
            <w:tcMar>
              <w:top w:w="90" w:type="dxa"/>
              <w:start w:w="110" w:type="dxa"/>
              <w:bottom w:w="90" w:type="dxa"/>
              <w:end w:w="110" w:type="dxa"/>
            </w:tcMar>
          </w:tcPr>
          <w:p>
            <w:pPr>
              <w:spacing w:after="0" w:before="0"/>
            </w:pPr>
            <w:r/>
            <w:r>
              <w:rPr>
                <w:rFonts w:ascii="Aptos" w:hAnsi="Aptos"/>
                <w:b w:val="0"/>
                <w:color w:val="111827"/>
                <w:sz w:val="17"/>
              </w:rPr>
              <w:t>Kuzu-local node IDs may change; canonical entity serials and source pins do not.</w:t>
            </w:r>
          </w:p>
        </w:tc>
      </w:tr>
      <w:tr>
        <w:trPr>
          <w:cantSplit/>
        </w:trPr>
        <w:tc>
          <w:tcPr>
            <w:tcW w:type="dxa" w:w="3312"/>
            <w:vAlign w:val="center"/>
            <w:tcMar>
              <w:top w:w="90" w:type="dxa"/>
              <w:start w:w="110" w:type="dxa"/>
              <w:bottom w:w="90" w:type="dxa"/>
              <w:end w:w="110" w:type="dxa"/>
            </w:tcMar>
            <w:shd w:fill="F8FAFC"/>
          </w:tcPr>
          <w:p>
            <w:pPr>
              <w:spacing w:after="0" w:before="0"/>
            </w:pPr>
            <w:r/>
            <w:r>
              <w:rPr>
                <w:rFonts w:ascii="Aptos" w:hAnsi="Aptos"/>
                <w:b/>
                <w:color w:val="111827"/>
                <w:sz w:val="17"/>
              </w:rPr>
              <w:t>Nessie head advances</w:t>
            </w:r>
          </w:p>
        </w:tc>
        <w:tc>
          <w:tcPr>
            <w:tcW w:type="dxa" w:w="6552"/>
            <w:vAlign w:val="center"/>
            <w:tcMar>
              <w:top w:w="90" w:type="dxa"/>
              <w:start w:w="110" w:type="dxa"/>
              <w:bottom w:w="90" w:type="dxa"/>
              <w:end w:w="110" w:type="dxa"/>
            </w:tcMar>
            <w:shd w:fill="F8FAFC"/>
          </w:tcPr>
          <w:p>
            <w:pPr>
              <w:spacing w:after="0" w:before="0"/>
            </w:pPr>
            <w:r/>
            <w:r>
              <w:rPr>
                <w:rFonts w:ascii="Aptos" w:hAnsi="Aptos"/>
                <w:b w:val="0"/>
                <w:color w:val="111827"/>
                <w:sz w:val="17"/>
              </w:rPr>
              <w:t>Projection remains internally valid but is reported behind its declared target when appropriate.</w:t>
            </w:r>
          </w:p>
        </w:tc>
      </w:tr>
      <w:tr>
        <w:trPr>
          <w:cantSplit/>
        </w:trPr>
        <w:tc>
          <w:tcPr>
            <w:tcW w:type="dxa" w:w="3312"/>
            <w:vAlign w:val="center"/>
            <w:tcMar>
              <w:top w:w="90" w:type="dxa"/>
              <w:start w:w="110" w:type="dxa"/>
              <w:bottom w:w="90" w:type="dxa"/>
              <w:end w:w="110" w:type="dxa"/>
            </w:tcMar>
          </w:tcPr>
          <w:p>
            <w:pPr>
              <w:spacing w:after="0" w:before="0"/>
            </w:pPr>
            <w:r/>
            <w:r>
              <w:rPr>
                <w:rFonts w:ascii="Aptos" w:hAnsi="Aptos"/>
                <w:b/>
                <w:color w:val="111827"/>
                <w:sz w:val="17"/>
              </w:rPr>
              <w:t>Same frontier, same materializer version</w:t>
            </w:r>
          </w:p>
        </w:tc>
        <w:tc>
          <w:tcPr>
            <w:tcW w:type="dxa" w:w="6552"/>
            <w:vAlign w:val="center"/>
            <w:tcMar>
              <w:top w:w="90" w:type="dxa"/>
              <w:start w:w="110" w:type="dxa"/>
              <w:bottom w:w="90" w:type="dxa"/>
              <w:end w:w="110" w:type="dxa"/>
            </w:tcMar>
          </w:tcPr>
          <w:p>
            <w:pPr>
              <w:spacing w:after="0" w:before="0"/>
            </w:pPr>
            <w:r/>
            <w:r>
              <w:rPr>
                <w:rFonts w:ascii="Aptos" w:hAnsi="Aptos"/>
                <w:b w:val="0"/>
                <w:color w:val="111827"/>
                <w:sz w:val="17"/>
              </w:rPr>
              <w:t>Output digest reproduces.</w:t>
            </w:r>
          </w:p>
        </w:tc>
      </w:tr>
      <w:tr>
        <w:trPr>
          <w:cantSplit/>
        </w:trPr>
        <w:tc>
          <w:tcPr>
            <w:tcW w:type="dxa" w:w="3312"/>
            <w:vAlign w:val="center"/>
            <w:tcMar>
              <w:top w:w="90" w:type="dxa"/>
              <w:start w:w="110" w:type="dxa"/>
              <w:bottom w:w="90" w:type="dxa"/>
              <w:end w:w="110" w:type="dxa"/>
            </w:tcMar>
            <w:shd w:fill="F8FAFC"/>
          </w:tcPr>
          <w:p>
            <w:pPr>
              <w:spacing w:after="0" w:before="0"/>
            </w:pPr>
            <w:r/>
            <w:r>
              <w:rPr>
                <w:rFonts w:ascii="Aptos" w:hAnsi="Aptos"/>
                <w:b/>
                <w:color w:val="111827"/>
                <w:sz w:val="17"/>
              </w:rPr>
              <w:t>Same frontier, changed materializer version</w:t>
            </w:r>
          </w:p>
        </w:tc>
        <w:tc>
          <w:tcPr>
            <w:tcW w:type="dxa" w:w="6552"/>
            <w:vAlign w:val="center"/>
            <w:tcMar>
              <w:top w:w="90" w:type="dxa"/>
              <w:start w:w="110" w:type="dxa"/>
              <w:bottom w:w="90" w:type="dxa"/>
              <w:end w:w="110" w:type="dxa"/>
            </w:tcMar>
            <w:shd w:fill="F8FAFC"/>
          </w:tcPr>
          <w:p>
            <w:pPr>
              <w:spacing w:after="0" w:before="0"/>
            </w:pPr>
            <w:r/>
            <w:r>
              <w:rPr>
                <w:rFonts w:ascii="Aptos" w:hAnsi="Aptos"/>
                <w:b w:val="0"/>
                <w:color w:val="111827"/>
                <w:sz w:val="17"/>
              </w:rPr>
              <w:t>Output delta is attributed to producer change.</w:t>
            </w:r>
          </w:p>
        </w:tc>
      </w:tr>
      <w:tr>
        <w:trPr>
          <w:cantSplit/>
        </w:trPr>
        <w:tc>
          <w:tcPr>
            <w:tcW w:type="dxa" w:w="3312"/>
            <w:vAlign w:val="center"/>
            <w:tcMar>
              <w:top w:w="90" w:type="dxa"/>
              <w:start w:w="110" w:type="dxa"/>
              <w:bottom w:w="90" w:type="dxa"/>
              <w:end w:w="110" w:type="dxa"/>
            </w:tcMar>
          </w:tcPr>
          <w:p>
            <w:pPr>
              <w:spacing w:after="0" w:before="0"/>
            </w:pPr>
            <w:r/>
            <w:r>
              <w:rPr>
                <w:rFonts w:ascii="Aptos" w:hAnsi="Aptos"/>
                <w:b/>
                <w:color w:val="111827"/>
                <w:sz w:val="17"/>
              </w:rPr>
              <w:t>Wrong-fabric local substrate</w:t>
            </w:r>
          </w:p>
        </w:tc>
        <w:tc>
          <w:tcPr>
            <w:tcW w:type="dxa" w:w="6552"/>
            <w:vAlign w:val="center"/>
            <w:tcMar>
              <w:top w:w="90" w:type="dxa"/>
              <w:start w:w="110" w:type="dxa"/>
              <w:bottom w:w="90" w:type="dxa"/>
              <w:end w:w="110" w:type="dxa"/>
            </w:tcMar>
          </w:tcPr>
          <w:p>
            <w:pPr>
              <w:spacing w:after="0" w:before="0"/>
            </w:pPr>
            <w:r/>
            <w:r>
              <w:rPr>
                <w:rFonts w:ascii="Aptos" w:hAnsi="Aptos"/>
                <w:b w:val="0"/>
                <w:color w:val="111827"/>
                <w:sz w:val="17"/>
              </w:rPr>
              <w:t>Run refuses or marks the input foreign-fabric; it does not silently proceed.</w:t>
            </w:r>
          </w:p>
        </w:tc>
      </w:tr>
      <w:tr>
        <w:trPr>
          <w:cantSplit/>
        </w:trPr>
        <w:tc>
          <w:tcPr>
            <w:tcW w:type="dxa" w:w="3312"/>
            <w:vAlign w:val="center"/>
            <w:tcMar>
              <w:top w:w="90" w:type="dxa"/>
              <w:start w:w="110" w:type="dxa"/>
              <w:bottom w:w="90" w:type="dxa"/>
              <w:end w:w="110" w:type="dxa"/>
            </w:tcMar>
            <w:shd w:fill="F8FAFC"/>
          </w:tcPr>
          <w:p>
            <w:pPr>
              <w:spacing w:after="0" w:before="0"/>
            </w:pPr>
            <w:r/>
            <w:r>
              <w:rPr>
                <w:rFonts w:ascii="Aptos" w:hAnsi="Aptos"/>
                <w:b/>
                <w:color w:val="111827"/>
                <w:sz w:val="17"/>
              </w:rPr>
              <w:t>Substrate unavailable</w:t>
            </w:r>
          </w:p>
        </w:tc>
        <w:tc>
          <w:tcPr>
            <w:tcW w:type="dxa" w:w="6552"/>
            <w:vAlign w:val="center"/>
            <w:tcMar>
              <w:top w:w="90" w:type="dxa"/>
              <w:start w:w="110" w:type="dxa"/>
              <w:bottom w:w="90" w:type="dxa"/>
              <w:end w:w="110" w:type="dxa"/>
            </w:tcMar>
            <w:shd w:fill="F8FAFC"/>
          </w:tcPr>
          <w:p>
            <w:pPr>
              <w:spacing w:after="0" w:before="0"/>
            </w:pPr>
            <w:r/>
            <w:r>
              <w:rPr>
                <w:rFonts w:ascii="Aptos" w:hAnsi="Aptos"/>
                <w:b w:val="0"/>
                <w:color w:val="111827"/>
                <w:sz w:val="17"/>
              </w:rPr>
              <w:t>Resolver does not report genuinely unaddressed.</w:t>
            </w:r>
          </w:p>
        </w:tc>
      </w:tr>
      <w:tr>
        <w:trPr>
          <w:cantSplit/>
        </w:trPr>
        <w:tc>
          <w:tcPr>
            <w:tcW w:type="dxa" w:w="3312"/>
            <w:vAlign w:val="center"/>
            <w:tcMar>
              <w:top w:w="90" w:type="dxa"/>
              <w:start w:w="110" w:type="dxa"/>
              <w:bottom w:w="90" w:type="dxa"/>
              <w:end w:w="110" w:type="dxa"/>
            </w:tcMar>
          </w:tcPr>
          <w:p>
            <w:pPr>
              <w:spacing w:after="0" w:before="0"/>
            </w:pPr>
            <w:r/>
            <w:r>
              <w:rPr>
                <w:rFonts w:ascii="Aptos" w:hAnsi="Aptos"/>
                <w:b/>
                <w:color w:val="111827"/>
                <w:sz w:val="17"/>
              </w:rPr>
              <w:t>Duplicate local minting</w:t>
            </w:r>
          </w:p>
        </w:tc>
        <w:tc>
          <w:tcPr>
            <w:tcW w:type="dxa" w:w="6552"/>
            <w:vAlign w:val="center"/>
            <w:tcMar>
              <w:top w:w="90" w:type="dxa"/>
              <w:start w:w="110" w:type="dxa"/>
              <w:bottom w:w="90" w:type="dxa"/>
              <w:end w:w="110" w:type="dxa"/>
            </w:tcMar>
          </w:tcPr>
          <w:p>
            <w:pPr>
              <w:spacing w:after="0" w:before="0"/>
            </w:pPr>
            <w:r/>
            <w:r>
              <w:rPr>
                <w:rFonts w:ascii="Aptos" w:hAnsi="Aptos"/>
                <w:b w:val="0"/>
                <w:color w:val="111827"/>
                <w:sz w:val="17"/>
              </w:rPr>
              <w:t>Two serials can be reconciled without deleting historical observations.</w:t>
            </w:r>
          </w:p>
        </w:tc>
      </w:tr>
      <w:tr>
        <w:trPr>
          <w:cantSplit/>
        </w:trPr>
        <w:tc>
          <w:tcPr>
            <w:tcW w:type="dxa" w:w="3312"/>
            <w:vAlign w:val="center"/>
            <w:tcMar>
              <w:top w:w="90" w:type="dxa"/>
              <w:start w:w="110" w:type="dxa"/>
              <w:bottom w:w="90" w:type="dxa"/>
              <w:end w:w="110" w:type="dxa"/>
            </w:tcMar>
            <w:shd w:fill="F8FAFC"/>
          </w:tcPr>
          <w:p>
            <w:pPr>
              <w:spacing w:after="0" w:before="0"/>
            </w:pPr>
            <w:r/>
            <w:r>
              <w:rPr>
                <w:rFonts w:ascii="Aptos" w:hAnsi="Aptos"/>
                <w:b/>
                <w:color w:val="111827"/>
                <w:sz w:val="17"/>
              </w:rPr>
              <w:t>Parse-only bridge</w:t>
            </w:r>
          </w:p>
        </w:tc>
        <w:tc>
          <w:tcPr>
            <w:tcW w:type="dxa" w:w="6552"/>
            <w:vAlign w:val="center"/>
            <w:tcMar>
              <w:top w:w="90" w:type="dxa"/>
              <w:start w:w="110" w:type="dxa"/>
              <w:bottom w:w="90" w:type="dxa"/>
              <w:end w:w="110" w:type="dxa"/>
            </w:tcMar>
            <w:shd w:fill="F8FAFC"/>
          </w:tcPr>
          <w:p>
            <w:pPr>
              <w:spacing w:after="0" w:before="0"/>
            </w:pPr>
            <w:r/>
            <w:r>
              <w:rPr>
                <w:rFonts w:ascii="Aptos" w:hAnsi="Aptos"/>
                <w:b w:val="0"/>
                <w:color w:val="111827"/>
                <w:sz w:val="17"/>
              </w:rPr>
              <w:t>May enter candidate registry; cannot enter admitted registry.</w:t>
            </w:r>
          </w:p>
        </w:tc>
      </w:tr>
      <w:tr>
        <w:trPr>
          <w:cantSplit/>
        </w:trPr>
        <w:tc>
          <w:tcPr>
            <w:tcW w:type="dxa" w:w="3312"/>
            <w:vAlign w:val="center"/>
            <w:tcMar>
              <w:top w:w="90" w:type="dxa"/>
              <w:start w:w="110" w:type="dxa"/>
              <w:bottom w:w="90" w:type="dxa"/>
              <w:end w:w="110" w:type="dxa"/>
            </w:tcMar>
          </w:tcPr>
          <w:p>
            <w:pPr>
              <w:spacing w:after="0" w:before="0"/>
            </w:pPr>
            <w:r/>
            <w:r>
              <w:rPr>
                <w:rFonts w:ascii="Aptos" w:hAnsi="Aptos"/>
                <w:b/>
                <w:color w:val="111827"/>
                <w:sz w:val="17"/>
              </w:rPr>
              <w:t>Cross-domain membership</w:t>
            </w:r>
          </w:p>
        </w:tc>
        <w:tc>
          <w:tcPr>
            <w:tcW w:type="dxa" w:w="6552"/>
            <w:vAlign w:val="center"/>
            <w:tcMar>
              <w:top w:w="90" w:type="dxa"/>
              <w:start w:w="110" w:type="dxa"/>
              <w:bottom w:w="90" w:type="dxa"/>
              <w:end w:w="110" w:type="dxa"/>
            </w:tcMar>
          </w:tcPr>
          <w:p>
            <w:pPr>
              <w:spacing w:after="0" w:before="0"/>
            </w:pPr>
            <w:r/>
            <w:r>
              <w:rPr>
                <w:rFonts w:ascii="Aptos" w:hAnsi="Aptos"/>
                <w:b w:val="0"/>
                <w:color w:val="111827"/>
                <w:sz w:val="17"/>
              </w:rPr>
              <w:t>Persistence preserves multiple memberships and reports treatment of the 540 cohort.</w:t>
            </w:r>
          </w:p>
        </w:tc>
      </w:tr>
      <w:tr>
        <w:trPr>
          <w:cantSplit/>
        </w:trPr>
        <w:tc>
          <w:tcPr>
            <w:tcW w:type="dxa" w:w="3312"/>
            <w:vAlign w:val="center"/>
            <w:tcMar>
              <w:top w:w="90" w:type="dxa"/>
              <w:start w:w="110" w:type="dxa"/>
              <w:bottom w:w="90" w:type="dxa"/>
              <w:end w:w="110" w:type="dxa"/>
            </w:tcMar>
            <w:shd w:fill="F8FAFC"/>
          </w:tcPr>
          <w:p>
            <w:pPr>
              <w:spacing w:after="0" w:before="0"/>
            </w:pPr>
            <w:r/>
            <w:r>
              <w:rPr>
                <w:rFonts w:ascii="Aptos" w:hAnsi="Aptos"/>
                <w:b/>
                <w:color w:val="111827"/>
                <w:sz w:val="17"/>
              </w:rPr>
              <w:t>Discovered-system anchor rename</w:t>
            </w:r>
          </w:p>
        </w:tc>
        <w:tc>
          <w:tcPr>
            <w:tcW w:type="dxa" w:w="6552"/>
            <w:vAlign w:val="center"/>
            <w:tcMar>
              <w:top w:w="90" w:type="dxa"/>
              <w:start w:w="110" w:type="dxa"/>
              <w:bottom w:w="90" w:type="dxa"/>
              <w:end w:w="110" w:type="dxa"/>
            </w:tcMar>
            <w:shd w:fill="F8FAFC"/>
          </w:tcPr>
          <w:p>
            <w:pPr>
              <w:spacing w:after="0" w:before="0"/>
            </w:pPr>
            <w:r/>
            <w:r>
              <w:rPr>
                <w:rFonts w:ascii="Aptos" w:hAnsi="Aptos"/>
                <w:b w:val="0"/>
                <w:color w:val="111827"/>
                <w:sz w:val="17"/>
              </w:rPr>
              <w:t>System serial survives when succession evidence passes.</w:t>
            </w:r>
          </w:p>
        </w:tc>
      </w:tr>
      <w:tr>
        <w:trPr>
          <w:cantSplit/>
        </w:trPr>
        <w:tc>
          <w:tcPr>
            <w:tcW w:type="dxa" w:w="3312"/>
            <w:vAlign w:val="center"/>
            <w:tcMar>
              <w:top w:w="90" w:type="dxa"/>
              <w:start w:w="110" w:type="dxa"/>
              <w:bottom w:w="90" w:type="dxa"/>
              <w:end w:w="110" w:type="dxa"/>
            </w:tcMar>
          </w:tcPr>
          <w:p>
            <w:pPr>
              <w:spacing w:after="0" w:before="0"/>
            </w:pPr>
            <w:r/>
            <w:r>
              <w:rPr>
                <w:rFonts w:ascii="Aptos" w:hAnsi="Aptos"/>
                <w:b/>
                <w:color w:val="111827"/>
                <w:sz w:val="17"/>
              </w:rPr>
              <w:t>Algorithm-version change</w:t>
            </w:r>
          </w:p>
        </w:tc>
        <w:tc>
          <w:tcPr>
            <w:tcW w:type="dxa" w:w="6552"/>
            <w:vAlign w:val="center"/>
            <w:tcMar>
              <w:top w:w="90" w:type="dxa"/>
              <w:start w:w="110" w:type="dxa"/>
              <w:bottom w:w="90" w:type="dxa"/>
              <w:end w:w="110" w:type="dxa"/>
            </w:tcMar>
          </w:tcPr>
          <w:p>
            <w:pPr>
              <w:spacing w:after="0" w:before="0"/>
            </w:pPr>
            <w:r/>
            <w:r>
              <w:rPr>
                <w:rFonts w:ascii="Aptos" w:hAnsi="Aptos"/>
                <w:b w:val="0"/>
                <w:color w:val="111827"/>
                <w:sz w:val="17"/>
              </w:rPr>
              <w:t>Identity does not rewrite automatically; signature and continuity evidence are versioned.</w:t>
            </w:r>
          </w:p>
        </w:tc>
      </w:tr>
      <w:tr>
        <w:trPr>
          <w:cantSplit/>
        </w:trPr>
        <w:tc>
          <w:tcPr>
            <w:tcW w:type="dxa" w:w="3312"/>
            <w:vAlign w:val="center"/>
            <w:tcMar>
              <w:top w:w="90" w:type="dxa"/>
              <w:start w:w="110" w:type="dxa"/>
              <w:bottom w:w="90" w:type="dxa"/>
              <w:end w:w="110" w:type="dxa"/>
            </w:tcMar>
            <w:shd w:fill="F8FAFC"/>
          </w:tcPr>
          <w:p>
            <w:pPr>
              <w:spacing w:after="0" w:before="0"/>
            </w:pPr>
            <w:r/>
            <w:r>
              <w:rPr>
                <w:rFonts w:ascii="Aptos" w:hAnsi="Aptos"/>
                <w:b/>
                <w:color w:val="111827"/>
                <w:sz w:val="17"/>
              </w:rPr>
              <w:t>Ambiguous succession</w:t>
            </w:r>
          </w:p>
        </w:tc>
        <w:tc>
          <w:tcPr>
            <w:tcW w:type="dxa" w:w="6552"/>
            <w:vAlign w:val="center"/>
            <w:tcMar>
              <w:top w:w="90" w:type="dxa"/>
              <w:start w:w="110" w:type="dxa"/>
              <w:bottom w:w="90" w:type="dxa"/>
              <w:end w:w="110" w:type="dxa"/>
            </w:tcMar>
            <w:shd w:fill="F8FAFC"/>
          </w:tcPr>
          <w:p>
            <w:pPr>
              <w:spacing w:after="0" w:before="0"/>
            </w:pPr>
            <w:r/>
            <w:r>
              <w:rPr>
                <w:rFonts w:ascii="Aptos" w:hAnsi="Aptos"/>
                <w:b w:val="0"/>
                <w:color w:val="111827"/>
                <w:sz w:val="17"/>
              </w:rPr>
              <w:t>Match is held for adjudication rather than forced.</w:t>
            </w:r>
          </w:p>
        </w:tc>
      </w:tr>
    </w:tbl>
    <w:p>
      <w:pPr>
        <w:spacing w:after="0"/>
      </w:pPr>
    </w:p>
    <w:p>
      <w:pPr>
        <w:pStyle w:val="Heading2"/>
        <w:keepNext/>
      </w:pPr>
      <w:r>
        <w:t>11.1 Substrate and provenance gates</w:t>
      </w:r>
    </w:p>
    <w:p>
      <w:pPr>
        <w:pStyle w:val="ListBullet"/>
        <w:spacing w:after="40" w:line="247" w:lineRule="auto"/>
      </w:pPr>
      <w:r>
        <w:rPr>
          <w:rFonts w:ascii="Aptos" w:hAnsi="Aptos"/>
          <w:color w:val="111827"/>
          <w:sz w:val="21"/>
        </w:rPr>
        <w:t>A clean clone can authenticate or deterministically reproduce every admitted input and output.</w:t>
      </w:r>
    </w:p>
    <w:p>
      <w:pPr>
        <w:pStyle w:val="ListBullet"/>
        <w:spacing w:after="40" w:line="247" w:lineRule="auto"/>
      </w:pPr>
      <w:r>
        <w:rPr>
          <w:rFonts w:ascii="Aptos" w:hAnsi="Aptos"/>
          <w:color w:val="111827"/>
          <w:sz w:val="21"/>
        </w:rPr>
        <w:t>Every coverage claim declares its denominator, unseen population, instrument, and failure semantics.</w:t>
      </w:r>
    </w:p>
    <w:p>
      <w:pPr>
        <w:pStyle w:val="ListBullet"/>
        <w:spacing w:after="40" w:line="247" w:lineRule="auto"/>
      </w:pPr>
      <w:r>
        <w:rPr>
          <w:rFonts w:ascii="Aptos" w:hAnsi="Aptos"/>
          <w:color w:val="111827"/>
          <w:sz w:val="21"/>
        </w:rPr>
        <w:t>Every run records source frontier, producer version, opinion contract, fabric, parameters, and output digests.</w:t>
      </w:r>
    </w:p>
    <w:p>
      <w:pPr>
        <w:pStyle w:val="Heading2"/>
        <w:keepNext/>
      </w:pPr>
      <w:r>
        <w:t>11.2 Bridge and fusion gates</w:t>
      </w:r>
    </w:p>
    <w:p>
      <w:pPr>
        <w:pStyle w:val="ListBullet"/>
        <w:spacing w:after="40" w:line="247" w:lineRule="auto"/>
      </w:pPr>
      <w:r>
        <w:rPr>
          <w:rFonts w:ascii="Aptos" w:hAnsi="Aptos"/>
          <w:color w:val="111827"/>
          <w:sz w:val="21"/>
        </w:rPr>
        <w:t>Every admitted bridge is typed, evidence-bearing, cardinality-aware, versioned, and firm-scoped where relevant.</w:t>
      </w:r>
    </w:p>
    <w:p>
      <w:pPr>
        <w:pStyle w:val="ListBullet"/>
        <w:spacing w:after="40" w:line="247" w:lineRule="auto"/>
      </w:pPr>
      <w:r>
        <w:rPr>
          <w:rFonts w:ascii="Aptos" w:hAnsi="Aptos"/>
          <w:color w:val="111827"/>
          <w:sz w:val="21"/>
        </w:rPr>
        <w:t>Missing is never treated as zero; every view carries explicit measured/absent masks.</w:t>
      </w:r>
    </w:p>
    <w:p>
      <w:pPr>
        <w:pStyle w:val="ListBullet"/>
        <w:spacing w:after="40" w:line="247" w:lineRule="auto"/>
      </w:pPr>
      <w:r>
        <w:rPr>
          <w:rFonts w:ascii="Aptos" w:hAnsi="Aptos"/>
          <w:color w:val="111827"/>
          <w:sz w:val="21"/>
        </w:rPr>
        <w:t>Every admitted view passes a discrimination gate and the fused result does not degrade the best input’s firm separation.</w:t>
      </w:r>
    </w:p>
    <w:p>
      <w:pPr>
        <w:pStyle w:val="ListBullet"/>
        <w:spacing w:after="40" w:line="247" w:lineRule="auto"/>
      </w:pPr>
      <w:r>
        <w:rPr>
          <w:rFonts w:ascii="Aptos" w:hAnsi="Aptos"/>
          <w:color w:val="111827"/>
          <w:sz w:val="21"/>
        </w:rPr>
        <w:t>The fusion method is compared with at least one simpler baseline, and the 540 cross-domain memberships are explicitly accounted for.</w:t>
      </w:r>
    </w:p>
    <w:p>
      <w:pPr>
        <w:pStyle w:val="Heading2"/>
        <w:keepNext/>
      </w:pPr>
      <w:r>
        <w:t>11.3 Identity gates</w:t>
      </w:r>
    </w:p>
    <w:p>
      <w:pPr>
        <w:pStyle w:val="ListBullet"/>
        <w:spacing w:after="40" w:line="247" w:lineRule="auto"/>
      </w:pPr>
      <w:r>
        <w:rPr>
          <w:rFonts w:ascii="Aptos" w:hAnsi="Aptos"/>
          <w:color w:val="111827"/>
          <w:sz w:val="21"/>
        </w:rPr>
        <w:t>Membership changes and identity changes remain separate clocks.</w:t>
      </w:r>
    </w:p>
    <w:p>
      <w:pPr>
        <w:pStyle w:val="ListBullet"/>
        <w:spacing w:after="40" w:line="247" w:lineRule="auto"/>
      </w:pPr>
      <w:r>
        <w:rPr>
          <w:rFonts w:ascii="Aptos" w:hAnsi="Aptos"/>
          <w:color w:val="111827"/>
          <w:sz w:val="21"/>
        </w:rPr>
        <w:t>Renames, moves, and projection rebuilds do not create new identities when continuity evidence remains valid.</w:t>
      </w:r>
    </w:p>
    <w:p>
      <w:pPr>
        <w:pStyle w:val="ListBullet"/>
        <w:spacing w:after="40" w:line="247" w:lineRule="auto"/>
      </w:pPr>
      <w:r>
        <w:rPr>
          <w:rFonts w:ascii="Aptos" w:hAnsi="Aptos"/>
          <w:color w:val="111827"/>
          <w:sz w:val="21"/>
        </w:rPr>
        <w:t>Succession relations explain every birth, retirement, continuation, split, merge, or reorganization without rewriting prior history.</w:t>
      </w:r>
    </w:p>
    <w:p>
      <w:pPr>
        <w:pStyle w:val="Heading1"/>
        <w:keepNext/>
      </w:pPr>
      <w:r>
        <w:t>12. Recommended Ruling</w:t>
      </w:r>
    </w:p>
    <w:p>
      <w:pPr>
        <w:spacing w:after="100" w:line="259" w:lineRule="auto"/>
        <w:ind w:left="0"/>
      </w:pPr>
      <w:r>
        <w:rPr>
          <w:rFonts w:ascii="Aptos" w:hAnsi="Aptos"/>
          <w:color w:val="111827"/>
          <w:sz w:val="21"/>
        </w:rPr>
        <w:t>The following language is suitable as the operative decision to the CTO agent and D11 execution lanes:</w:t>
      </w:r>
    </w:p>
    <w:tbl>
      <w:tblPr>
        <w:tblW w:type="auto" w:w="0"/>
        <w:jc w:val="center"/>
        <w:tblLayout w:type="fixed"/>
        <w:tblLook w:firstColumn="1" w:firstRow="1" w:lastColumn="0" w:lastRow="0" w:noHBand="0" w:noVBand="1" w:val="04A0"/>
        <w:tblBorders>
          <w:top w:val="single" w:sz="8" w:space="0" w:color="A66A00"/>
          <w:left w:val="single" w:sz="8" w:space="0" w:color="A66A00"/>
          <w:bottom w:val="single" w:sz="8" w:space="0" w:color="A66A00"/>
          <w:right w:val="single" w:sz="8" w:space="0" w:color="A66A00"/>
          <w:insideH w:val="single" w:sz="8" w:space="0" w:color="A66A00"/>
          <w:insideV w:val="single" w:sz="8" w:space="0" w:color="A66A00"/>
        </w:tblBorders>
      </w:tblPr>
      <w:tblGrid>
        <w:gridCol w:w="9864"/>
      </w:tblGrid>
      <w:tr>
        <w:tc>
          <w:tcPr>
            <w:tcW w:type="dxa" w:w="9994"/>
            <w:shd w:fill="F6F1E8"/>
            <w:tcMar>
              <w:top w:w="150" w:type="dxa"/>
              <w:start w:w="180" w:type="dxa"/>
              <w:bottom w:w="150" w:type="dxa"/>
              <w:end w:w="180" w:type="dxa"/>
            </w:tcMar>
          </w:tcPr>
          <w:p>
            <w:pPr>
              <w:spacing w:after="80"/>
            </w:pPr>
            <w:r>
              <w:rPr>
                <w:rFonts w:ascii="Aptos Display" w:hAnsi="Aptos Display"/>
                <w:b/>
                <w:color w:val="A66A00"/>
                <w:sz w:val="19"/>
              </w:rPr>
              <w:t>OPERATIVE RULING</w:t>
            </w:r>
          </w:p>
          <w:p>
            <w:pPr>
              <w:spacing w:after="0" w:line="259" w:lineRule="auto"/>
            </w:pPr>
            <w:r>
              <w:rPr>
                <w:rFonts w:ascii="Aptos" w:hAnsi="Aptos"/>
                <w:color w:val="111827"/>
                <w:sz w:val="20"/>
              </w:rPr>
              <w:t>Adopt Issue 3 as the Identity-State Coherence Kernel under D11. Resolve the design fork in favor of opaque minted entity and materializer serials; temporal substrate bindings; versioned fingerprints with method and normalization; and append-only succession and reconciliation relations. Hashes may identify immutable observations, versions, execution bundles, and receipts, but must not identify enduring mutable entities.</w:t>
              <w:br/>
              <w:br/>
              <w:t>Issue 3A defines the shared contract before the L3 bridge cells are populated. Issue 1 implements entity resolution, grain, bindings, and continuity policies over that contract. Issue 2 implements the materializer census, logical materializer identities, implementation versions, declared opinions, and run provenance over the same contract. Issue 3B then evaluates coherence among source frontiers, canonical Iceberg/Nessie graph versions, Kuzu projection pins, materializer versions, target policies, and fabric locality.</w:t>
              <w:br/>
              <w:br/>
              <w:t>The L0 part registry becomes a typed projection of the general identity ledger, not a separate identity system. Device-local physical artifacts receive instance identities related to logical surfaces; they are not automatically treated as one physical entity across fabrics. The graph membership model must be cover-capable, while fused signatures remain recognition and continuity evidence rather than identity.</w:t>
              <w:br/>
              <w:br/>
              <w:t>In parallel with the contract work, pin the existing C2/C3 evidence and its producer into immutable, digest-addressed storage. After Issue 3A lands, migrate L0, register Nessie authority surfaces, repair resolver failure states, and populate the first evidence-backed symbol-to-file bridge. Use that bridge to run the first decisive structure-plus-behavior fusion experiment.</w:t>
            </w:r>
          </w:p>
        </w:tc>
      </w:tr>
    </w:tbl>
    <w:p>
      <w:pPr>
        <w:spacing w:after="0"/>
      </w:pPr>
    </w:p>
    <w:p>
      <w:pPr>
        <w:pStyle w:val="Heading2"/>
        <w:keepNext/>
      </w:pPr>
      <w:r>
        <w:t>12.1 One-sentence architecture</w:t>
      </w:r>
    </w:p>
    <w:tbl>
      <w:tblPr>
        <w:tblW w:type="auto" w:w="0"/>
        <w:jc w:val="center"/>
        <w:tblLayout w:type="fixed"/>
        <w:tblLook w:firstColumn="1" w:firstRow="1" w:lastColumn="0" w:lastRow="0" w:noHBand="0" w:noVBand="1" w:val="04A0"/>
        <w:tblBorders>
          <w:top w:val="single" w:sz="4" w:space="0" w:color="2C6E72"/>
          <w:left w:val="single" w:sz="4" w:space="0" w:color="2C6E72"/>
          <w:bottom w:val="single" w:sz="4" w:space="0" w:color="2C6E72"/>
          <w:right w:val="single" w:sz="4" w:space="0" w:color="2C6E72"/>
          <w:insideH w:val="single" w:sz="4" w:space="0" w:color="2C6E72"/>
          <w:insideV w:val="single" w:sz="4" w:space="0" w:color="2C6E72"/>
        </w:tblBorders>
      </w:tblPr>
      <w:tblGrid>
        <w:gridCol w:w="9864"/>
      </w:tblGrid>
      <w:tr>
        <w:tc>
          <w:tcPr>
            <w:tcW w:type="dxa" w:w="9994"/>
            <w:shd w:fill="E8F3F2"/>
            <w:tcMar>
              <w:top w:w="130" w:type="dxa"/>
              <w:start w:w="160" w:type="dxa"/>
              <w:bottom w:w="130" w:type="dxa"/>
              <w:end w:w="160" w:type="dxa"/>
            </w:tcMar>
          </w:tcPr>
          <w:p>
            <w:pPr>
              <w:spacing w:after="0" w:line="240" w:lineRule="auto"/>
            </w:pPr>
            <w:r>
              <w:rPr>
                <w:rFonts w:ascii="Consolas" w:hAnsi="Consolas"/>
                <w:color w:val="111827"/>
                <w:sz w:val="18"/>
              </w:rPr>
              <w:t>Structural truth is the reproducible evidence and relation graph.</w:t>
            </w:r>
            <w:r>
              <w:br/>
            </w:r>
            <w:r>
              <w:rPr>
                <w:rFonts w:ascii="Consolas" w:hAnsi="Consolas"/>
                <w:color w:val="111827"/>
                <w:sz w:val="18"/>
              </w:rPr>
              <w:t>A system is a derived, potentially overlapping organization of that truth.</w:t>
            </w:r>
            <w:r>
              <w:br/>
            </w:r>
            <w:r>
              <w:rPr>
                <w:rFonts w:ascii="Consolas" w:hAnsi="Consolas"/>
                <w:color w:val="111827"/>
                <w:sz w:val="18"/>
              </w:rPr>
              <w:t>Identity is the durable ledger decision that carries entities and structures through time.</w:t>
            </w:r>
          </w:p>
        </w:tc>
      </w:tr>
    </w:tbl>
    <w:p>
      <w:pPr>
        <w:spacing w:after="0"/>
      </w:pPr>
    </w:p>
    <w:p>
      <w:pPr>
        <w:pStyle w:val="Heading1"/>
        <w:keepNext/>
      </w:pPr>
      <w:r>
        <w:t>Appendix A. Proposed Field Inventories</w:t>
      </w:r>
    </w:p>
    <w:p>
      <w:pPr>
        <w:pStyle w:val="Heading2"/>
        <w:keepNext/>
      </w:pPr>
      <w:r>
        <w:t>A.1 ENTITY</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entity_serial</w:t>
            </w:r>
            <w:r>
              <w:br/>
            </w:r>
            <w:r>
              <w:rPr>
                <w:rFonts w:ascii="Consolas" w:hAnsi="Consolas"/>
                <w:color w:val="111827"/>
                <w:sz w:val="18"/>
              </w:rPr>
              <w:t>entity_class</w:t>
            </w:r>
            <w:r>
              <w:br/>
            </w:r>
            <w:r>
              <w:rPr>
                <w:rFonts w:ascii="Consolas" w:hAnsi="Consolas"/>
                <w:color w:val="111827"/>
                <w:sz w:val="18"/>
              </w:rPr>
              <w:t>plane</w:t>
            </w:r>
            <w:r>
              <w:br/>
            </w:r>
            <w:r>
              <w:rPr>
                <w:rFonts w:ascii="Consolas" w:hAnsi="Consolas"/>
                <w:color w:val="111827"/>
                <w:sz w:val="18"/>
              </w:rPr>
              <w:t>entity_grain</w:t>
            </w:r>
            <w:r>
              <w:br/>
            </w:r>
            <w:r>
              <w:rPr>
                <w:rFonts w:ascii="Consolas" w:hAnsi="Consolas"/>
                <w:color w:val="111827"/>
                <w:sz w:val="18"/>
              </w:rPr>
              <w:t>identity_scope</w:t>
            </w:r>
            <w:r>
              <w:br/>
            </w:r>
            <w:r>
              <w:rPr>
                <w:rFonts w:ascii="Consolas" w:hAnsi="Consolas"/>
                <w:color w:val="111827"/>
                <w:sz w:val="18"/>
              </w:rPr>
              <w:t>minted_at</w:t>
            </w:r>
            <w:r>
              <w:br/>
            </w:r>
            <w:r>
              <w:rPr>
                <w:rFonts w:ascii="Consolas" w:hAnsi="Consolas"/>
                <w:color w:val="111827"/>
                <w:sz w:val="18"/>
              </w:rPr>
              <w:t>minting_authority</w:t>
            </w:r>
            <w:r>
              <w:br/>
            </w:r>
            <w:r>
              <w:rPr>
                <w:rFonts w:ascii="Consolas" w:hAnsi="Consolas"/>
                <w:color w:val="111827"/>
                <w:sz w:val="18"/>
              </w:rPr>
              <w:t>identity_policy</w:t>
            </w:r>
            <w:r>
              <w:br/>
            </w:r>
            <w:r>
              <w:rPr>
                <w:rFonts w:ascii="Consolas" w:hAnsi="Consolas"/>
                <w:color w:val="111827"/>
                <w:sz w:val="18"/>
              </w:rPr>
              <w:t>current_status</w:t>
            </w:r>
            <w:r>
              <w:br/>
            </w:r>
            <w:r>
              <w:rPr>
                <w:rFonts w:ascii="Consolas" w:hAnsi="Consolas"/>
                <w:color w:val="111827"/>
                <w:sz w:val="18"/>
              </w:rPr>
              <w:t>canonicalized_as (optional)</w:t>
            </w:r>
          </w:p>
        </w:tc>
      </w:tr>
    </w:tbl>
    <w:p>
      <w:pPr>
        <w:spacing w:after="0"/>
      </w:pPr>
    </w:p>
    <w:p>
      <w:pPr>
        <w:pStyle w:val="Heading2"/>
        <w:keepNext/>
      </w:pPr>
      <w:r>
        <w:t>A.2 ENTITY_BINDING</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binding_id</w:t>
            </w:r>
            <w:r>
              <w:br/>
            </w:r>
            <w:r>
              <w:rPr>
                <w:rFonts w:ascii="Consolas" w:hAnsi="Consolas"/>
                <w:color w:val="111827"/>
                <w:sz w:val="18"/>
              </w:rPr>
              <w:t>entity_serial</w:t>
            </w:r>
            <w:r>
              <w:br/>
            </w:r>
            <w:r>
              <w:rPr>
                <w:rFonts w:ascii="Consolas" w:hAnsi="Consolas"/>
                <w:color w:val="111827"/>
                <w:sz w:val="18"/>
              </w:rPr>
              <w:t>identity_space</w:t>
            </w:r>
            <w:r>
              <w:br/>
            </w:r>
            <w:r>
              <w:rPr>
                <w:rFonts w:ascii="Consolas" w:hAnsi="Consolas"/>
                <w:color w:val="111827"/>
                <w:sz w:val="18"/>
              </w:rPr>
              <w:t>native_key</w:t>
            </w:r>
            <w:r>
              <w:br/>
            </w:r>
            <w:r>
              <w:rPr>
                <w:rFonts w:ascii="Consolas" w:hAnsi="Consolas"/>
                <w:color w:val="111827"/>
                <w:sz w:val="18"/>
              </w:rPr>
              <w:t>logical_or_physical</w:t>
            </w:r>
            <w:r>
              <w:br/>
            </w:r>
            <w:r>
              <w:rPr>
                <w:rFonts w:ascii="Consolas" w:hAnsi="Consolas"/>
                <w:color w:val="111827"/>
                <w:sz w:val="18"/>
              </w:rPr>
              <w:t>fabric_scope</w:t>
            </w:r>
            <w:r>
              <w:br/>
            </w:r>
            <w:r>
              <w:rPr>
                <w:rFonts w:ascii="Consolas" w:hAnsi="Consolas"/>
                <w:color w:val="111827"/>
                <w:sz w:val="18"/>
              </w:rPr>
              <w:t>valid_from</w:t>
            </w:r>
            <w:r>
              <w:br/>
            </w:r>
            <w:r>
              <w:rPr>
                <w:rFonts w:ascii="Consolas" w:hAnsi="Consolas"/>
                <w:color w:val="111827"/>
                <w:sz w:val="18"/>
              </w:rPr>
              <w:t>valid_to</w:t>
            </w:r>
            <w:r>
              <w:br/>
            </w:r>
            <w:r>
              <w:rPr>
                <w:rFonts w:ascii="Consolas" w:hAnsi="Consolas"/>
                <w:color w:val="111827"/>
                <w:sz w:val="18"/>
              </w:rPr>
              <w:t>binding_basis</w:t>
            </w:r>
            <w:r>
              <w:br/>
            </w:r>
            <w:r>
              <w:rPr>
                <w:rFonts w:ascii="Consolas" w:hAnsi="Consolas"/>
                <w:color w:val="111827"/>
                <w:sz w:val="18"/>
              </w:rPr>
              <w:t>source_authority</w:t>
            </w:r>
            <w:r>
              <w:br/>
            </w:r>
            <w:r>
              <w:rPr>
                <w:rFonts w:ascii="Consolas" w:hAnsi="Consolas"/>
                <w:color w:val="111827"/>
                <w:sz w:val="18"/>
              </w:rPr>
              <w:t>status</w:t>
            </w:r>
          </w:p>
        </w:tc>
      </w:tr>
    </w:tbl>
    <w:p>
      <w:pPr>
        <w:spacing w:after="0"/>
      </w:pPr>
    </w:p>
    <w:p>
      <w:pPr>
        <w:pStyle w:val="Heading2"/>
        <w:keepNext/>
      </w:pPr>
      <w:r>
        <w:t>A.3 STATE_OBSERVATION</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observation_id</w:t>
            </w:r>
            <w:r>
              <w:br/>
            </w:r>
            <w:r>
              <w:rPr>
                <w:rFonts w:ascii="Consolas" w:hAnsi="Consolas"/>
                <w:color w:val="111827"/>
                <w:sz w:val="18"/>
              </w:rPr>
              <w:t>entity_serial</w:t>
            </w:r>
            <w:r>
              <w:br/>
            </w:r>
            <w:r>
              <w:rPr>
                <w:rFonts w:ascii="Consolas" w:hAnsi="Consolas"/>
                <w:color w:val="111827"/>
                <w:sz w:val="18"/>
              </w:rPr>
              <w:t>source_serial</w:t>
            </w:r>
            <w:r>
              <w:br/>
            </w:r>
            <w:r>
              <w:rPr>
                <w:rFonts w:ascii="Consolas" w:hAnsi="Consolas"/>
                <w:color w:val="111827"/>
                <w:sz w:val="18"/>
              </w:rPr>
              <w:t>source_vintage</w:t>
            </w:r>
            <w:r>
              <w:br/>
            </w:r>
            <w:r>
              <w:rPr>
                <w:rFonts w:ascii="Consolas" w:hAnsi="Consolas"/>
                <w:color w:val="111827"/>
                <w:sz w:val="18"/>
              </w:rPr>
              <w:t>observed_at</w:t>
            </w:r>
            <w:r>
              <w:br/>
            </w:r>
            <w:r>
              <w:rPr>
                <w:rFonts w:ascii="Consolas" w:hAnsi="Consolas"/>
                <w:color w:val="111827"/>
                <w:sz w:val="18"/>
              </w:rPr>
              <w:t>fabric_id</w:t>
            </w:r>
            <w:r>
              <w:br/>
            </w:r>
            <w:r>
              <w:rPr>
                <w:rFonts w:ascii="Consolas" w:hAnsi="Consolas"/>
                <w:color w:val="111827"/>
                <w:sz w:val="18"/>
              </w:rPr>
              <w:t>fingerprint</w:t>
            </w:r>
            <w:r>
              <w:br/>
            </w:r>
            <w:r>
              <w:rPr>
                <w:rFonts w:ascii="Consolas" w:hAnsi="Consolas"/>
                <w:color w:val="111827"/>
                <w:sz w:val="18"/>
              </w:rPr>
              <w:t>fingerprint_method</w:t>
            </w:r>
            <w:r>
              <w:br/>
            </w:r>
            <w:r>
              <w:rPr>
                <w:rFonts w:ascii="Consolas" w:hAnsi="Consolas"/>
                <w:color w:val="111827"/>
                <w:sz w:val="18"/>
              </w:rPr>
              <w:t>normalization_version</w:t>
            </w:r>
            <w:r>
              <w:br/>
            </w:r>
            <w:r>
              <w:rPr>
                <w:rFonts w:ascii="Consolas" w:hAnsi="Consolas"/>
                <w:color w:val="111827"/>
                <w:sz w:val="18"/>
              </w:rPr>
              <w:t>value_or_digest</w:t>
            </w:r>
            <w:r>
              <w:br/>
            </w:r>
            <w:r>
              <w:rPr>
                <w:rFonts w:ascii="Consolas" w:hAnsi="Consolas"/>
                <w:color w:val="111827"/>
                <w:sz w:val="18"/>
              </w:rPr>
              <w:t>producer_serial</w:t>
            </w:r>
            <w:r>
              <w:br/>
            </w:r>
            <w:r>
              <w:rPr>
                <w:rFonts w:ascii="Consolas" w:hAnsi="Consolas"/>
                <w:color w:val="111827"/>
                <w:sz w:val="18"/>
              </w:rPr>
              <w:t>producer_version</w:t>
            </w:r>
            <w:r>
              <w:br/>
            </w:r>
            <w:r>
              <w:rPr>
                <w:rFonts w:ascii="Consolas" w:hAnsi="Consolas"/>
                <w:color w:val="111827"/>
                <w:sz w:val="18"/>
              </w:rPr>
              <w:t>population_model</w:t>
            </w:r>
            <w:r>
              <w:br/>
            </w:r>
            <w:r>
              <w:rPr>
                <w:rFonts w:ascii="Consolas" w:hAnsi="Consolas"/>
                <w:color w:val="111827"/>
                <w:sz w:val="18"/>
              </w:rPr>
              <w:t>failure_state</w:t>
            </w:r>
            <w:r>
              <w:br/>
            </w:r>
            <w:r>
              <w:rPr>
                <w:rFonts w:ascii="Consolas" w:hAnsi="Consolas"/>
                <w:color w:val="111827"/>
                <w:sz w:val="18"/>
              </w:rPr>
              <w:t>evidence_refs[]</w:t>
            </w:r>
          </w:p>
        </w:tc>
      </w:tr>
    </w:tbl>
    <w:p>
      <w:pPr>
        <w:spacing w:after="0"/>
      </w:pPr>
    </w:p>
    <w:p>
      <w:pPr>
        <w:pStyle w:val="Heading2"/>
        <w:keepNext/>
      </w:pPr>
      <w:r>
        <w:t>A.4 MATERIALIZER and MATERIALIZER_VERSION</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materializer_serial</w:t>
            </w:r>
            <w:r>
              <w:br/>
            </w:r>
            <w:r>
              <w:rPr>
                <w:rFonts w:ascii="Consolas" w:hAnsi="Consolas"/>
                <w:color w:val="111827"/>
                <w:sz w:val="18"/>
              </w:rPr>
              <w:t>semantic_layer</w:t>
            </w:r>
            <w:r>
              <w:br/>
            </w:r>
            <w:r>
              <w:rPr>
                <w:rFonts w:ascii="Consolas" w:hAnsi="Consolas"/>
                <w:color w:val="111827"/>
                <w:sz w:val="18"/>
              </w:rPr>
              <w:t>canonical_role</w:t>
            </w:r>
            <w:r>
              <w:br/>
            </w:r>
            <w:r>
              <w:rPr>
                <w:rFonts w:ascii="Consolas" w:hAnsi="Consolas"/>
                <w:color w:val="111827"/>
                <w:sz w:val="18"/>
              </w:rPr>
              <w:t>owner</w:t>
            </w:r>
            <w:r>
              <w:br/>
            </w:r>
            <w:r>
              <w:rPr>
                <w:rFonts w:ascii="Consolas" w:hAnsi="Consolas"/>
                <w:color w:val="111827"/>
                <w:sz w:val="18"/>
              </w:rPr>
              <w:t>status</w:t>
            </w:r>
            <w:r>
              <w:br/>
            </w:r>
            <w:r>
              <w:rPr>
                <w:rFonts w:ascii="Consolas" w:hAnsi="Consolas"/>
                <w:color w:val="111827"/>
                <w:sz w:val="18"/>
              </w:rPr>
            </w:r>
            <w:r>
              <w:br/>
            </w:r>
            <w:r>
              <w:rPr>
                <w:rFonts w:ascii="Consolas" w:hAnsi="Consolas"/>
                <w:color w:val="111827"/>
                <w:sz w:val="18"/>
              </w:rPr>
              <w:t>materializer_version_id</w:t>
            </w:r>
            <w:r>
              <w:br/>
            </w:r>
            <w:r>
              <w:rPr>
                <w:rFonts w:ascii="Consolas" w:hAnsi="Consolas"/>
                <w:color w:val="111827"/>
                <w:sz w:val="18"/>
              </w:rPr>
              <w:t>materializer_serial</w:t>
            </w:r>
            <w:r>
              <w:br/>
            </w:r>
            <w:r>
              <w:rPr>
                <w:rFonts w:ascii="Consolas" w:hAnsi="Consolas"/>
                <w:color w:val="111827"/>
                <w:sz w:val="18"/>
              </w:rPr>
              <w:t>source_tree_digest</w:t>
            </w:r>
            <w:r>
              <w:br/>
            </w:r>
            <w:r>
              <w:rPr>
                <w:rFonts w:ascii="Consolas" w:hAnsi="Consolas"/>
                <w:color w:val="111827"/>
                <w:sz w:val="18"/>
              </w:rPr>
              <w:t>dependency_lock_digest</w:t>
            </w:r>
            <w:r>
              <w:br/>
            </w:r>
            <w:r>
              <w:rPr>
                <w:rFonts w:ascii="Consolas" w:hAnsi="Consolas"/>
                <w:color w:val="111827"/>
                <w:sz w:val="18"/>
              </w:rPr>
              <w:t>configuration_digest</w:t>
            </w:r>
            <w:r>
              <w:br/>
            </w:r>
            <w:r>
              <w:rPr>
                <w:rFonts w:ascii="Consolas" w:hAnsi="Consolas"/>
                <w:color w:val="111827"/>
                <w:sz w:val="18"/>
              </w:rPr>
              <w:t>declared_opinions_digest</w:t>
            </w:r>
            <w:r>
              <w:br/>
            </w:r>
            <w:r>
              <w:rPr>
                <w:rFonts w:ascii="Consolas" w:hAnsi="Consolas"/>
                <w:color w:val="111827"/>
                <w:sz w:val="18"/>
              </w:rPr>
              <w:t>normalizer_versions</w:t>
            </w:r>
            <w:r>
              <w:br/>
            </w:r>
            <w:r>
              <w:rPr>
                <w:rFonts w:ascii="Consolas" w:hAnsi="Consolas"/>
                <w:color w:val="111827"/>
                <w:sz w:val="18"/>
              </w:rPr>
              <w:t>runtime_contract_version</w:t>
            </w:r>
            <w:r>
              <w:br/>
            </w:r>
            <w:r>
              <w:rPr>
                <w:rFonts w:ascii="Consolas" w:hAnsi="Consolas"/>
                <w:color w:val="111827"/>
                <w:sz w:val="18"/>
              </w:rPr>
              <w:t>bundle_digest</w:t>
            </w:r>
            <w:r>
              <w:br/>
            </w:r>
            <w:r>
              <w:rPr>
                <w:rFonts w:ascii="Consolas" w:hAnsi="Consolas"/>
                <w:color w:val="111827"/>
                <w:sz w:val="18"/>
              </w:rPr>
              <w:t>valid_from</w:t>
            </w:r>
            <w:r>
              <w:br/>
            </w:r>
            <w:r>
              <w:rPr>
                <w:rFonts w:ascii="Consolas" w:hAnsi="Consolas"/>
                <w:color w:val="111827"/>
                <w:sz w:val="18"/>
              </w:rPr>
              <w:t>supersedes</w:t>
            </w:r>
          </w:p>
        </w:tc>
      </w:tr>
    </w:tbl>
    <w:p>
      <w:pPr>
        <w:spacing w:after="0"/>
      </w:pPr>
    </w:p>
    <w:p>
      <w:pPr>
        <w:pStyle w:val="Heading2"/>
        <w:keepNext/>
      </w:pPr>
      <w:r>
        <w:t>A.5 MATERIALIZATION_RUN / SOURCE_FRONTIER / SURFACE_VERSION</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run_id</w:t>
            </w:r>
            <w:r>
              <w:br/>
            </w:r>
            <w:r>
              <w:rPr>
                <w:rFonts w:ascii="Consolas" w:hAnsi="Consolas"/>
                <w:color w:val="111827"/>
                <w:sz w:val="18"/>
              </w:rPr>
              <w:t>materializer_version_id</w:t>
            </w:r>
            <w:r>
              <w:br/>
            </w:r>
            <w:r>
              <w:rPr>
                <w:rFonts w:ascii="Consolas" w:hAnsi="Consolas"/>
                <w:color w:val="111827"/>
                <w:sz w:val="18"/>
              </w:rPr>
              <w:t>fabric_id</w:t>
            </w:r>
            <w:r>
              <w:br/>
            </w:r>
            <w:r>
              <w:rPr>
                <w:rFonts w:ascii="Consolas" w:hAnsi="Consolas"/>
                <w:color w:val="111827"/>
                <w:sz w:val="18"/>
              </w:rPr>
              <w:t>source_frontier_id</w:t>
            </w:r>
            <w:r>
              <w:br/>
            </w:r>
            <w:r>
              <w:rPr>
                <w:rFonts w:ascii="Consolas" w:hAnsi="Consolas"/>
                <w:color w:val="111827"/>
                <w:sz w:val="18"/>
              </w:rPr>
              <w:t>parameters_digest</w:t>
            </w:r>
            <w:r>
              <w:br/>
            </w:r>
            <w:r>
              <w:rPr>
                <w:rFonts w:ascii="Consolas" w:hAnsi="Consolas"/>
                <w:color w:val="111827"/>
                <w:sz w:val="18"/>
              </w:rPr>
              <w:t>started_at</w:t>
            </w:r>
            <w:r>
              <w:br/>
            </w:r>
            <w:r>
              <w:rPr>
                <w:rFonts w:ascii="Consolas" w:hAnsi="Consolas"/>
                <w:color w:val="111827"/>
                <w:sz w:val="18"/>
              </w:rPr>
              <w:t>completed_at</w:t>
            </w:r>
            <w:r>
              <w:br/>
            </w:r>
            <w:r>
              <w:rPr>
                <w:rFonts w:ascii="Consolas" w:hAnsi="Consolas"/>
                <w:color w:val="111827"/>
                <w:sz w:val="18"/>
              </w:rPr>
              <w:t>run_status</w:t>
            </w:r>
            <w:r>
              <w:br/>
            </w:r>
            <w:r>
              <w:rPr>
                <w:rFonts w:ascii="Consolas" w:hAnsi="Consolas"/>
                <w:color w:val="111827"/>
                <w:sz w:val="18"/>
              </w:rPr>
              <w:t>output_surface_version_ids[]</w:t>
            </w:r>
            <w:r>
              <w:br/>
            </w:r>
            <w:r>
              <w:rPr>
                <w:rFonts w:ascii="Consolas" w:hAnsi="Consolas"/>
                <w:color w:val="111827"/>
                <w:sz w:val="18"/>
              </w:rPr>
              <w:t>run_receipt_digest</w:t>
            </w:r>
            <w:r>
              <w:br/>
            </w:r>
            <w:r>
              <w:rPr>
                <w:rFonts w:ascii="Consolas" w:hAnsi="Consolas"/>
                <w:color w:val="111827"/>
                <w:sz w:val="18"/>
              </w:rPr>
            </w:r>
            <w:r>
              <w:br/>
            </w:r>
            <w:r>
              <w:rPr>
                <w:rFonts w:ascii="Consolas" w:hAnsi="Consolas"/>
                <w:color w:val="111827"/>
                <w:sz w:val="18"/>
              </w:rPr>
              <w:t>source_frontier_id</w:t>
            </w:r>
            <w:r>
              <w:br/>
            </w:r>
            <w:r>
              <w:rPr>
                <w:rFonts w:ascii="Consolas" w:hAnsi="Consolas"/>
                <w:color w:val="111827"/>
                <w:sz w:val="18"/>
              </w:rPr>
              <w:t>members[] = {</w:t>
            </w:r>
            <w:r>
              <w:br/>
            </w:r>
            <w:r>
              <w:rPr>
                <w:rFonts w:ascii="Consolas" w:hAnsi="Consolas"/>
                <w:color w:val="111827"/>
                <w:sz w:val="18"/>
              </w:rPr>
              <w:t xml:space="preserve">  source_serial,</w:t>
            </w:r>
            <w:r>
              <w:br/>
            </w:r>
            <w:r>
              <w:rPr>
                <w:rFonts w:ascii="Consolas" w:hAnsi="Consolas"/>
                <w:color w:val="111827"/>
                <w:sz w:val="18"/>
              </w:rPr>
              <w:t xml:space="preserve">  authority_ref,</w:t>
            </w:r>
            <w:r>
              <w:br/>
            </w:r>
            <w:r>
              <w:rPr>
                <w:rFonts w:ascii="Consolas" w:hAnsi="Consolas"/>
                <w:color w:val="111827"/>
                <w:sz w:val="18"/>
              </w:rPr>
              <w:t xml:space="preserve">  source_version,</w:t>
            </w:r>
            <w:r>
              <w:br/>
            </w:r>
            <w:r>
              <w:rPr>
                <w:rFonts w:ascii="Consolas" w:hAnsi="Consolas"/>
                <w:color w:val="111827"/>
                <w:sz w:val="18"/>
              </w:rPr>
              <w:t xml:space="preserve">  observed_at,</w:t>
            </w:r>
            <w:r>
              <w:br/>
            </w:r>
            <w:r>
              <w:rPr>
                <w:rFonts w:ascii="Consolas" w:hAnsi="Consolas"/>
                <w:color w:val="111827"/>
                <w:sz w:val="18"/>
              </w:rPr>
              <w:t xml:space="preserve">  fabric_id</w:t>
            </w:r>
            <w:r>
              <w:br/>
            </w:r>
            <w:r>
              <w:rPr>
                <w:rFonts w:ascii="Consolas" w:hAnsi="Consolas"/>
                <w:color w:val="111827"/>
                <w:sz w:val="18"/>
              </w:rPr>
              <w:t>}</w:t>
            </w:r>
            <w:r>
              <w:br/>
            </w:r>
            <w:r>
              <w:rPr>
                <w:rFonts w:ascii="Consolas" w:hAnsi="Consolas"/>
                <w:color w:val="111827"/>
                <w:sz w:val="18"/>
              </w:rPr>
            </w:r>
            <w:r>
              <w:br/>
            </w:r>
            <w:r>
              <w:rPr>
                <w:rFonts w:ascii="Consolas" w:hAnsi="Consolas"/>
                <w:color w:val="111827"/>
                <w:sz w:val="18"/>
              </w:rPr>
              <w:t>surface_version_id</w:t>
            </w:r>
            <w:r>
              <w:br/>
            </w:r>
            <w:r>
              <w:rPr>
                <w:rFonts w:ascii="Consolas" w:hAnsi="Consolas"/>
                <w:color w:val="111827"/>
                <w:sz w:val="18"/>
              </w:rPr>
              <w:t>logical_surface_serial</w:t>
            </w:r>
            <w:r>
              <w:br/>
            </w:r>
            <w:r>
              <w:rPr>
                <w:rFonts w:ascii="Consolas" w:hAnsi="Consolas"/>
                <w:color w:val="111827"/>
                <w:sz w:val="18"/>
              </w:rPr>
              <w:t>physical_instance_serial</w:t>
            </w:r>
            <w:r>
              <w:br/>
            </w:r>
            <w:r>
              <w:rPr>
                <w:rFonts w:ascii="Consolas" w:hAnsi="Consolas"/>
                <w:color w:val="111827"/>
                <w:sz w:val="18"/>
              </w:rPr>
              <w:t>producing_run_id</w:t>
            </w:r>
            <w:r>
              <w:br/>
            </w:r>
            <w:r>
              <w:rPr>
                <w:rFonts w:ascii="Consolas" w:hAnsi="Consolas"/>
                <w:color w:val="111827"/>
                <w:sz w:val="18"/>
              </w:rPr>
              <w:t>content_digest</w:t>
            </w:r>
            <w:r>
              <w:br/>
            </w:r>
            <w:r>
              <w:rPr>
                <w:rFonts w:ascii="Consolas" w:hAnsi="Consolas"/>
                <w:color w:val="111827"/>
                <w:sz w:val="18"/>
              </w:rPr>
              <w:t>source_frontier_id</w:t>
            </w:r>
            <w:r>
              <w:br/>
            </w:r>
            <w:r>
              <w:rPr>
                <w:rFonts w:ascii="Consolas" w:hAnsi="Consolas"/>
                <w:color w:val="111827"/>
                <w:sz w:val="18"/>
              </w:rPr>
              <w:t>published_ref</w:t>
            </w:r>
            <w:r>
              <w:br/>
            </w:r>
            <w:r>
              <w:rPr>
                <w:rFonts w:ascii="Consolas" w:hAnsi="Consolas"/>
                <w:color w:val="111827"/>
                <w:sz w:val="18"/>
              </w:rPr>
              <w:t>built_at</w:t>
            </w:r>
            <w:r>
              <w:br/>
            </w:r>
            <w:r>
              <w:rPr>
                <w:rFonts w:ascii="Consolas" w:hAnsi="Consolas"/>
                <w:color w:val="111827"/>
                <w:sz w:val="18"/>
              </w:rPr>
              <w:t>fabric_id</w:t>
            </w:r>
          </w:p>
        </w:tc>
      </w:tr>
    </w:tbl>
    <w:p>
      <w:pPr>
        <w:spacing w:after="0"/>
      </w:pPr>
    </w:p>
    <w:p>
      <w:pPr>
        <w:pStyle w:val="Heading2"/>
        <w:keepNext/>
      </w:pPr>
      <w:r>
        <w:t>A.6 BRIDGE_ASSERTION</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bridge_assertion_id</w:t>
            </w:r>
            <w:r>
              <w:br/>
            </w:r>
            <w:r>
              <w:rPr>
                <w:rFonts w:ascii="Consolas" w:hAnsi="Consolas"/>
                <w:color w:val="111827"/>
                <w:sz w:val="18"/>
              </w:rPr>
              <w:t>subject_entity_serial</w:t>
            </w:r>
            <w:r>
              <w:br/>
            </w:r>
            <w:r>
              <w:rPr>
                <w:rFonts w:ascii="Consolas" w:hAnsi="Consolas"/>
                <w:color w:val="111827"/>
                <w:sz w:val="18"/>
              </w:rPr>
              <w:t>subject_plane</w:t>
            </w:r>
            <w:r>
              <w:br/>
            </w:r>
            <w:r>
              <w:rPr>
                <w:rFonts w:ascii="Consolas" w:hAnsi="Consolas"/>
                <w:color w:val="111827"/>
                <w:sz w:val="18"/>
              </w:rPr>
              <w:t>subject_grain</w:t>
            </w:r>
            <w:r>
              <w:br/>
            </w:r>
            <w:r>
              <w:rPr>
                <w:rFonts w:ascii="Consolas" w:hAnsi="Consolas"/>
                <w:color w:val="111827"/>
                <w:sz w:val="18"/>
              </w:rPr>
              <w:t>relation_type</w:t>
            </w:r>
            <w:r>
              <w:br/>
            </w:r>
            <w:r>
              <w:rPr>
                <w:rFonts w:ascii="Consolas" w:hAnsi="Consolas"/>
                <w:color w:val="111827"/>
                <w:sz w:val="18"/>
              </w:rPr>
              <w:t>object_entity_serial</w:t>
            </w:r>
            <w:r>
              <w:br/>
            </w:r>
            <w:r>
              <w:rPr>
                <w:rFonts w:ascii="Consolas" w:hAnsi="Consolas"/>
                <w:color w:val="111827"/>
                <w:sz w:val="18"/>
              </w:rPr>
              <w:t>object_plane</w:t>
            </w:r>
            <w:r>
              <w:br/>
            </w:r>
            <w:r>
              <w:rPr>
                <w:rFonts w:ascii="Consolas" w:hAnsi="Consolas"/>
                <w:color w:val="111827"/>
                <w:sz w:val="18"/>
              </w:rPr>
              <w:t>object_grain</w:t>
            </w:r>
            <w:r>
              <w:br/>
            </w:r>
            <w:r>
              <w:rPr>
                <w:rFonts w:ascii="Consolas" w:hAnsi="Consolas"/>
                <w:color w:val="111827"/>
                <w:sz w:val="18"/>
              </w:rPr>
              <w:t>claim_origin</w:t>
            </w:r>
            <w:r>
              <w:br/>
            </w:r>
            <w:r>
              <w:rPr>
                <w:rFonts w:ascii="Consolas" w:hAnsi="Consolas"/>
                <w:color w:val="111827"/>
                <w:sz w:val="18"/>
              </w:rPr>
              <w:t>verification_state</w:t>
            </w:r>
            <w:r>
              <w:br/>
            </w:r>
            <w:r>
              <w:rPr>
                <w:rFonts w:ascii="Consolas" w:hAnsi="Consolas"/>
                <w:color w:val="111827"/>
                <w:sz w:val="18"/>
              </w:rPr>
              <w:t>registry_standing</w:t>
            </w:r>
            <w:r>
              <w:br/>
            </w:r>
            <w:r>
              <w:rPr>
                <w:rFonts w:ascii="Consolas" w:hAnsi="Consolas"/>
                <w:color w:val="111827"/>
                <w:sz w:val="18"/>
              </w:rPr>
              <w:t>evidence_refs[]</w:t>
            </w:r>
            <w:r>
              <w:br/>
            </w:r>
            <w:r>
              <w:rPr>
                <w:rFonts w:ascii="Consolas" w:hAnsi="Consolas"/>
                <w:color w:val="111827"/>
                <w:sz w:val="18"/>
              </w:rPr>
              <w:t>source_authority</w:t>
            </w:r>
            <w:r>
              <w:br/>
            </w:r>
            <w:r>
              <w:rPr>
                <w:rFonts w:ascii="Consolas" w:hAnsi="Consolas"/>
                <w:color w:val="111827"/>
                <w:sz w:val="18"/>
              </w:rPr>
              <w:t>producer_serial</w:t>
            </w:r>
            <w:r>
              <w:br/>
            </w:r>
            <w:r>
              <w:rPr>
                <w:rFonts w:ascii="Consolas" w:hAnsi="Consolas"/>
                <w:color w:val="111827"/>
                <w:sz w:val="18"/>
              </w:rPr>
              <w:t>producer_version</w:t>
            </w:r>
            <w:r>
              <w:br/>
            </w:r>
            <w:r>
              <w:rPr>
                <w:rFonts w:ascii="Consolas" w:hAnsi="Consolas"/>
                <w:color w:val="111827"/>
                <w:sz w:val="18"/>
              </w:rPr>
              <w:t>valid_from</w:t>
            </w:r>
            <w:r>
              <w:br/>
            </w:r>
            <w:r>
              <w:rPr>
                <w:rFonts w:ascii="Consolas" w:hAnsi="Consolas"/>
                <w:color w:val="111827"/>
                <w:sz w:val="18"/>
              </w:rPr>
              <w:t>valid_to</w:t>
            </w:r>
            <w:r>
              <w:br/>
            </w:r>
            <w:r>
              <w:rPr>
                <w:rFonts w:ascii="Consolas" w:hAnsi="Consolas"/>
                <w:color w:val="111827"/>
                <w:sz w:val="18"/>
              </w:rPr>
              <w:t>observed_at</w:t>
            </w:r>
            <w:r>
              <w:br/>
            </w:r>
            <w:r>
              <w:rPr>
                <w:rFonts w:ascii="Consolas" w:hAnsi="Consolas"/>
                <w:color w:val="111827"/>
                <w:sz w:val="18"/>
              </w:rPr>
              <w:t>snapshot_id</w:t>
            </w:r>
            <w:r>
              <w:br/>
            </w:r>
            <w:r>
              <w:rPr>
                <w:rFonts w:ascii="Consolas" w:hAnsi="Consolas"/>
                <w:color w:val="111827"/>
                <w:sz w:val="18"/>
              </w:rPr>
              <w:t>declared_cardinality</w:t>
            </w:r>
            <w:r>
              <w:br/>
            </w:r>
            <w:r>
              <w:rPr>
                <w:rFonts w:ascii="Consolas" w:hAnsi="Consolas"/>
                <w:color w:val="111827"/>
                <w:sz w:val="18"/>
              </w:rPr>
              <w:t>observed_cardinality</w:t>
            </w:r>
            <w:r>
              <w:br/>
            </w:r>
            <w:r>
              <w:rPr>
                <w:rFonts w:ascii="Consolas" w:hAnsi="Consolas"/>
                <w:color w:val="111827"/>
                <w:sz w:val="18"/>
              </w:rPr>
              <w:t>firm_scope</w:t>
            </w:r>
            <w:r>
              <w:br/>
            </w:r>
            <w:r>
              <w:rPr>
                <w:rFonts w:ascii="Consolas" w:hAnsi="Consolas"/>
                <w:color w:val="111827"/>
                <w:sz w:val="18"/>
              </w:rPr>
              <w:t>cross_firm_allowed</w:t>
            </w:r>
            <w:r>
              <w:br/>
            </w:r>
            <w:r>
              <w:rPr>
                <w:rFonts w:ascii="Consolas" w:hAnsi="Consolas"/>
                <w:color w:val="111827"/>
                <w:sz w:val="18"/>
              </w:rPr>
              <w:t>discrimination_result</w:t>
            </w:r>
            <w:r>
              <w:br/>
            </w:r>
            <w:r>
              <w:rPr>
                <w:rFonts w:ascii="Consolas" w:hAnsi="Consolas"/>
                <w:color w:val="111827"/>
                <w:sz w:val="18"/>
              </w:rPr>
              <w:t>coverage_method</w:t>
            </w:r>
            <w:r>
              <w:br/>
            </w:r>
            <w:r>
              <w:rPr>
                <w:rFonts w:ascii="Consolas" w:hAnsi="Consolas"/>
                <w:color w:val="111827"/>
                <w:sz w:val="18"/>
              </w:rPr>
              <w:t>denominator</w:t>
            </w:r>
            <w:r>
              <w:br/>
            </w:r>
            <w:r>
              <w:rPr>
                <w:rFonts w:ascii="Consolas" w:hAnsi="Consolas"/>
                <w:color w:val="111827"/>
                <w:sz w:val="18"/>
              </w:rPr>
              <w:t>supersedes</w:t>
            </w:r>
          </w:p>
        </w:tc>
      </w:tr>
    </w:tbl>
    <w:p>
      <w:pPr>
        <w:spacing w:after="0"/>
      </w:pPr>
    </w:p>
    <w:p>
      <w:pPr>
        <w:pStyle w:val="Heading2"/>
        <w:keepNext/>
      </w:pPr>
      <w:r>
        <w:t>A.7 COHERENCE_EVALUATION</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9864"/>
      </w:tblGrid>
      <w:tr>
        <w:tc>
          <w:tcPr>
            <w:tcW w:type="dxa" w:w="9994"/>
            <w:shd w:fill="F2F4F6"/>
            <w:tcMar>
              <w:top w:w="130" w:type="dxa"/>
              <w:start w:w="160" w:type="dxa"/>
              <w:bottom w:w="130" w:type="dxa"/>
              <w:end w:w="160" w:type="dxa"/>
            </w:tcMar>
          </w:tcPr>
          <w:p>
            <w:pPr>
              <w:spacing w:after="0" w:line="240" w:lineRule="auto"/>
            </w:pPr>
            <w:r>
              <w:rPr>
                <w:rFonts w:ascii="Consolas" w:hAnsi="Consolas"/>
                <w:color w:val="111827"/>
                <w:sz w:val="18"/>
              </w:rPr>
              <w:t>evaluation_id</w:t>
            </w:r>
            <w:r>
              <w:br/>
            </w:r>
            <w:r>
              <w:rPr>
                <w:rFonts w:ascii="Consolas" w:hAnsi="Consolas"/>
                <w:color w:val="111827"/>
                <w:sz w:val="18"/>
              </w:rPr>
              <w:t>subject_surface_version_or_instance</w:t>
            </w:r>
            <w:r>
              <w:br/>
            </w:r>
            <w:r>
              <w:rPr>
                <w:rFonts w:ascii="Consolas" w:hAnsi="Consolas"/>
                <w:color w:val="111827"/>
                <w:sz w:val="18"/>
              </w:rPr>
              <w:t>target_policy</w:t>
            </w:r>
            <w:r>
              <w:br/>
            </w:r>
            <w:r>
              <w:rPr>
                <w:rFonts w:ascii="Consolas" w:hAnsi="Consolas"/>
                <w:color w:val="111827"/>
                <w:sz w:val="18"/>
              </w:rPr>
              <w:t>target_surface_version</w:t>
            </w:r>
            <w:r>
              <w:br/>
            </w:r>
            <w:r>
              <w:rPr>
                <w:rFonts w:ascii="Consolas" w:hAnsi="Consolas"/>
                <w:color w:val="111827"/>
                <w:sz w:val="18"/>
              </w:rPr>
              <w:t>target_source_frontier</w:t>
            </w:r>
            <w:r>
              <w:br/>
            </w:r>
            <w:r>
              <w:rPr>
                <w:rFonts w:ascii="Consolas" w:hAnsi="Consolas"/>
                <w:color w:val="111827"/>
                <w:sz w:val="18"/>
              </w:rPr>
              <w:t>evaluated_at</w:t>
            </w:r>
            <w:r>
              <w:br/>
            </w:r>
            <w:r>
              <w:rPr>
                <w:rFonts w:ascii="Consolas" w:hAnsi="Consolas"/>
                <w:color w:val="111827"/>
                <w:sz w:val="18"/>
              </w:rPr>
              <w:t>evaluator_materializer_version</w:t>
            </w:r>
            <w:r>
              <w:br/>
            </w:r>
            <w:r>
              <w:rPr>
                <w:rFonts w:ascii="Consolas" w:hAnsi="Consolas"/>
                <w:color w:val="111827"/>
                <w:sz w:val="18"/>
              </w:rPr>
              <w:t>fabric_id</w:t>
            </w:r>
            <w:r>
              <w:br/>
            </w:r>
            <w:r>
              <w:rPr>
                <w:rFonts w:ascii="Consolas" w:hAnsi="Consolas"/>
                <w:color w:val="111827"/>
                <w:sz w:val="18"/>
              </w:rPr>
              <w:t>availability</w:t>
            </w:r>
            <w:r>
              <w:br/>
            </w:r>
            <w:r>
              <w:rPr>
                <w:rFonts w:ascii="Consolas" w:hAnsi="Consolas"/>
                <w:color w:val="111827"/>
                <w:sz w:val="18"/>
              </w:rPr>
              <w:t>integrity</w:t>
            </w:r>
            <w:r>
              <w:br/>
            </w:r>
            <w:r>
              <w:rPr>
                <w:rFonts w:ascii="Consolas" w:hAnsi="Consolas"/>
                <w:color w:val="111827"/>
                <w:sz w:val="18"/>
              </w:rPr>
              <w:t>currency</w:t>
            </w:r>
            <w:r>
              <w:br/>
            </w:r>
            <w:r>
              <w:rPr>
                <w:rFonts w:ascii="Consolas" w:hAnsi="Consolas"/>
                <w:color w:val="111827"/>
                <w:sz w:val="18"/>
              </w:rPr>
              <w:t>provenance</w:t>
            </w:r>
            <w:r>
              <w:br/>
            </w:r>
            <w:r>
              <w:rPr>
                <w:rFonts w:ascii="Consolas" w:hAnsi="Consolas"/>
                <w:color w:val="111827"/>
                <w:sz w:val="18"/>
              </w:rPr>
              <w:t>fabric_validity</w:t>
            </w:r>
            <w:r>
              <w:br/>
            </w:r>
            <w:r>
              <w:rPr>
                <w:rFonts w:ascii="Consolas" w:hAnsi="Consolas"/>
                <w:color w:val="111827"/>
                <w:sz w:val="18"/>
              </w:rPr>
              <w:t>delta_summary</w:t>
            </w:r>
            <w:r>
              <w:br/>
            </w:r>
            <w:r>
              <w:rPr>
                <w:rFonts w:ascii="Consolas" w:hAnsi="Consolas"/>
                <w:color w:val="111827"/>
                <w:sz w:val="18"/>
              </w:rPr>
              <w:t>evidence_refs[]</w:t>
            </w:r>
          </w:p>
        </w:tc>
      </w:tr>
    </w:tbl>
    <w:p>
      <w:pPr>
        <w:spacing w:after="0"/>
      </w:pPr>
    </w:p>
    <w:p>
      <w:pPr>
        <w:pStyle w:val="Heading1"/>
        <w:keepNext/>
      </w:pPr>
      <w:r>
        <w:t>Appendix B. Decisions Resolved and Still Open</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3456"/>
        <w:gridCol w:w="6408"/>
      </w:tblGrid>
      <w:tr>
        <w:trPr>
          <w:tblHeader w:val="true"/>
          <w:cantSplit/>
        </w:trPr>
        <w:tc>
          <w:tcPr>
            <w:tcW w:type="dxa" w:w="4997"/>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Decision</w:t>
            </w:r>
          </w:p>
        </w:tc>
        <w:tc>
          <w:tcPr>
            <w:tcW w:type="dxa" w:w="4997"/>
            <w:vAlign w:val="center"/>
            <w:tcMar>
              <w:top w:w="90" w:type="dxa"/>
              <w:start w:w="110" w:type="dxa"/>
              <w:bottom w:w="90" w:type="dxa"/>
              <w:end w:w="110" w:type="dxa"/>
            </w:tcMar>
            <w:shd w:fill="17324D"/>
          </w:tcPr>
          <w:p>
            <w:pPr>
              <w:spacing w:after="0" w:before="0"/>
              <w:jc w:val="left"/>
            </w:pPr>
            <w:r/>
            <w:r>
              <w:rPr>
                <w:rFonts w:ascii="Aptos Display" w:hAnsi="Aptos Display"/>
                <w:b/>
                <w:color w:val="FFFFFF"/>
                <w:sz w:val="17"/>
              </w:rPr>
              <w:t>Recommended standing</w:t>
            </w:r>
          </w:p>
        </w:tc>
      </w:tr>
      <w:tr>
        <w:trPr>
          <w:cantSplit/>
        </w:trPr>
        <w:tc>
          <w:tcPr>
            <w:tcW w:type="dxa" w:w="3456"/>
            <w:vAlign w:val="center"/>
            <w:tcMar>
              <w:top w:w="90" w:type="dxa"/>
              <w:start w:w="110" w:type="dxa"/>
              <w:bottom w:w="90" w:type="dxa"/>
              <w:end w:w="110" w:type="dxa"/>
            </w:tcMar>
          </w:tcPr>
          <w:p>
            <w:pPr>
              <w:spacing w:after="0" w:before="0"/>
            </w:pPr>
            <w:r/>
            <w:r>
              <w:rPr>
                <w:rFonts w:ascii="Aptos" w:hAnsi="Aptos"/>
                <w:b/>
                <w:color w:val="111827"/>
                <w:sz w:val="17"/>
              </w:rPr>
              <w:t>Universal identity mechanism</w:t>
            </w:r>
          </w:p>
        </w:tc>
        <w:tc>
          <w:tcPr>
            <w:tcW w:type="dxa" w:w="6408"/>
            <w:vAlign w:val="center"/>
            <w:tcMar>
              <w:top w:w="90" w:type="dxa"/>
              <w:start w:w="110" w:type="dxa"/>
              <w:bottom w:w="90" w:type="dxa"/>
              <w:end w:w="110" w:type="dxa"/>
            </w:tcMar>
          </w:tcPr>
          <w:p>
            <w:pPr>
              <w:spacing w:after="0" w:before="0"/>
            </w:pPr>
            <w:r/>
            <w:r>
              <w:rPr>
                <w:rFonts w:ascii="Aptos" w:hAnsi="Aptos"/>
                <w:b w:val="0"/>
                <w:color w:val="111827"/>
                <w:sz w:val="17"/>
              </w:rPr>
              <w:t>RESOLVED: opaque minted serials; source keys are bindings; hashes are state/version evidence.</w:t>
            </w:r>
          </w:p>
        </w:tc>
      </w:tr>
      <w:tr>
        <w:trPr>
          <w:cantSplit/>
        </w:trPr>
        <w:tc>
          <w:tcPr>
            <w:tcW w:type="dxa" w:w="3456"/>
            <w:vAlign w:val="center"/>
            <w:tcMar>
              <w:top w:w="90" w:type="dxa"/>
              <w:start w:w="110" w:type="dxa"/>
              <w:bottom w:w="90" w:type="dxa"/>
              <w:end w:w="110" w:type="dxa"/>
            </w:tcMar>
            <w:shd w:fill="F8FAFC"/>
          </w:tcPr>
          <w:p>
            <w:pPr>
              <w:spacing w:after="0" w:before="0"/>
            </w:pPr>
            <w:r/>
            <w:r>
              <w:rPr>
                <w:rFonts w:ascii="Aptos" w:hAnsi="Aptos"/>
                <w:b/>
                <w:color w:val="111827"/>
                <w:sz w:val="17"/>
              </w:rPr>
              <w:t>Universal entity grain</w:t>
            </w:r>
          </w:p>
        </w:tc>
        <w:tc>
          <w:tcPr>
            <w:tcW w:type="dxa" w:w="6408"/>
            <w:vAlign w:val="center"/>
            <w:tcMar>
              <w:top w:w="90" w:type="dxa"/>
              <w:start w:w="110" w:type="dxa"/>
              <w:bottom w:w="90" w:type="dxa"/>
              <w:end w:w="110" w:type="dxa"/>
            </w:tcMar>
            <w:shd w:fill="F8FAFC"/>
          </w:tcPr>
          <w:p>
            <w:pPr>
              <w:spacing w:after="0" w:before="0"/>
            </w:pPr>
            <w:r/>
            <w:r>
              <w:rPr>
                <w:rFonts w:ascii="Aptos" w:hAnsi="Aptos"/>
                <w:b w:val="0"/>
                <w:color w:val="111827"/>
                <w:sz w:val="17"/>
              </w:rPr>
              <w:t>RESOLVED: none. Canonical grain remains (PLANE, ENTITY).</w:t>
            </w:r>
          </w:p>
        </w:tc>
      </w:tr>
      <w:tr>
        <w:trPr>
          <w:cantSplit/>
        </w:trPr>
        <w:tc>
          <w:tcPr>
            <w:tcW w:type="dxa" w:w="3456"/>
            <w:vAlign w:val="center"/>
            <w:tcMar>
              <w:top w:w="90" w:type="dxa"/>
              <w:start w:w="110" w:type="dxa"/>
              <w:bottom w:w="90" w:type="dxa"/>
              <w:end w:w="110" w:type="dxa"/>
            </w:tcMar>
          </w:tcPr>
          <w:p>
            <w:pPr>
              <w:spacing w:after="0" w:before="0"/>
            </w:pPr>
            <w:r/>
            <w:r>
              <w:rPr>
                <w:rFonts w:ascii="Aptos" w:hAnsi="Aptos"/>
                <w:b/>
                <w:color w:val="111827"/>
                <w:sz w:val="17"/>
              </w:rPr>
              <w:t>Logical versus physical surface</w:t>
            </w:r>
          </w:p>
        </w:tc>
        <w:tc>
          <w:tcPr>
            <w:tcW w:type="dxa" w:w="6408"/>
            <w:vAlign w:val="center"/>
            <w:tcMar>
              <w:top w:w="90" w:type="dxa"/>
              <w:start w:w="110" w:type="dxa"/>
              <w:bottom w:w="90" w:type="dxa"/>
              <w:end w:w="110" w:type="dxa"/>
            </w:tcMar>
          </w:tcPr>
          <w:p>
            <w:pPr>
              <w:spacing w:after="0" w:before="0"/>
            </w:pPr>
            <w:r/>
            <w:r>
              <w:rPr>
                <w:rFonts w:ascii="Aptos" w:hAnsi="Aptos"/>
                <w:b w:val="0"/>
                <w:color w:val="111827"/>
                <w:sz w:val="17"/>
              </w:rPr>
              <w:t>RESOLVED: separate identities linked by instance relations.</w:t>
            </w:r>
          </w:p>
        </w:tc>
      </w:tr>
      <w:tr>
        <w:trPr>
          <w:cantSplit/>
        </w:trPr>
        <w:tc>
          <w:tcPr>
            <w:tcW w:type="dxa" w:w="3456"/>
            <w:vAlign w:val="center"/>
            <w:tcMar>
              <w:top w:w="90" w:type="dxa"/>
              <w:start w:w="110" w:type="dxa"/>
              <w:bottom w:w="90" w:type="dxa"/>
              <w:end w:w="110" w:type="dxa"/>
            </w:tcMar>
            <w:shd w:fill="F8FAFC"/>
          </w:tcPr>
          <w:p>
            <w:pPr>
              <w:spacing w:after="0" w:before="0"/>
            </w:pPr>
            <w:r/>
            <w:r>
              <w:rPr>
                <w:rFonts w:ascii="Aptos" w:hAnsi="Aptos"/>
                <w:b/>
                <w:color w:val="111827"/>
                <w:sz w:val="17"/>
              </w:rPr>
              <w:t>C0 meaning</w:t>
            </w:r>
          </w:p>
        </w:tc>
        <w:tc>
          <w:tcPr>
            <w:tcW w:type="dxa" w:w="6408"/>
            <w:vAlign w:val="center"/>
            <w:tcMar>
              <w:top w:w="90" w:type="dxa"/>
              <w:start w:w="110" w:type="dxa"/>
              <w:bottom w:w="90" w:type="dxa"/>
              <w:end w:w="110" w:type="dxa"/>
            </w:tcMar>
            <w:shd w:fill="F8FAFC"/>
          </w:tcPr>
          <w:p>
            <w:pPr>
              <w:spacing w:after="0" w:before="0"/>
            </w:pPr>
            <w:r/>
            <w:r>
              <w:rPr>
                <w:rFonts w:ascii="Aptos" w:hAnsi="Aptos"/>
                <w:b w:val="0"/>
                <w:color w:val="111827"/>
                <w:sz w:val="17"/>
              </w:rPr>
              <w:t>RESOLVED: source-addressable observation boundary emitting entity, binding, and state claims.</w:t>
            </w:r>
          </w:p>
        </w:tc>
      </w:tr>
      <w:tr>
        <w:trPr>
          <w:cantSplit/>
        </w:trPr>
        <w:tc>
          <w:tcPr>
            <w:tcW w:type="dxa" w:w="3456"/>
            <w:vAlign w:val="center"/>
            <w:tcMar>
              <w:top w:w="90" w:type="dxa"/>
              <w:start w:w="110" w:type="dxa"/>
              <w:bottom w:w="90" w:type="dxa"/>
              <w:end w:w="110" w:type="dxa"/>
            </w:tcMar>
          </w:tcPr>
          <w:p>
            <w:pPr>
              <w:spacing w:after="0" w:before="0"/>
            </w:pPr>
            <w:r/>
            <w:r>
              <w:rPr>
                <w:rFonts w:ascii="Aptos" w:hAnsi="Aptos"/>
                <w:b/>
                <w:color w:val="111827"/>
                <w:sz w:val="17"/>
              </w:rPr>
              <w:t>System membership semantics</w:t>
            </w:r>
          </w:p>
        </w:tc>
        <w:tc>
          <w:tcPr>
            <w:tcW w:type="dxa" w:w="6408"/>
            <w:vAlign w:val="center"/>
            <w:tcMar>
              <w:top w:w="90" w:type="dxa"/>
              <w:start w:w="110" w:type="dxa"/>
              <w:bottom w:w="90" w:type="dxa"/>
              <w:end w:w="110" w:type="dxa"/>
            </w:tcMar>
          </w:tcPr>
          <w:p>
            <w:pPr>
              <w:spacing w:after="0" w:before="0"/>
            </w:pPr>
            <w:r/>
            <w:r>
              <w:rPr>
                <w:rFonts w:ascii="Aptos" w:hAnsi="Aptos"/>
                <w:b w:val="0"/>
                <w:color w:val="111827"/>
                <w:sz w:val="17"/>
              </w:rPr>
              <w:t>RESOLVED for persistence: cover-capable. Algorithmic exclusivity remains optional.</w:t>
            </w:r>
          </w:p>
        </w:tc>
      </w:tr>
      <w:tr>
        <w:trPr>
          <w:cantSplit/>
        </w:trPr>
        <w:tc>
          <w:tcPr>
            <w:tcW w:type="dxa" w:w="3456"/>
            <w:vAlign w:val="center"/>
            <w:tcMar>
              <w:top w:w="90" w:type="dxa"/>
              <w:start w:w="110" w:type="dxa"/>
              <w:bottom w:w="90" w:type="dxa"/>
              <w:end w:w="110" w:type="dxa"/>
            </w:tcMar>
            <w:shd w:fill="F8FAFC"/>
          </w:tcPr>
          <w:p>
            <w:pPr>
              <w:spacing w:after="0" w:before="0"/>
            </w:pPr>
            <w:r/>
            <w:r>
              <w:rPr>
                <w:rFonts w:ascii="Aptos" w:hAnsi="Aptos"/>
                <w:b/>
                <w:color w:val="111827"/>
                <w:sz w:val="17"/>
              </w:rPr>
              <w:t>Fused position as identity</w:t>
            </w:r>
          </w:p>
        </w:tc>
        <w:tc>
          <w:tcPr>
            <w:tcW w:type="dxa" w:w="6408"/>
            <w:vAlign w:val="center"/>
            <w:tcMar>
              <w:top w:w="90" w:type="dxa"/>
              <w:start w:w="110" w:type="dxa"/>
              <w:bottom w:w="90" w:type="dxa"/>
              <w:end w:w="110" w:type="dxa"/>
            </w:tcMar>
            <w:shd w:fill="F8FAFC"/>
          </w:tcPr>
          <w:p>
            <w:pPr>
              <w:spacing w:after="0" w:before="0"/>
            </w:pPr>
            <w:r/>
            <w:r>
              <w:rPr>
                <w:rFonts w:ascii="Aptos" w:hAnsi="Aptos"/>
                <w:b w:val="0"/>
                <w:color w:val="111827"/>
                <w:sz w:val="17"/>
              </w:rPr>
              <w:t>RESOLVED: no. It is recognition/continuity evidence.</w:t>
            </w:r>
          </w:p>
        </w:tc>
      </w:tr>
      <w:tr>
        <w:trPr>
          <w:cantSplit/>
        </w:trPr>
        <w:tc>
          <w:tcPr>
            <w:tcW w:type="dxa" w:w="3456"/>
            <w:vAlign w:val="center"/>
            <w:tcMar>
              <w:top w:w="90" w:type="dxa"/>
              <w:start w:w="110" w:type="dxa"/>
              <w:bottom w:w="90" w:type="dxa"/>
              <w:end w:w="110" w:type="dxa"/>
            </w:tcMar>
          </w:tcPr>
          <w:p>
            <w:pPr>
              <w:spacing w:after="0" w:before="0"/>
            </w:pPr>
            <w:r/>
            <w:r>
              <w:rPr>
                <w:rFonts w:ascii="Aptos" w:hAnsi="Aptos"/>
                <w:b/>
                <w:color w:val="111827"/>
                <w:sz w:val="17"/>
              </w:rPr>
              <w:t>Bridge basis taxonomy</w:t>
            </w:r>
          </w:p>
        </w:tc>
        <w:tc>
          <w:tcPr>
            <w:tcW w:type="dxa" w:w="6408"/>
            <w:vAlign w:val="center"/>
            <w:tcMar>
              <w:top w:w="90" w:type="dxa"/>
              <w:start w:w="110" w:type="dxa"/>
              <w:bottom w:w="90" w:type="dxa"/>
              <w:end w:w="110" w:type="dxa"/>
            </w:tcMar>
          </w:tcPr>
          <w:p>
            <w:pPr>
              <w:spacing w:after="0" w:before="0"/>
            </w:pPr>
            <w:r/>
            <w:r>
              <w:rPr>
                <w:rFonts w:ascii="Aptos" w:hAnsi="Aptos"/>
                <w:b w:val="0"/>
                <w:color w:val="111827"/>
                <w:sz w:val="17"/>
              </w:rPr>
              <w:t>RESOLVED directionally: split claim origin, verification state, and registry standing.</w:t>
            </w:r>
          </w:p>
        </w:tc>
      </w:tr>
      <w:tr>
        <w:trPr>
          <w:cantSplit/>
        </w:trPr>
        <w:tc>
          <w:tcPr>
            <w:tcW w:type="dxa" w:w="3456"/>
            <w:vAlign w:val="center"/>
            <w:tcMar>
              <w:top w:w="90" w:type="dxa"/>
              <w:start w:w="110" w:type="dxa"/>
              <w:bottom w:w="90" w:type="dxa"/>
              <w:end w:w="110" w:type="dxa"/>
            </w:tcMar>
            <w:shd w:fill="F8FAFC"/>
          </w:tcPr>
          <w:p>
            <w:pPr>
              <w:spacing w:after="0" w:before="0"/>
            </w:pPr>
            <w:r/>
            <w:r>
              <w:rPr>
                <w:rFonts w:ascii="Aptos" w:hAnsi="Aptos"/>
                <w:b/>
                <w:color w:val="111827"/>
                <w:sz w:val="17"/>
              </w:rPr>
              <w:t>PRD status</w:t>
            </w:r>
          </w:p>
        </w:tc>
        <w:tc>
          <w:tcPr>
            <w:tcW w:type="dxa" w:w="6408"/>
            <w:vAlign w:val="center"/>
            <w:tcMar>
              <w:top w:w="90" w:type="dxa"/>
              <w:start w:w="110" w:type="dxa"/>
              <w:bottom w:w="90" w:type="dxa"/>
              <w:end w:w="110" w:type="dxa"/>
            </w:tcMar>
            <w:shd w:fill="F8FAFC"/>
          </w:tcPr>
          <w:p>
            <w:pPr>
              <w:spacing w:after="0" w:before="0"/>
            </w:pPr>
            <w:r/>
            <w:r>
              <w:rPr>
                <w:rFonts w:ascii="Aptos" w:hAnsi="Aptos"/>
                <w:b w:val="0"/>
                <w:color w:val="111827"/>
                <w:sz w:val="17"/>
              </w:rPr>
              <w:t>OPEN: explicit ratification or amendment is still required.</w:t>
            </w:r>
          </w:p>
        </w:tc>
      </w:tr>
      <w:tr>
        <w:trPr>
          <w:cantSplit/>
        </w:trPr>
        <w:tc>
          <w:tcPr>
            <w:tcW w:type="dxa" w:w="3456"/>
            <w:vAlign w:val="center"/>
            <w:tcMar>
              <w:top w:w="90" w:type="dxa"/>
              <w:start w:w="110" w:type="dxa"/>
              <w:bottom w:w="90" w:type="dxa"/>
              <w:end w:w="110" w:type="dxa"/>
            </w:tcMar>
          </w:tcPr>
          <w:p>
            <w:pPr>
              <w:spacing w:after="0" w:before="0"/>
            </w:pPr>
            <w:r/>
            <w:r>
              <w:rPr>
                <w:rFonts w:ascii="Aptos" w:hAnsi="Aptos"/>
                <w:b/>
                <w:color w:val="111827"/>
                <w:sz w:val="17"/>
              </w:rPr>
              <w:t>Full bridge population</w:t>
            </w:r>
          </w:p>
        </w:tc>
        <w:tc>
          <w:tcPr>
            <w:tcW w:type="dxa" w:w="6408"/>
            <w:vAlign w:val="center"/>
            <w:tcMar>
              <w:top w:w="90" w:type="dxa"/>
              <w:start w:w="110" w:type="dxa"/>
              <w:bottom w:w="90" w:type="dxa"/>
              <w:end w:w="110" w:type="dxa"/>
            </w:tcMar>
          </w:tcPr>
          <w:p>
            <w:pPr>
              <w:spacing w:after="0" w:before="0"/>
            </w:pPr>
            <w:r/>
            <w:r>
              <w:rPr>
                <w:rFonts w:ascii="Aptos" w:hAnsi="Aptos"/>
                <w:b w:val="0"/>
                <w:color w:val="111827"/>
                <w:sz w:val="17"/>
              </w:rPr>
              <w:t>OPEN: populate after Issue 3A and producer-side evidence work.</w:t>
            </w:r>
          </w:p>
        </w:tc>
      </w:tr>
      <w:tr>
        <w:trPr>
          <w:cantSplit/>
        </w:trPr>
        <w:tc>
          <w:tcPr>
            <w:tcW w:type="dxa" w:w="3456"/>
            <w:vAlign w:val="center"/>
            <w:tcMar>
              <w:top w:w="90" w:type="dxa"/>
              <w:start w:w="110" w:type="dxa"/>
              <w:bottom w:w="90" w:type="dxa"/>
              <w:end w:w="110" w:type="dxa"/>
            </w:tcMar>
            <w:shd w:fill="F8FAFC"/>
          </w:tcPr>
          <w:p>
            <w:pPr>
              <w:spacing w:after="0" w:before="0"/>
            </w:pPr>
            <w:r/>
            <w:r>
              <w:rPr>
                <w:rFonts w:ascii="Aptos" w:hAnsi="Aptos"/>
                <w:b/>
                <w:color w:val="111827"/>
                <w:sz w:val="17"/>
              </w:rPr>
              <w:t>Fusion method</w:t>
            </w:r>
          </w:p>
        </w:tc>
        <w:tc>
          <w:tcPr>
            <w:tcW w:type="dxa" w:w="6408"/>
            <w:vAlign w:val="center"/>
            <w:tcMar>
              <w:top w:w="90" w:type="dxa"/>
              <w:start w:w="110" w:type="dxa"/>
              <w:bottom w:w="90" w:type="dxa"/>
              <w:end w:w="110" w:type="dxa"/>
            </w:tcMar>
            <w:shd w:fill="F8FAFC"/>
          </w:tcPr>
          <w:p>
            <w:pPr>
              <w:spacing w:after="0" w:before="0"/>
            </w:pPr>
            <w:r/>
            <w:r>
              <w:rPr>
                <w:rFonts w:ascii="Aptos" w:hAnsi="Aptos"/>
                <w:b w:val="0"/>
                <w:color w:val="111827"/>
                <w:sz w:val="17"/>
              </w:rPr>
              <w:t>OPEN: compare SNF with simpler baselines after first shared carrier population exists.</w:t>
            </w:r>
          </w:p>
        </w:tc>
      </w:tr>
      <w:tr>
        <w:trPr>
          <w:cantSplit/>
        </w:trPr>
        <w:tc>
          <w:tcPr>
            <w:tcW w:type="dxa" w:w="3456"/>
            <w:vAlign w:val="center"/>
            <w:tcMar>
              <w:top w:w="90" w:type="dxa"/>
              <w:start w:w="110" w:type="dxa"/>
              <w:bottom w:w="90" w:type="dxa"/>
              <w:end w:w="110" w:type="dxa"/>
            </w:tcMar>
          </w:tcPr>
          <w:p>
            <w:pPr>
              <w:spacing w:after="0" w:before="0"/>
            </w:pPr>
            <w:r/>
            <w:r>
              <w:rPr>
                <w:rFonts w:ascii="Aptos" w:hAnsi="Aptos"/>
                <w:b/>
                <w:color w:val="111827"/>
                <w:sz w:val="17"/>
              </w:rPr>
              <w:t>L4 match thresholds</w:t>
            </w:r>
          </w:p>
        </w:tc>
        <w:tc>
          <w:tcPr>
            <w:tcW w:type="dxa" w:w="6408"/>
            <w:vAlign w:val="center"/>
            <w:tcMar>
              <w:top w:w="90" w:type="dxa"/>
              <w:start w:w="110" w:type="dxa"/>
              <w:bottom w:w="90" w:type="dxa"/>
              <w:end w:w="110" w:type="dxa"/>
            </w:tcMar>
          </w:tcPr>
          <w:p>
            <w:pPr>
              <w:spacing w:after="0" w:before="0"/>
            </w:pPr>
            <w:r/>
            <w:r>
              <w:rPr>
                <w:rFonts w:ascii="Aptos" w:hAnsi="Aptos"/>
                <w:b w:val="0"/>
                <w:color w:val="111827"/>
                <w:sz w:val="17"/>
              </w:rPr>
              <w:t>OPEN: calibrate only after reproducible fused signatures exist.</w:t>
            </w:r>
          </w:p>
        </w:tc>
      </w:tr>
      <w:tr>
        <w:trPr>
          <w:cantSplit/>
        </w:trPr>
        <w:tc>
          <w:tcPr>
            <w:tcW w:type="dxa" w:w="3456"/>
            <w:vAlign w:val="center"/>
            <w:tcMar>
              <w:top w:w="90" w:type="dxa"/>
              <w:start w:w="110" w:type="dxa"/>
              <w:bottom w:w="90" w:type="dxa"/>
              <w:end w:w="110" w:type="dxa"/>
            </w:tcMar>
            <w:shd w:fill="F8FAFC"/>
          </w:tcPr>
          <w:p>
            <w:pPr>
              <w:spacing w:after="0" w:before="0"/>
            </w:pPr>
            <w:r/>
            <w:r>
              <w:rPr>
                <w:rFonts w:ascii="Aptos" w:hAnsi="Aptos"/>
                <w:b/>
                <w:color w:val="111827"/>
                <w:sz w:val="17"/>
              </w:rPr>
              <w:t>Cross-domain membership roles and weights</w:t>
            </w:r>
          </w:p>
        </w:tc>
        <w:tc>
          <w:tcPr>
            <w:tcW w:type="dxa" w:w="6408"/>
            <w:vAlign w:val="center"/>
            <w:tcMar>
              <w:top w:w="90" w:type="dxa"/>
              <w:start w:w="110" w:type="dxa"/>
              <w:bottom w:w="90" w:type="dxa"/>
              <w:end w:w="110" w:type="dxa"/>
            </w:tcMar>
            <w:shd w:fill="F8FAFC"/>
          </w:tcPr>
          <w:p>
            <w:pPr>
              <w:spacing w:after="0" w:before="0"/>
            </w:pPr>
            <w:r/>
            <w:r>
              <w:rPr>
                <w:rFonts w:ascii="Aptos" w:hAnsi="Aptos"/>
                <w:b w:val="0"/>
                <w:color w:val="111827"/>
                <w:sz w:val="17"/>
              </w:rPr>
              <w:t>OPEN: storage must support them; role taxonomy requires Rule 24 review.</w:t>
            </w:r>
          </w:p>
        </w:tc>
      </w:tr>
    </w:tbl>
    <w:p>
      <w:pPr>
        <w:spacing w:after="0"/>
      </w:pPr>
    </w:p>
    <w:p>
      <w:pPr>
        <w:pStyle w:val="Heading1"/>
        <w:keepNext/>
      </w:pPr>
      <w:r>
        <w:t>Appendix C. Source Basis and Attribution</w:t>
      </w:r>
    </w:p>
    <w:p>
      <w:pPr>
        <w:spacing w:after="40"/>
        <w:ind w:left="259" w:hanging="259"/>
      </w:pPr>
      <w:r>
        <w:rPr>
          <w:rFonts w:ascii="Aptos" w:hAnsi="Aptos"/>
          <w:color w:val="4B5563"/>
          <w:sz w:val="17"/>
        </w:rPr>
        <w:t>[S1] C3MATERIALIZE — The Layer Architecture (27 August 2026). Source for the L0→L4 model; the draft PRD status; the four-grain declaration; L3 bridge conditions; L4 two-clock doctrine; fusion thesis; acceptance tests; and the 540 cross-domain membership ruling.</w:t>
      </w:r>
    </w:p>
    <w:p>
      <w:pPr>
        <w:spacing w:after="40"/>
        <w:ind w:left="259" w:hanging="259"/>
      </w:pPr>
      <w:r>
        <w:rPr>
          <w:rFonts w:ascii="Aptos" w:hAnsi="Aptos"/>
          <w:color w:val="4B5563"/>
          <w:sz w:val="17"/>
        </w:rPr>
        <w:t>[S2] The Entity Spine — Foundation Brief (27 August 2026). Source for resolver behavior and substrate defects; the ordered pair (PLANE, ENTITY); roll-up measurements; non-enumerable runtime families; Nessie authority discovery; and Rule 26 locality implications.</w:t>
      </w:r>
    </w:p>
    <w:p>
      <w:pPr>
        <w:spacing w:after="40"/>
        <w:ind w:left="259" w:hanging="259"/>
      </w:pPr>
      <w:r>
        <w:rPr>
          <w:rFonts w:ascii="Aptos" w:hAnsi="Aptos"/>
          <w:color w:val="4B5563"/>
          <w:sz w:val="17"/>
        </w:rPr>
        <w:t>[S3] C3MATERIALIZE — Repo State, Gaps, and Challenges (27 August 2026). Source for tracked/untracked evidence standing; layer-by-layer repository inventory; materializer gaps; undefined C0; Rule 24 taxonomy risks; device-local evidence; and prioritized work sequencing.</w:t>
      </w:r>
    </w:p>
    <w:p>
      <w:pPr>
        <w:spacing w:after="40"/>
        <w:ind w:left="259" w:hanging="259"/>
      </w:pPr>
      <w:r>
        <w:rPr>
          <w:rFonts w:ascii="Aptos" w:hAnsi="Aptos"/>
          <w:color w:val="4B5563"/>
          <w:sz w:val="17"/>
        </w:rPr>
        <w:t>[S4] CTO-agent conversation supplied by Andrew Berman (27 August 2026). Source for the two-issue framing; Issue 3 proposal; the hash-as-identity versus hash-as-evidence fork; serial/binding/fingerprint formulation; Rule 26 resolver spaces; and the three state carriers.</w:t>
      </w:r>
    </w:p>
    <w:p>
      <w:pPr>
        <w:spacing w:after="40"/>
        <w:ind w:left="259" w:hanging="259"/>
      </w:pPr>
      <w:r>
        <w:rPr>
          <w:rFonts w:ascii="Aptos" w:hAnsi="Aptos"/>
          <w:color w:val="4B5563"/>
          <w:sz w:val="17"/>
        </w:rPr>
        <w:t>[S5] This report adds architectural synthesis and recommendations. Where it strengthens or amends the source framing—such as logical versus physical instance identity, source-frontier vectors, distributed serial reconciliation, target policies, cover-capable persistence, and succession graphs—those are explicitly presented as recommendations rather than source measurements.</w:t>
      </w:r>
    </w:p>
    <w:tbl>
      <w:tblPr>
        <w:tblW w:type="auto" w:w="0"/>
        <w:jc w:val="center"/>
        <w:tblLayout w:type="fixed"/>
        <w:tblLook w:firstColumn="1" w:firstRow="1" w:lastColumn="0" w:lastRow="0" w:noHBand="0" w:noVBand="1" w:val="04A0"/>
        <w:tblBorders>
          <w:top w:val="single" w:sz="8" w:space="0" w:color="2F5D8C"/>
          <w:left w:val="single" w:sz="8" w:space="0" w:color="2F5D8C"/>
          <w:bottom w:val="single" w:sz="8" w:space="0" w:color="2F5D8C"/>
          <w:right w:val="single" w:sz="8" w:space="0" w:color="2F5D8C"/>
          <w:insideH w:val="single" w:sz="8" w:space="0" w:color="2F5D8C"/>
          <w:insideV w:val="single" w:sz="8" w:space="0" w:color="2F5D8C"/>
        </w:tblBorders>
      </w:tblPr>
      <w:tblGrid>
        <w:gridCol w:w="9864"/>
      </w:tblGrid>
      <w:tr>
        <w:tc>
          <w:tcPr>
            <w:tcW w:type="dxa" w:w="9994"/>
            <w:shd w:fill="EAF1F7"/>
            <w:tcMar>
              <w:top w:w="150" w:type="dxa"/>
              <w:start w:w="180" w:type="dxa"/>
              <w:bottom w:w="150" w:type="dxa"/>
              <w:end w:w="180" w:type="dxa"/>
            </w:tcMar>
          </w:tcPr>
          <w:p>
            <w:pPr>
              <w:spacing w:after="80"/>
            </w:pPr>
            <w:r>
              <w:rPr>
                <w:rFonts w:ascii="Aptos Display" w:hAnsi="Aptos Display"/>
                <w:b/>
                <w:color w:val="17324D"/>
                <w:sz w:val="19"/>
              </w:rPr>
              <w:t>EPISTEMIC BOUNDARY</w:t>
            </w:r>
          </w:p>
          <w:p>
            <w:pPr>
              <w:spacing w:after="0" w:line="259" w:lineRule="auto"/>
            </w:pPr>
            <w:r>
              <w:rPr>
                <w:rFonts w:ascii="Aptos" w:hAnsi="Aptos"/>
                <w:color w:val="111827"/>
                <w:sz w:val="20"/>
              </w:rPr>
              <w:t>Measured findings remain bounded by the source documents’ own device, repository, and date limitations. This report does not convert an unmeasured bridge, unreproduced structural run, or untested fusion thesis into a proven result.</w:t>
            </w:r>
          </w:p>
        </w:tc>
      </w:tr>
    </w:tbl>
    <w:p>
      <w:pPr>
        <w:spacing w:after="0"/>
      </w:pPr>
    </w:p>
    <w:sectPr w:rsidR="00FC693F" w:rsidRPr="0006063C" w:rsidSect="00034616">
      <w:headerReference w:type="default" r:id="rId9"/>
      <w:footerReference w:type="default" r:id="rId10"/>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Aptos" w:hAnsi="Aptos"/>
        <w:color w:val="4B5563"/>
        <w:sz w:val="16"/>
      </w:rPr>
      <w:t xml:space="preserve">Working synthesis  |  27 August 2026    •    </w:t>
    </w:r>
    <w:r>
      <w:rPr>
        <w:rFonts w:ascii="Aptos" w:hAnsi="Aptos"/>
        <w:color w:val="4B556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5" w:space="4" w:color="D7DEE5"/>
      </w:pBdr>
    </w:pPr>
    <w:r>
      <w:rPr>
        <w:rFonts w:ascii="Aptos Display" w:hAnsi="Aptos Display"/>
        <w:b/>
        <w:color w:val="17324D"/>
        <w:sz w:val="17"/>
      </w:rPr>
      <w:t>D11 / C3MATERIALIZE</w:t>
    </w:r>
    <w:r>
      <w:rPr>
        <w:rFonts w:ascii="Aptos" w:hAnsi="Aptos"/>
        <w:color w:val="4B5563"/>
        <w:sz w:val="17"/>
      </w:rPr>
      <w:t xml:space="preserve">    |    Identity-State Coherence Kernel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24D"/>
      <w:sz w:val="3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C6E72"/>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F5D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280"/>
    </w:pPr>
    <w:rPr>
      <w:rFonts w:ascii="Aptos Display" w:hAnsi="Aptos Display"/>
      <w:color w:val="2C6E72"/>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D11 Identity-State Coherence Kernel — Synthesis and Recommended Path Forward</dc:title>
  <dc:subject>C3MATERIALIZE entity spine, materializer topology, Rule 26 coherence, L3 bridging, and L4 succession</dc:subject>
  <dc:creator>OpenAI</dc:creator>
  <cp:keywords>D11, C3MATERIALIZE, identity spine, materializers, Rule 26, Iceberg, Nessie, Kuzu, bridge registry, succession</cp:keywords>
  <dc:description>Prepared from source documents supplied by Andrew Berman on 27 August 2026.</dc:description>
  <cp:lastModifiedBy/>
  <cp:revision>1</cp:revision>
  <dcterms:created xsi:type="dcterms:W3CDTF">2013-12-23T23:15:00Z</dcterms:created>
  <dcterms:modified xsi:type="dcterms:W3CDTF">2013-12-23T23:15:00Z</dcterms:modified>
  <cp:category/>
</cp:coreProperties>
</file>