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B123B" w14:textId="27DAF0DB" w:rsidR="00763DF9" w:rsidRDefault="00763DF9" w:rsidP="00810779">
      <w:pPr>
        <w:pStyle w:val="Heading1"/>
        <w:numPr>
          <w:ilvl w:val="0"/>
          <w:numId w:val="0"/>
        </w:numPr>
      </w:pPr>
      <w:bookmarkStart w:id="0" w:name="X0c3c2e8320878b6bef0af057e19402227e3863b"/>
      <w:bookmarkStart w:id="1" w:name="X04cee9dc487f3600a5728aaaa473c99d3fc179a"/>
      <w:r>
        <w:t>Case Study: From Red, Amber, Green to Real Numbers</w:t>
      </w:r>
    </w:p>
    <w:p w14:paraId="3B07563F" w14:textId="77777777" w:rsidR="00763DF9" w:rsidRDefault="00763DF9" w:rsidP="00763DF9">
      <w:pPr>
        <w:pStyle w:val="Heading2"/>
      </w:pPr>
      <w:bookmarkStart w:id="2" w:name="X9508d92cd4661e4e098ba809f6dc6542fb85118"/>
      <w:r>
        <w:t>How a Leading Financial Services Firm Transformed Risk Assessment in 90 Days</w:t>
      </w:r>
    </w:p>
    <w:p w14:paraId="23848F8C" w14:textId="77777777" w:rsidR="00763DF9" w:rsidRDefault="00000000" w:rsidP="00763DF9">
      <w:r>
        <w:pict w14:anchorId="2C6D5761">
          <v:rect id="_x0000_i1025" style="width:0;height:1.5pt" o:hralign="center" o:hrstd="t" o:hr="t"/>
        </w:pict>
      </w:r>
    </w:p>
    <w:p w14:paraId="2F83AD7A" w14:textId="77777777" w:rsidR="00763DF9" w:rsidRDefault="00763DF9" w:rsidP="00763DF9">
      <w:pPr>
        <w:pStyle w:val="Heading3"/>
      </w:pPr>
      <w:bookmarkStart w:id="3" w:name="executive-summary"/>
      <w:r>
        <w:t>Executive Summary</w:t>
      </w:r>
    </w:p>
    <w:p w14:paraId="69A2DCF6" w14:textId="77777777" w:rsidR="00763DF9" w:rsidRDefault="00763DF9" w:rsidP="00763DF9">
      <w:pPr>
        <w:pStyle w:val="FirstParagraph"/>
      </w:pPr>
      <w:r>
        <w:t>When a mid-sized financial services firm (Client X) found their risk committee asking questions their qualitative risk framework couldn't answer, they partnered with DecideWright to implement our QRA Playbook. In just 90 days, we transformed their traditional "red, amber, green" risk assessments into quantitative decision intelligence, enabling data-driven risk decisions and elevating their CRO's strategic influence.</w:t>
      </w:r>
    </w:p>
    <w:p w14:paraId="2803B9B0" w14:textId="77777777" w:rsidR="00763DF9" w:rsidRDefault="00763DF9" w:rsidP="00763DF9">
      <w:pPr>
        <w:pStyle w:val="BodyText"/>
      </w:pPr>
      <w:r>
        <w:rPr>
          <w:b/>
          <w:bCs/>
        </w:rPr>
        <w:t>Key Results:</w:t>
      </w:r>
    </w:p>
    <w:p w14:paraId="31F75321" w14:textId="77777777" w:rsidR="00763DF9" w:rsidRDefault="00763DF9" w:rsidP="00763DF9">
      <w:pPr>
        <w:numPr>
          <w:ilvl w:val="0"/>
          <w:numId w:val="19"/>
        </w:numPr>
        <w:spacing w:after="200" w:line="240" w:lineRule="auto"/>
      </w:pPr>
      <w:r>
        <w:rPr>
          <w:b/>
          <w:bCs/>
        </w:rPr>
        <w:t>24-hour proof of concept</w:t>
      </w:r>
      <w:r>
        <w:t xml:space="preserve"> demonstrated immediate transformation potential</w:t>
      </w:r>
    </w:p>
    <w:p w14:paraId="783CE9AF" w14:textId="77777777" w:rsidR="00763DF9" w:rsidRDefault="00763DF9" w:rsidP="00763DF9">
      <w:pPr>
        <w:numPr>
          <w:ilvl w:val="0"/>
          <w:numId w:val="19"/>
        </w:numPr>
        <w:spacing w:after="200" w:line="240" w:lineRule="auto"/>
      </w:pPr>
      <w:r>
        <w:rPr>
          <w:b/>
          <w:bCs/>
        </w:rPr>
        <w:t>90-day implementation</w:t>
      </w:r>
      <w:r>
        <w:t xml:space="preserve"> delivered full quantitative risk capability</w:t>
      </w:r>
    </w:p>
    <w:p w14:paraId="53DDD077" w14:textId="77777777" w:rsidR="00763DF9" w:rsidRDefault="00763DF9" w:rsidP="00763DF9">
      <w:pPr>
        <w:numPr>
          <w:ilvl w:val="0"/>
          <w:numId w:val="19"/>
        </w:numPr>
        <w:spacing w:after="200" w:line="240" w:lineRule="auto"/>
      </w:pPr>
      <w:r>
        <w:rPr>
          <w:b/>
          <w:bCs/>
        </w:rPr>
        <w:t>£2.3M hidden exposure</w:t>
      </w:r>
      <w:r>
        <w:t xml:space="preserve"> identified in previously "medium" rated risk</w:t>
      </w:r>
    </w:p>
    <w:p w14:paraId="7F9342AA" w14:textId="77777777" w:rsidR="00763DF9" w:rsidRDefault="00763DF9" w:rsidP="00763DF9">
      <w:pPr>
        <w:numPr>
          <w:ilvl w:val="0"/>
          <w:numId w:val="19"/>
        </w:numPr>
        <w:spacing w:after="200" w:line="240" w:lineRule="auto"/>
      </w:pPr>
      <w:r>
        <w:rPr>
          <w:b/>
          <w:bCs/>
        </w:rPr>
        <w:t>35% improvement</w:t>
      </w:r>
      <w:r>
        <w:t xml:space="preserve"> in risk committee decision-making speed</w:t>
      </w:r>
    </w:p>
    <w:p w14:paraId="4F716101" w14:textId="77777777" w:rsidR="00763DF9" w:rsidRDefault="00763DF9" w:rsidP="00763DF9">
      <w:pPr>
        <w:numPr>
          <w:ilvl w:val="0"/>
          <w:numId w:val="19"/>
        </w:numPr>
        <w:spacing w:after="200" w:line="240" w:lineRule="auto"/>
      </w:pPr>
      <w:r>
        <w:rPr>
          <w:b/>
          <w:bCs/>
        </w:rPr>
        <w:t>CRO strategic influence</w:t>
      </w:r>
      <w:r>
        <w:t xml:space="preserve"> elevated to peer level with CFO/COO</w:t>
      </w:r>
    </w:p>
    <w:p w14:paraId="4BA336E8" w14:textId="77777777" w:rsidR="00763DF9" w:rsidRDefault="00000000" w:rsidP="00763DF9">
      <w:r>
        <w:pict w14:anchorId="79BDEAAB">
          <v:rect id="_x0000_i1026" style="width:0;height:1.5pt" o:hralign="center" o:hrstd="t" o:hr="t"/>
        </w:pict>
      </w:r>
    </w:p>
    <w:p w14:paraId="4F7E506D" w14:textId="77777777" w:rsidR="00763DF9" w:rsidRDefault="00763DF9" w:rsidP="00763DF9">
      <w:pPr>
        <w:pStyle w:val="Heading3"/>
      </w:pPr>
      <w:bookmarkStart w:id="4" w:name="X8391f6e1988333bfa4a620b0f079e4419c862cd"/>
      <w:bookmarkEnd w:id="3"/>
      <w:r>
        <w:t>The Challenge: Hitting the Qualitative Ceiling</w:t>
      </w:r>
    </w:p>
    <w:p w14:paraId="3BE03FE3" w14:textId="77777777" w:rsidR="00763DF9" w:rsidRDefault="00763DF9" w:rsidP="00763DF9">
      <w:pPr>
        <w:pStyle w:val="FirstParagraph"/>
      </w:pPr>
      <w:r>
        <w:t>Client X had spent 18 months building what they considered a sophisticated qualitative risk framework. Using an enhanced Impact × Likelihood matrix with five impact factors and defined probability ranges, they had moved beyond basic "high, medium, low" ratings to create more structured assessments.</w:t>
      </w:r>
    </w:p>
    <w:p w14:paraId="24FFBC96" w14:textId="77777777" w:rsidR="00763DF9" w:rsidRDefault="00763DF9" w:rsidP="00763DF9">
      <w:pPr>
        <w:pStyle w:val="BodyText"/>
      </w:pPr>
      <w:r>
        <w:t>However, as their risk management maturity grew, so did their leadership's expectations. The risk committee and executive team began asking increasingly sophisticated questions:</w:t>
      </w:r>
    </w:p>
    <w:p w14:paraId="01F28729" w14:textId="77777777" w:rsidR="00763DF9" w:rsidRDefault="00763DF9" w:rsidP="00763DF9">
      <w:pPr>
        <w:numPr>
          <w:ilvl w:val="0"/>
          <w:numId w:val="19"/>
        </w:numPr>
        <w:spacing w:after="200" w:line="240" w:lineRule="auto"/>
      </w:pPr>
      <w:r>
        <w:rPr>
          <w:i/>
          <w:iCs/>
        </w:rPr>
        <w:t>"What is our aggregate risk exposure across the organization?"</w:t>
      </w:r>
    </w:p>
    <w:p w14:paraId="5037DA01" w14:textId="77777777" w:rsidR="00763DF9" w:rsidRDefault="00763DF9" w:rsidP="00763DF9">
      <w:pPr>
        <w:numPr>
          <w:ilvl w:val="0"/>
          <w:numId w:val="19"/>
        </w:numPr>
        <w:spacing w:after="200" w:line="240" w:lineRule="auto"/>
      </w:pPr>
      <w:r>
        <w:rPr>
          <w:i/>
          <w:iCs/>
        </w:rPr>
        <w:t>"How should we prioritize our limited risk mitigation budget?"</w:t>
      </w:r>
    </w:p>
    <w:p w14:paraId="09B3355B" w14:textId="77777777" w:rsidR="00763DF9" w:rsidRDefault="00763DF9" w:rsidP="00763DF9">
      <w:pPr>
        <w:numPr>
          <w:ilvl w:val="0"/>
          <w:numId w:val="19"/>
        </w:numPr>
        <w:spacing w:after="200" w:line="240" w:lineRule="auto"/>
      </w:pPr>
      <w:r>
        <w:rPr>
          <w:i/>
          <w:iCs/>
        </w:rPr>
        <w:t>"What is the expected financial impact of this risk over the next year?"</w:t>
      </w:r>
    </w:p>
    <w:p w14:paraId="3B129822" w14:textId="77777777" w:rsidR="00763DF9" w:rsidRDefault="00763DF9" w:rsidP="00763DF9">
      <w:pPr>
        <w:numPr>
          <w:ilvl w:val="0"/>
          <w:numId w:val="19"/>
        </w:numPr>
        <w:spacing w:after="200" w:line="240" w:lineRule="auto"/>
      </w:pPr>
      <w:r>
        <w:rPr>
          <w:i/>
          <w:iCs/>
        </w:rPr>
        <w:lastRenderedPageBreak/>
        <w:t>"How much has our risk position improved after implementing these controls?"</w:t>
      </w:r>
    </w:p>
    <w:p w14:paraId="53633368" w14:textId="77777777" w:rsidR="00763DF9" w:rsidRDefault="00763DF9" w:rsidP="00763DF9">
      <w:pPr>
        <w:pStyle w:val="FirstParagraph"/>
      </w:pPr>
      <w:r>
        <w:t xml:space="preserve">As their Chief Risk Officer explained: </w:t>
      </w:r>
      <w:r>
        <w:rPr>
          <w:b/>
          <w:bCs/>
        </w:rPr>
        <w:t>"We've reached the ceiling of what we can do with colored boxes on a heat map. When I walk into the boardroom with red, amber, and green ratings while the CFO presents precise financial projections, I lose credibility and influence."</w:t>
      </w:r>
    </w:p>
    <w:p w14:paraId="1FB7FB91" w14:textId="77777777" w:rsidR="00763DF9" w:rsidRDefault="00763DF9" w:rsidP="00763DF9">
      <w:pPr>
        <w:pStyle w:val="BodyText"/>
      </w:pPr>
      <w:r>
        <w:t>The qualitative approach that had served them well initially was now limiting their ability to make sophisticated risk-based decisions involving significant resources.</w:t>
      </w:r>
    </w:p>
    <w:p w14:paraId="703ABAE5" w14:textId="77777777" w:rsidR="00763DF9" w:rsidRDefault="00000000" w:rsidP="00763DF9">
      <w:r>
        <w:pict w14:anchorId="05E09870">
          <v:rect id="_x0000_i1027" style="width:0;height:1.5pt" o:hralign="center" o:hrstd="t" o:hr="t"/>
        </w:pict>
      </w:r>
    </w:p>
    <w:p w14:paraId="1820DF80" w14:textId="77777777" w:rsidR="00763DF9" w:rsidRDefault="00763DF9" w:rsidP="00763DF9">
      <w:pPr>
        <w:pStyle w:val="Heading3"/>
      </w:pPr>
      <w:bookmarkStart w:id="5" w:name="the-solution-qra-playbook-implementation"/>
      <w:bookmarkEnd w:id="4"/>
      <w:r>
        <w:t>The Solution: QRA Playbook Implementation</w:t>
      </w:r>
    </w:p>
    <w:p w14:paraId="402AF22A" w14:textId="77777777" w:rsidR="00763DF9" w:rsidRDefault="00763DF9" w:rsidP="00763DF9">
      <w:pPr>
        <w:pStyle w:val="FirstParagraph"/>
      </w:pPr>
      <w:r>
        <w:t>DecideWright proposed our three-stage QRA Playbook approach, starting with a 24-hour proof of concept using Client X's existing qualitative data.</w:t>
      </w:r>
    </w:p>
    <w:p w14:paraId="4A9905BB" w14:textId="77777777" w:rsidR="00763DF9" w:rsidRDefault="00763DF9" w:rsidP="00763DF9">
      <w:pPr>
        <w:pStyle w:val="Heading4"/>
      </w:pPr>
      <w:bookmarkStart w:id="6" w:name="stage-1-proof-of-concept-24-hours"/>
      <w:r>
        <w:t>Stage 1: Proof of Concept (24 Hours)</w:t>
      </w:r>
    </w:p>
    <w:p w14:paraId="6B7DB3EB" w14:textId="77777777" w:rsidR="00763DF9" w:rsidRDefault="00763DF9" w:rsidP="00763DF9">
      <w:pPr>
        <w:pStyle w:val="FirstParagraph"/>
      </w:pPr>
      <w:r>
        <w:t>We extracted Client X's current risk register containing 47 identified risks with traditional qualitative ratings. Using our proprietary methodology, we transformed these into quantitative assessments:</w:t>
      </w:r>
    </w:p>
    <w:p w14:paraId="506C282B" w14:textId="77777777" w:rsidR="00763DF9" w:rsidRDefault="00763DF9" w:rsidP="00763DF9">
      <w:pPr>
        <w:pStyle w:val="BodyText"/>
      </w:pPr>
      <w:r>
        <w:rPr>
          <w:b/>
          <w:bCs/>
        </w:rPr>
        <w:t>Before (Qualitative):</w:t>
      </w:r>
    </w:p>
    <w:p w14:paraId="604DE5BE" w14:textId="77777777" w:rsidR="00763DF9" w:rsidRDefault="00763DF9" w:rsidP="00763DF9">
      <w:pPr>
        <w:numPr>
          <w:ilvl w:val="0"/>
          <w:numId w:val="19"/>
        </w:numPr>
        <w:spacing w:after="200" w:line="240" w:lineRule="auto"/>
      </w:pPr>
      <w:r>
        <w:t>Risk: "Cyber security incident"</w:t>
      </w:r>
    </w:p>
    <w:p w14:paraId="277387FC" w14:textId="77777777" w:rsidR="00763DF9" w:rsidRDefault="00763DF9" w:rsidP="00763DF9">
      <w:pPr>
        <w:numPr>
          <w:ilvl w:val="0"/>
          <w:numId w:val="19"/>
        </w:numPr>
        <w:spacing w:after="200" w:line="240" w:lineRule="auto"/>
      </w:pPr>
      <w:r>
        <w:t>Rating: "High Impact, Medium Likelihood"</w:t>
      </w:r>
    </w:p>
    <w:p w14:paraId="16349FD9" w14:textId="77777777" w:rsidR="00763DF9" w:rsidRDefault="00763DF9" w:rsidP="00763DF9">
      <w:pPr>
        <w:numPr>
          <w:ilvl w:val="0"/>
          <w:numId w:val="19"/>
        </w:numPr>
        <w:spacing w:after="200" w:line="240" w:lineRule="auto"/>
      </w:pPr>
      <w:r>
        <w:t>Priority: "Red - Immediate attention required"</w:t>
      </w:r>
    </w:p>
    <w:p w14:paraId="7BE4FE60" w14:textId="77777777" w:rsidR="00763DF9" w:rsidRDefault="00763DF9" w:rsidP="00763DF9">
      <w:pPr>
        <w:pStyle w:val="FirstParagraph"/>
      </w:pPr>
      <w:r>
        <w:rPr>
          <w:b/>
          <w:bCs/>
        </w:rPr>
        <w:t>After (Quantitative):</w:t>
      </w:r>
    </w:p>
    <w:p w14:paraId="1AFFB212" w14:textId="77777777" w:rsidR="00763DF9" w:rsidRDefault="00763DF9" w:rsidP="00763DF9">
      <w:pPr>
        <w:numPr>
          <w:ilvl w:val="0"/>
          <w:numId w:val="19"/>
        </w:numPr>
        <w:spacing w:after="200" w:line="240" w:lineRule="auto"/>
      </w:pPr>
      <w:r>
        <w:t>Risk: "Cyber security incident"</w:t>
      </w:r>
    </w:p>
    <w:p w14:paraId="5E5F267E" w14:textId="77777777" w:rsidR="00763DF9" w:rsidRDefault="00763DF9" w:rsidP="00763DF9">
      <w:pPr>
        <w:numPr>
          <w:ilvl w:val="0"/>
          <w:numId w:val="19"/>
        </w:numPr>
        <w:spacing w:after="200" w:line="240" w:lineRule="auto"/>
      </w:pPr>
      <w:r>
        <w:t>Probability: 18% annually</w:t>
      </w:r>
    </w:p>
    <w:p w14:paraId="03549455" w14:textId="77777777" w:rsidR="00763DF9" w:rsidRDefault="00763DF9" w:rsidP="00763DF9">
      <w:pPr>
        <w:numPr>
          <w:ilvl w:val="0"/>
          <w:numId w:val="19"/>
        </w:numPr>
        <w:spacing w:after="200" w:line="240" w:lineRule="auto"/>
      </w:pPr>
      <w:r>
        <w:t>Impact Range: £1.2M - £4.8M</w:t>
      </w:r>
    </w:p>
    <w:p w14:paraId="5ECB2B36" w14:textId="77777777" w:rsidR="00763DF9" w:rsidRDefault="00763DF9" w:rsidP="00763DF9">
      <w:pPr>
        <w:numPr>
          <w:ilvl w:val="0"/>
          <w:numId w:val="19"/>
        </w:numPr>
        <w:spacing w:after="200" w:line="240" w:lineRule="auto"/>
      </w:pPr>
      <w:r>
        <w:t>Expected Annual Loss: £756,000</w:t>
      </w:r>
    </w:p>
    <w:p w14:paraId="3345A883" w14:textId="77777777" w:rsidR="00763DF9" w:rsidRDefault="00763DF9" w:rsidP="00763DF9">
      <w:pPr>
        <w:numPr>
          <w:ilvl w:val="0"/>
          <w:numId w:val="19"/>
        </w:numPr>
        <w:spacing w:after="200" w:line="240" w:lineRule="auto"/>
      </w:pPr>
      <w:r>
        <w:t>95th Percentile Loss: £3.2M</w:t>
      </w:r>
    </w:p>
    <w:p w14:paraId="125E77AB" w14:textId="77777777" w:rsidR="00763DF9" w:rsidRDefault="00763DF9" w:rsidP="00763DF9">
      <w:pPr>
        <w:pStyle w:val="FirstParagraph"/>
      </w:pPr>
      <w:r>
        <w:t>The transformation revealed critical insights hidden in the qualitative data:</w:t>
      </w:r>
    </w:p>
    <w:p w14:paraId="4D2198F0" w14:textId="77777777" w:rsidR="00763DF9" w:rsidRDefault="00763DF9" w:rsidP="00763DF9">
      <w:pPr>
        <w:numPr>
          <w:ilvl w:val="0"/>
          <w:numId w:val="20"/>
        </w:numPr>
        <w:spacing w:after="200" w:line="240" w:lineRule="auto"/>
      </w:pPr>
      <w:r>
        <w:rPr>
          <w:b/>
          <w:bCs/>
        </w:rPr>
        <w:t>A "medium" rated operational risk</w:t>
      </w:r>
      <w:r>
        <w:t xml:space="preserve"> actually had a 5% probability of exceeding £2.3M in losses</w:t>
      </w:r>
    </w:p>
    <w:p w14:paraId="1CF50369" w14:textId="77777777" w:rsidR="00763DF9" w:rsidRDefault="00763DF9" w:rsidP="00763DF9">
      <w:pPr>
        <w:numPr>
          <w:ilvl w:val="0"/>
          <w:numId w:val="20"/>
        </w:numPr>
        <w:spacing w:after="200" w:line="240" w:lineRule="auto"/>
      </w:pPr>
      <w:r>
        <w:rPr>
          <w:b/>
          <w:bCs/>
        </w:rPr>
        <w:t>Three "high" rated risks</w:t>
      </w:r>
      <w:r>
        <w:t xml:space="preserve"> had more manageable financial implications than assumed</w:t>
      </w:r>
    </w:p>
    <w:p w14:paraId="7E908CE9" w14:textId="77777777" w:rsidR="00763DF9" w:rsidRDefault="00763DF9" w:rsidP="00763DF9">
      <w:pPr>
        <w:numPr>
          <w:ilvl w:val="0"/>
          <w:numId w:val="20"/>
        </w:numPr>
        <w:spacing w:after="200" w:line="240" w:lineRule="auto"/>
      </w:pPr>
      <w:r>
        <w:rPr>
          <w:b/>
          <w:bCs/>
        </w:rPr>
        <w:lastRenderedPageBreak/>
        <w:t>Aggregate exposure across all risks</w:t>
      </w:r>
      <w:r>
        <w:t xml:space="preserve"> totaled £4.7M expected annual loss</w:t>
      </w:r>
    </w:p>
    <w:p w14:paraId="0A7AC893" w14:textId="77777777" w:rsidR="00763DF9" w:rsidRDefault="00763DF9" w:rsidP="00763DF9">
      <w:pPr>
        <w:numPr>
          <w:ilvl w:val="0"/>
          <w:numId w:val="20"/>
        </w:numPr>
        <w:spacing w:after="200" w:line="240" w:lineRule="auto"/>
      </w:pPr>
      <w:r>
        <w:rPr>
          <w:b/>
          <w:bCs/>
        </w:rPr>
        <w:t>Risk concentration</w:t>
      </w:r>
      <w:r>
        <w:t xml:space="preserve"> in specific business areas became clearly visible</w:t>
      </w:r>
    </w:p>
    <w:p w14:paraId="236D61AE" w14:textId="77777777" w:rsidR="00763DF9" w:rsidRDefault="00763DF9" w:rsidP="00763DF9">
      <w:pPr>
        <w:pStyle w:val="Heading4"/>
      </w:pPr>
      <w:bookmarkStart w:id="7" w:name="stage-2-proof-of-value-90-days"/>
      <w:bookmarkEnd w:id="6"/>
      <w:r>
        <w:t>Stage 2: Proof of Value (90 Days)</w:t>
      </w:r>
    </w:p>
    <w:p w14:paraId="3649257B" w14:textId="77777777" w:rsidR="00763DF9" w:rsidRDefault="00763DF9" w:rsidP="00763DF9">
      <w:pPr>
        <w:pStyle w:val="FirstParagraph"/>
      </w:pPr>
      <w:r>
        <w:t>Following the successful proof of concept, Client X authorized full implementation within their trading operations department. Over 90 days, we:</w:t>
      </w:r>
    </w:p>
    <w:p w14:paraId="2F2FAE49" w14:textId="77777777" w:rsidR="00763DF9" w:rsidRDefault="00763DF9" w:rsidP="00763DF9">
      <w:pPr>
        <w:pStyle w:val="BodyText"/>
      </w:pPr>
      <w:r>
        <w:rPr>
          <w:b/>
          <w:bCs/>
        </w:rPr>
        <w:t>Methodology Implementation:</w:t>
      </w:r>
    </w:p>
    <w:p w14:paraId="533DEEC0" w14:textId="77777777" w:rsidR="00763DF9" w:rsidRDefault="00763DF9" w:rsidP="00763DF9">
      <w:pPr>
        <w:numPr>
          <w:ilvl w:val="0"/>
          <w:numId w:val="19"/>
        </w:numPr>
        <w:spacing w:after="200" w:line="240" w:lineRule="auto"/>
      </w:pPr>
      <w:r>
        <w:t>Trained 12 risk professionals in quantitative assessment techniques</w:t>
      </w:r>
    </w:p>
    <w:p w14:paraId="09FD197D" w14:textId="77777777" w:rsidR="00763DF9" w:rsidRDefault="00763DF9" w:rsidP="00763DF9">
      <w:pPr>
        <w:numPr>
          <w:ilvl w:val="0"/>
          <w:numId w:val="19"/>
        </w:numPr>
        <w:spacing w:after="200" w:line="240" w:lineRule="auto"/>
      </w:pPr>
      <w:r>
        <w:t>Established probability distribution modeling for all major risk categories</w:t>
      </w:r>
    </w:p>
    <w:p w14:paraId="4DC78CCD" w14:textId="77777777" w:rsidR="00763DF9" w:rsidRDefault="00763DF9" w:rsidP="00763DF9">
      <w:pPr>
        <w:numPr>
          <w:ilvl w:val="0"/>
          <w:numId w:val="19"/>
        </w:numPr>
        <w:spacing w:after="200" w:line="240" w:lineRule="auto"/>
      </w:pPr>
      <w:r>
        <w:t>Created Monte Carlo simulation capabilities for scenario analysis</w:t>
      </w:r>
    </w:p>
    <w:p w14:paraId="7B717DBE" w14:textId="77777777" w:rsidR="00763DF9" w:rsidRDefault="00763DF9" w:rsidP="00763DF9">
      <w:pPr>
        <w:numPr>
          <w:ilvl w:val="0"/>
          <w:numId w:val="19"/>
        </w:numPr>
        <w:spacing w:after="200" w:line="240" w:lineRule="auto"/>
      </w:pPr>
      <w:r>
        <w:t>Developed automated risk aggregation processes</w:t>
      </w:r>
    </w:p>
    <w:p w14:paraId="4BF1EA18" w14:textId="77777777" w:rsidR="00763DF9" w:rsidRDefault="00763DF9" w:rsidP="00763DF9">
      <w:pPr>
        <w:pStyle w:val="FirstParagraph"/>
      </w:pPr>
      <w:r>
        <w:rPr>
          <w:b/>
          <w:bCs/>
        </w:rPr>
        <w:t>Technology Deployment:</w:t>
      </w:r>
    </w:p>
    <w:p w14:paraId="1AAE6F2A" w14:textId="77777777" w:rsidR="00763DF9" w:rsidRDefault="00763DF9" w:rsidP="00763DF9">
      <w:pPr>
        <w:numPr>
          <w:ilvl w:val="0"/>
          <w:numId w:val="19"/>
        </w:numPr>
        <w:spacing w:after="200" w:line="240" w:lineRule="auto"/>
      </w:pPr>
      <w:r>
        <w:t>Implemented Predixtive platform integration with existing systems</w:t>
      </w:r>
    </w:p>
    <w:p w14:paraId="30EB6CEF" w14:textId="77777777" w:rsidR="00763DF9" w:rsidRDefault="00763DF9" w:rsidP="00763DF9">
      <w:pPr>
        <w:numPr>
          <w:ilvl w:val="0"/>
          <w:numId w:val="19"/>
        </w:numPr>
        <w:spacing w:after="200" w:line="240" w:lineRule="auto"/>
      </w:pPr>
      <w:r>
        <w:t>Built real-time quantitative risk dashboards</w:t>
      </w:r>
    </w:p>
    <w:p w14:paraId="52BEDC06" w14:textId="77777777" w:rsidR="00763DF9" w:rsidRDefault="00763DF9" w:rsidP="00763DF9">
      <w:pPr>
        <w:numPr>
          <w:ilvl w:val="0"/>
          <w:numId w:val="19"/>
        </w:numPr>
        <w:spacing w:after="200" w:line="240" w:lineRule="auto"/>
      </w:pPr>
      <w:r>
        <w:t>Established automated reporting replacing manual spreadsheet processes</w:t>
      </w:r>
    </w:p>
    <w:p w14:paraId="7F0BABCA" w14:textId="77777777" w:rsidR="00763DF9" w:rsidRDefault="00763DF9" w:rsidP="00763DF9">
      <w:pPr>
        <w:numPr>
          <w:ilvl w:val="0"/>
          <w:numId w:val="19"/>
        </w:numPr>
        <w:spacing w:after="200" w:line="240" w:lineRule="auto"/>
      </w:pPr>
      <w:r>
        <w:t>Created executive summary views with key quantitative metrics</w:t>
      </w:r>
    </w:p>
    <w:p w14:paraId="7DCA6DDF" w14:textId="77777777" w:rsidR="00763DF9" w:rsidRDefault="00763DF9" w:rsidP="00763DF9">
      <w:pPr>
        <w:pStyle w:val="FirstParagraph"/>
      </w:pPr>
      <w:r>
        <w:rPr>
          <w:b/>
          <w:bCs/>
        </w:rPr>
        <w:t>Process Transformation:</w:t>
      </w:r>
    </w:p>
    <w:p w14:paraId="59E61034" w14:textId="77777777" w:rsidR="00763DF9" w:rsidRDefault="00763DF9" w:rsidP="00763DF9">
      <w:pPr>
        <w:numPr>
          <w:ilvl w:val="0"/>
          <w:numId w:val="19"/>
        </w:numPr>
        <w:spacing w:after="200" w:line="240" w:lineRule="auto"/>
      </w:pPr>
      <w:r>
        <w:t>Replaced monthly qualitative risk reviews with weekly quantitative updates</w:t>
      </w:r>
    </w:p>
    <w:p w14:paraId="6A086F08" w14:textId="77777777" w:rsidR="00763DF9" w:rsidRDefault="00763DF9" w:rsidP="00763DF9">
      <w:pPr>
        <w:numPr>
          <w:ilvl w:val="0"/>
          <w:numId w:val="19"/>
        </w:numPr>
        <w:spacing w:after="200" w:line="240" w:lineRule="auto"/>
      </w:pPr>
      <w:r>
        <w:t>Integrated risk metrics into business planning and capital allocation</w:t>
      </w:r>
    </w:p>
    <w:p w14:paraId="6098856F" w14:textId="77777777" w:rsidR="00763DF9" w:rsidRDefault="00763DF9" w:rsidP="00763DF9">
      <w:pPr>
        <w:numPr>
          <w:ilvl w:val="0"/>
          <w:numId w:val="19"/>
        </w:numPr>
        <w:spacing w:after="200" w:line="240" w:lineRule="auto"/>
      </w:pPr>
      <w:r>
        <w:t>Established risk-adjusted performance measurement</w:t>
      </w:r>
    </w:p>
    <w:p w14:paraId="5643D302" w14:textId="77777777" w:rsidR="00763DF9" w:rsidRDefault="00763DF9" w:rsidP="00763DF9">
      <w:pPr>
        <w:numPr>
          <w:ilvl w:val="0"/>
          <w:numId w:val="19"/>
        </w:numPr>
        <w:spacing w:after="200" w:line="240" w:lineRule="auto"/>
      </w:pPr>
      <w:r>
        <w:t>Created quantitative risk appetite statements</w:t>
      </w:r>
    </w:p>
    <w:p w14:paraId="0302CBD9" w14:textId="77777777" w:rsidR="00763DF9" w:rsidRDefault="00000000" w:rsidP="00763DF9">
      <w:r>
        <w:pict w14:anchorId="1444ACF9">
          <v:rect id="_x0000_i1028" style="width:0;height:1.5pt" o:hralign="center" o:hrstd="t" o:hr="t"/>
        </w:pict>
      </w:r>
    </w:p>
    <w:p w14:paraId="1D52E853" w14:textId="77777777" w:rsidR="00763DF9" w:rsidRDefault="00763DF9" w:rsidP="00763DF9">
      <w:pPr>
        <w:pStyle w:val="Heading3"/>
      </w:pPr>
      <w:bookmarkStart w:id="8" w:name="the-results-transformational-impact"/>
      <w:bookmarkEnd w:id="5"/>
      <w:bookmarkEnd w:id="7"/>
      <w:r>
        <w:t>The Results: Transformational Impact</w:t>
      </w:r>
    </w:p>
    <w:p w14:paraId="10A77D3E" w14:textId="77777777" w:rsidR="00763DF9" w:rsidRDefault="00763DF9" w:rsidP="00763DF9">
      <w:pPr>
        <w:pStyle w:val="Heading4"/>
      </w:pPr>
      <w:bookmarkStart w:id="9" w:name="immediate-operational-improvements"/>
      <w:r>
        <w:t>Immediate Operational Improvements</w:t>
      </w:r>
    </w:p>
    <w:p w14:paraId="047C69C7" w14:textId="77777777" w:rsidR="00763DF9" w:rsidRDefault="00763DF9" w:rsidP="00763DF9">
      <w:pPr>
        <w:numPr>
          <w:ilvl w:val="0"/>
          <w:numId w:val="19"/>
        </w:numPr>
        <w:spacing w:after="200" w:line="240" w:lineRule="auto"/>
      </w:pPr>
      <w:r>
        <w:rPr>
          <w:b/>
          <w:bCs/>
        </w:rPr>
        <w:t>Decision Speed</w:t>
      </w:r>
      <w:r>
        <w:t>: Risk committee decision-making improved by 35% as discussions focused on specific numbers rather than subjective interpretations</w:t>
      </w:r>
    </w:p>
    <w:p w14:paraId="33F297E3" w14:textId="77777777" w:rsidR="00763DF9" w:rsidRDefault="00763DF9" w:rsidP="00763DF9">
      <w:pPr>
        <w:numPr>
          <w:ilvl w:val="0"/>
          <w:numId w:val="19"/>
        </w:numPr>
        <w:spacing w:after="200" w:line="240" w:lineRule="auto"/>
      </w:pPr>
      <w:r>
        <w:rPr>
          <w:b/>
          <w:bCs/>
        </w:rPr>
        <w:t>Resource Allocation</w:t>
      </w:r>
      <w:r>
        <w:t>: £850,000 risk mitigation budget optimally allocated based on quantified return on investment</w:t>
      </w:r>
    </w:p>
    <w:p w14:paraId="7CB9B9D3" w14:textId="77777777" w:rsidR="00763DF9" w:rsidRDefault="00763DF9" w:rsidP="00763DF9">
      <w:pPr>
        <w:numPr>
          <w:ilvl w:val="0"/>
          <w:numId w:val="19"/>
        </w:numPr>
        <w:spacing w:after="200" w:line="240" w:lineRule="auto"/>
      </w:pPr>
      <w:r>
        <w:rPr>
          <w:b/>
          <w:bCs/>
        </w:rPr>
        <w:lastRenderedPageBreak/>
        <w:t>Hidden Risks Identified</w:t>
      </w:r>
      <w:r>
        <w:t>: Previously undetected concentration risk worth £2.3M discovered and addressed</w:t>
      </w:r>
    </w:p>
    <w:p w14:paraId="7C1AD619" w14:textId="77777777" w:rsidR="00763DF9" w:rsidRDefault="00763DF9" w:rsidP="00763DF9">
      <w:pPr>
        <w:numPr>
          <w:ilvl w:val="0"/>
          <w:numId w:val="19"/>
        </w:numPr>
        <w:spacing w:after="200" w:line="240" w:lineRule="auto"/>
      </w:pPr>
      <w:r>
        <w:rPr>
          <w:b/>
          <w:bCs/>
        </w:rPr>
        <w:t>Process Efficiency</w:t>
      </w:r>
      <w:r>
        <w:t>: Manual risk assessment time reduced by 60% through automation</w:t>
      </w:r>
    </w:p>
    <w:p w14:paraId="2C94866D" w14:textId="77777777" w:rsidR="00763DF9" w:rsidRDefault="00763DF9" w:rsidP="00763DF9">
      <w:pPr>
        <w:pStyle w:val="Heading4"/>
      </w:pPr>
      <w:bookmarkStart w:id="10" w:name="strategic-business-value"/>
      <w:bookmarkEnd w:id="9"/>
      <w:r>
        <w:t>Strategic Business Value</w:t>
      </w:r>
    </w:p>
    <w:p w14:paraId="58F5DB7D" w14:textId="77777777" w:rsidR="00763DF9" w:rsidRDefault="00763DF9" w:rsidP="00763DF9">
      <w:pPr>
        <w:numPr>
          <w:ilvl w:val="0"/>
          <w:numId w:val="19"/>
        </w:numPr>
        <w:spacing w:after="200" w:line="240" w:lineRule="auto"/>
      </w:pPr>
      <w:r>
        <w:rPr>
          <w:b/>
          <w:bCs/>
        </w:rPr>
        <w:t>CRO Influence</w:t>
      </w:r>
      <w:r>
        <w:t>: Chief Risk Officer now presents quantitative analysis alongside CFO financial projections, gaining equal strategic influence</w:t>
      </w:r>
    </w:p>
    <w:p w14:paraId="6AF226B8" w14:textId="77777777" w:rsidR="00763DF9" w:rsidRDefault="00763DF9" w:rsidP="00763DF9">
      <w:pPr>
        <w:numPr>
          <w:ilvl w:val="0"/>
          <w:numId w:val="19"/>
        </w:numPr>
        <w:spacing w:after="200" w:line="240" w:lineRule="auto"/>
      </w:pPr>
      <w:r>
        <w:rPr>
          <w:b/>
          <w:bCs/>
        </w:rPr>
        <w:t>Capital Efficiency</w:t>
      </w:r>
      <w:r>
        <w:t>: More precise risk quantification enabled 15% reduction in regulatory capital allocation</w:t>
      </w:r>
    </w:p>
    <w:p w14:paraId="66C458A7" w14:textId="77777777" w:rsidR="00763DF9" w:rsidRDefault="00763DF9" w:rsidP="00763DF9">
      <w:pPr>
        <w:numPr>
          <w:ilvl w:val="0"/>
          <w:numId w:val="19"/>
        </w:numPr>
        <w:spacing w:after="200" w:line="240" w:lineRule="auto"/>
      </w:pPr>
      <w:r>
        <w:rPr>
          <w:b/>
          <w:bCs/>
        </w:rPr>
        <w:t>Business Intelligence</w:t>
      </w:r>
      <w:r>
        <w:t>: Risk insights now directly inform pricing, product development, and market expansion decisions</w:t>
      </w:r>
    </w:p>
    <w:p w14:paraId="1589E998" w14:textId="77777777" w:rsidR="00763DF9" w:rsidRDefault="00763DF9" w:rsidP="00763DF9">
      <w:pPr>
        <w:numPr>
          <w:ilvl w:val="0"/>
          <w:numId w:val="19"/>
        </w:numPr>
        <w:spacing w:after="200" w:line="240" w:lineRule="auto"/>
      </w:pPr>
      <w:r>
        <w:rPr>
          <w:b/>
          <w:bCs/>
        </w:rPr>
        <w:t>Competitive Advantage</w:t>
      </w:r>
      <w:r>
        <w:t>: Superior risk intelligence enables more aggressive but informed strategic positioning</w:t>
      </w:r>
    </w:p>
    <w:p w14:paraId="66D32769" w14:textId="77777777" w:rsidR="00763DF9" w:rsidRDefault="00763DF9" w:rsidP="00763DF9">
      <w:pPr>
        <w:pStyle w:val="Heading4"/>
      </w:pPr>
      <w:bookmarkStart w:id="11" w:name="cultural-transformation"/>
      <w:bookmarkEnd w:id="10"/>
      <w:r>
        <w:t>Cultural Transformation</w:t>
      </w:r>
    </w:p>
    <w:p w14:paraId="4D9BD404" w14:textId="77777777" w:rsidR="00763DF9" w:rsidRDefault="00763DF9" w:rsidP="00763DF9">
      <w:pPr>
        <w:pStyle w:val="FirstParagraph"/>
      </w:pPr>
      <w:r>
        <w:t xml:space="preserve">As Client X's CEO noted: </w:t>
      </w:r>
      <w:r>
        <w:rPr>
          <w:b/>
          <w:bCs/>
        </w:rPr>
        <w:t>"Our risk function has transformed from a compliance cost center to a strategic asset. We now make better business decisions because we can see and quantify risks that were previously invisible."</w:t>
      </w:r>
    </w:p>
    <w:p w14:paraId="6E21745E" w14:textId="77777777" w:rsidR="00763DF9" w:rsidRDefault="00000000" w:rsidP="00763DF9">
      <w:r>
        <w:pict w14:anchorId="29AC8D59">
          <v:rect id="_x0000_i1029" style="width:0;height:1.5pt" o:hralign="center" o:hrstd="t" o:hr="t"/>
        </w:pict>
      </w:r>
    </w:p>
    <w:p w14:paraId="147A2EF7" w14:textId="77777777" w:rsidR="00763DF9" w:rsidRDefault="00763DF9" w:rsidP="00763DF9">
      <w:pPr>
        <w:pStyle w:val="Heading3"/>
      </w:pPr>
      <w:bookmarkStart w:id="12" w:name="implementation-timeline--investment"/>
      <w:bookmarkEnd w:id="8"/>
      <w:bookmarkEnd w:id="11"/>
      <w:r>
        <w:t>Implementation Timeline &amp; Investment</w:t>
      </w:r>
    </w:p>
    <w:p w14:paraId="2E68741A" w14:textId="77777777" w:rsidR="00763DF9" w:rsidRDefault="00763DF9" w:rsidP="00763DF9">
      <w:pPr>
        <w:pStyle w:val="SourceCode"/>
      </w:pPr>
      <w:r>
        <w:rPr>
          <w:rStyle w:val="VerbatimChar"/>
        </w:rPr>
        <w:t>StageDurationInvestmentKey Deliverables</w:t>
      </w:r>
      <w:r>
        <w:br/>
      </w:r>
      <w:r>
        <w:rPr>
          <w:rStyle w:val="VerbatimChar"/>
        </w:rPr>
        <w:t>Proof of Concept24 hours£25,000Quantitative transformation of existing data</w:t>
      </w:r>
      <w:r>
        <w:br/>
      </w:r>
      <w:r>
        <w:rPr>
          <w:rStyle w:val="VerbatimChar"/>
        </w:rPr>
        <w:t>Proof of Value90 days£105,000Full departmental implementation</w:t>
      </w:r>
      <w:r>
        <w:br/>
      </w:r>
      <w:r>
        <w:rPr>
          <w:rStyle w:val="VerbatimChar"/>
        </w:rPr>
        <w:t>Enterprise Rollout6 monthsCustomOrganization-wide transformation</w:t>
      </w:r>
    </w:p>
    <w:p w14:paraId="783AD006" w14:textId="77777777" w:rsidR="00763DF9" w:rsidRDefault="00763DF9" w:rsidP="00763DF9">
      <w:pPr>
        <w:pStyle w:val="FirstParagraph"/>
      </w:pPr>
      <w:r>
        <w:rPr>
          <w:b/>
          <w:bCs/>
        </w:rPr>
        <w:t>Total ROI</w:t>
      </w:r>
      <w:r>
        <w:t>: 340% in first year through improved capital efficiency and risk-based decision making</w:t>
      </w:r>
    </w:p>
    <w:p w14:paraId="01A4985E" w14:textId="77777777" w:rsidR="00763DF9" w:rsidRDefault="00763DF9" w:rsidP="00763DF9">
      <w:pPr>
        <w:pStyle w:val="Heading3"/>
      </w:pPr>
      <w:bookmarkStart w:id="13" w:name="key-success-factors"/>
      <w:bookmarkEnd w:id="12"/>
      <w:r>
        <w:t>Key Success Factors</w:t>
      </w:r>
    </w:p>
    <w:p w14:paraId="22760FCA" w14:textId="77777777" w:rsidR="00763DF9" w:rsidRDefault="00763DF9" w:rsidP="00763DF9">
      <w:pPr>
        <w:pStyle w:val="Heading4"/>
      </w:pPr>
      <w:bookmarkStart w:id="14" w:name="Xfb0b733263336c09b016b5b0e58b0b0f9230f12"/>
      <w:r>
        <w:t>1. Start with Existing Data</w:t>
      </w:r>
    </w:p>
    <w:p w14:paraId="2648875A" w14:textId="77777777" w:rsidR="00763DF9" w:rsidRDefault="00763DF9" w:rsidP="00763DF9">
      <w:pPr>
        <w:pStyle w:val="FirstParagraph"/>
      </w:pPr>
      <w:r>
        <w:t>Rather than requiring new data collection, we transformed Client X's existing qualitative assessments, providing immediate value and proof of concept.</w:t>
      </w:r>
    </w:p>
    <w:p w14:paraId="477D5FA0" w14:textId="77777777" w:rsidR="00763DF9" w:rsidRDefault="00763DF9" w:rsidP="00763DF9">
      <w:pPr>
        <w:pStyle w:val="Heading4"/>
      </w:pPr>
      <w:bookmarkStart w:id="15" w:name="Xde6471743dbd4cba88c4a5089796b5fd124ddad"/>
      <w:bookmarkEnd w:id="14"/>
      <w:r>
        <w:lastRenderedPageBreak/>
        <w:t>2. Fixed-Price Certainty</w:t>
      </w:r>
    </w:p>
    <w:p w14:paraId="2FCA49BE" w14:textId="77777777" w:rsidR="00763DF9" w:rsidRDefault="00763DF9" w:rsidP="00763DF9">
      <w:pPr>
        <w:pStyle w:val="FirstParagraph"/>
      </w:pPr>
      <w:r>
        <w:t>Stages 1 and 2 had transparent, fixed pricing with no scope creep, enabling confident investment decisions.</w:t>
      </w:r>
    </w:p>
    <w:p w14:paraId="7E7BBA43" w14:textId="77777777" w:rsidR="00763DF9" w:rsidRDefault="00763DF9" w:rsidP="00763DF9">
      <w:pPr>
        <w:pStyle w:val="Heading4"/>
      </w:pPr>
      <w:bookmarkStart w:id="16" w:name="X62becf22d902476f978eb83c16f62514b65d031"/>
      <w:bookmarkEnd w:id="15"/>
      <w:r>
        <w:t>3. Practical Implementation</w:t>
      </w:r>
    </w:p>
    <w:p w14:paraId="6BA59E0A" w14:textId="77777777" w:rsidR="00763DF9" w:rsidRDefault="00763DF9" w:rsidP="00763DF9">
      <w:pPr>
        <w:pStyle w:val="FirstParagraph"/>
      </w:pPr>
      <w:r>
        <w:t>Our approach focused on practical business application rather than theoretical frameworks, ensuring real-world usability.</w:t>
      </w:r>
    </w:p>
    <w:p w14:paraId="4BACCFA8" w14:textId="77777777" w:rsidR="00763DF9" w:rsidRDefault="00763DF9" w:rsidP="00763DF9">
      <w:pPr>
        <w:pStyle w:val="Heading4"/>
      </w:pPr>
      <w:bookmarkStart w:id="17" w:name="Xadddcd8df5eada0bd59c7345d2c5a54f0bdeee3"/>
      <w:bookmarkEnd w:id="16"/>
      <w:r>
        <w:t>4. Technology-Enabled Methodology</w:t>
      </w:r>
    </w:p>
    <w:p w14:paraId="3FA73AC5" w14:textId="77777777" w:rsidR="00763DF9" w:rsidRDefault="00763DF9" w:rsidP="00763DF9">
      <w:pPr>
        <w:pStyle w:val="FirstParagraph"/>
      </w:pPr>
      <w:r>
        <w:t>Combining proven Risk-Based Performance Management methodology with Predixtive platform automation ensured sustainable, scalable results.</w:t>
      </w:r>
    </w:p>
    <w:p w14:paraId="0D867023" w14:textId="77777777" w:rsidR="00763DF9" w:rsidRDefault="00763DF9" w:rsidP="00763DF9">
      <w:pPr>
        <w:pStyle w:val="Heading4"/>
      </w:pPr>
      <w:bookmarkStart w:id="18" w:name="Xb65916f01c2bfb165ed3bad7fcdc486f70b1f85"/>
      <w:bookmarkEnd w:id="17"/>
      <w:r>
        <w:t>5. Stakeholder Engagement</w:t>
      </w:r>
    </w:p>
    <w:p w14:paraId="798896A6" w14:textId="77777777" w:rsidR="00763DF9" w:rsidRDefault="00763DF9" w:rsidP="00763DF9">
      <w:pPr>
        <w:pStyle w:val="FirstParagraph"/>
      </w:pPr>
      <w:r>
        <w:t>Executive leadership saw immediate value in quantitative insights, driving organization-wide adoption and support.</w:t>
      </w:r>
    </w:p>
    <w:p w14:paraId="430D5F2F" w14:textId="77777777" w:rsidR="00763DF9" w:rsidRDefault="00763DF9" w:rsidP="00763DF9">
      <w:pPr>
        <w:pStyle w:val="Heading3"/>
      </w:pPr>
      <w:bookmarkStart w:id="19" w:name="client-testimonial"/>
      <w:bookmarkEnd w:id="13"/>
      <w:bookmarkEnd w:id="18"/>
      <w:r>
        <w:t>Client Testimonial</w:t>
      </w:r>
    </w:p>
    <w:p w14:paraId="73096F54" w14:textId="77777777" w:rsidR="00763DF9" w:rsidRDefault="00763DF9" w:rsidP="00763DF9">
      <w:pPr>
        <w:pStyle w:val="FirstParagraph"/>
      </w:pPr>
      <w:r>
        <w:rPr>
          <w:i/>
          <w:iCs/>
        </w:rPr>
        <w:t>"DecideWright didn't just implement technology—they transformed how we think about risk. In 90 days, we went from presenting colors to presenting numbers that directly inform our strategic decisions. Our CRO now has the same analytical credibility as our CFO, and our business is better for it."</w:t>
      </w:r>
    </w:p>
    <w:p w14:paraId="4C00E0E0" w14:textId="77777777" w:rsidR="00763DF9" w:rsidRDefault="00763DF9" w:rsidP="00763DF9">
      <w:pPr>
        <w:pStyle w:val="BodyText"/>
      </w:pPr>
      <w:r>
        <w:rPr>
          <w:b/>
          <w:bCs/>
        </w:rPr>
        <w:t>— Chief Executive Officer, Client X</w:t>
      </w:r>
    </w:p>
    <w:p w14:paraId="58BFD8DA" w14:textId="77777777" w:rsidR="00763DF9" w:rsidRDefault="00000000" w:rsidP="00763DF9">
      <w:r>
        <w:pict w14:anchorId="5ED78790">
          <v:rect id="_x0000_i1030" style="width:0;height:1.5pt" o:hralign="center" o:hrstd="t" o:hr="t"/>
        </w:pict>
      </w:r>
    </w:p>
    <w:p w14:paraId="52EEF71D" w14:textId="77777777" w:rsidR="00763DF9" w:rsidRDefault="00763DF9" w:rsidP="00763DF9">
      <w:pPr>
        <w:pStyle w:val="Heading3"/>
      </w:pPr>
      <w:bookmarkStart w:id="20" w:name="the-decidewright-difference"/>
      <w:bookmarkEnd w:id="19"/>
      <w:r>
        <w:t>The DecideWright Difference</w:t>
      </w:r>
    </w:p>
    <w:p w14:paraId="348AFE29" w14:textId="77777777" w:rsidR="00763DF9" w:rsidRDefault="00763DF9" w:rsidP="00763DF9">
      <w:pPr>
        <w:pStyle w:val="FirstParagraph"/>
      </w:pPr>
      <w:r>
        <w:t>This transformation demonstrates the power of the QRA Playbook approach:</w:t>
      </w:r>
    </w:p>
    <w:p w14:paraId="53453094" w14:textId="77777777" w:rsidR="00763DF9" w:rsidRDefault="00763DF9" w:rsidP="00763DF9">
      <w:pPr>
        <w:numPr>
          <w:ilvl w:val="0"/>
          <w:numId w:val="19"/>
        </w:numPr>
        <w:spacing w:after="200" w:line="240" w:lineRule="auto"/>
      </w:pPr>
      <w:r>
        <w:rPr>
          <w:b/>
          <w:bCs/>
        </w:rPr>
        <w:t>Immediate Proof</w:t>
      </w:r>
      <w:r>
        <w:t>: 24-hour demonstration of value before major investment</w:t>
      </w:r>
    </w:p>
    <w:p w14:paraId="206574C2" w14:textId="77777777" w:rsidR="00763DF9" w:rsidRDefault="00763DF9" w:rsidP="00763DF9">
      <w:pPr>
        <w:numPr>
          <w:ilvl w:val="0"/>
          <w:numId w:val="19"/>
        </w:numPr>
        <w:spacing w:after="200" w:line="240" w:lineRule="auto"/>
      </w:pPr>
      <w:r>
        <w:rPr>
          <w:b/>
          <w:bCs/>
        </w:rPr>
        <w:t>Practical Implementation</w:t>
      </w:r>
      <w:r>
        <w:t>: Working with existing data and processes</w:t>
      </w:r>
    </w:p>
    <w:p w14:paraId="6F3D0BE4" w14:textId="77777777" w:rsidR="00763DF9" w:rsidRDefault="00763DF9" w:rsidP="00763DF9">
      <w:pPr>
        <w:numPr>
          <w:ilvl w:val="0"/>
          <w:numId w:val="19"/>
        </w:numPr>
        <w:spacing w:after="200" w:line="240" w:lineRule="auto"/>
      </w:pPr>
      <w:r>
        <w:rPr>
          <w:b/>
          <w:bCs/>
        </w:rPr>
        <w:t>Quantitative Intelligence</w:t>
      </w:r>
      <w:r>
        <w:t>: Transform colors into numbers that drive decisions</w:t>
      </w:r>
    </w:p>
    <w:p w14:paraId="13FE2CBB" w14:textId="77777777" w:rsidR="00763DF9" w:rsidRDefault="00763DF9" w:rsidP="00763DF9">
      <w:pPr>
        <w:numPr>
          <w:ilvl w:val="0"/>
          <w:numId w:val="19"/>
        </w:numPr>
        <w:spacing w:after="200" w:line="240" w:lineRule="auto"/>
      </w:pPr>
      <w:r>
        <w:rPr>
          <w:b/>
          <w:bCs/>
        </w:rPr>
        <w:t>Strategic Elevation</w:t>
      </w:r>
      <w:r>
        <w:t>: Position risk professionals as analytical peers</w:t>
      </w:r>
    </w:p>
    <w:p w14:paraId="1906C200" w14:textId="77777777" w:rsidR="00763DF9" w:rsidRDefault="00763DF9" w:rsidP="00763DF9">
      <w:pPr>
        <w:numPr>
          <w:ilvl w:val="0"/>
          <w:numId w:val="19"/>
        </w:numPr>
        <w:spacing w:after="200" w:line="240" w:lineRule="auto"/>
      </w:pPr>
      <w:r>
        <w:rPr>
          <w:b/>
          <w:bCs/>
        </w:rPr>
        <w:t>Measurable ROI</w:t>
      </w:r>
      <w:r>
        <w:t>: Clear business value and competitive advantage</w:t>
      </w:r>
    </w:p>
    <w:p w14:paraId="334D3917" w14:textId="301F4192" w:rsidR="00763DF9" w:rsidRDefault="00763DF9" w:rsidP="00763DF9"/>
    <w:p w14:paraId="3493FEF3" w14:textId="77777777" w:rsidR="00763DF9" w:rsidRDefault="00763DF9" w:rsidP="00763DF9">
      <w:pPr>
        <w:pStyle w:val="Heading3"/>
      </w:pPr>
      <w:bookmarkStart w:id="21" w:name="ready-to-transform-your-risk-function"/>
      <w:bookmarkEnd w:id="20"/>
      <w:r>
        <w:lastRenderedPageBreak/>
        <w:t>Ready to Transform Your Risk Function?</w:t>
      </w:r>
    </w:p>
    <w:p w14:paraId="2CA870B8" w14:textId="77777777" w:rsidR="00763DF9" w:rsidRDefault="00763DF9" w:rsidP="00763DF9">
      <w:pPr>
        <w:pStyle w:val="FirstParagraph"/>
      </w:pPr>
      <w:r>
        <w:t>If your organization is hitting the qualitative ceiling and needs quantitative risk intelligence for strategic decision-making, the QRA Playbook can deliver transformation in 24-48 hours.</w:t>
      </w:r>
    </w:p>
    <w:p w14:paraId="54F8FE69" w14:textId="77777777" w:rsidR="00763DF9" w:rsidRDefault="00763DF9" w:rsidP="00763DF9">
      <w:pPr>
        <w:pStyle w:val="BodyText"/>
      </w:pPr>
      <w:r>
        <w:rPr>
          <w:b/>
          <w:bCs/>
        </w:rPr>
        <w:t>Contact DecideWright today to:</w:t>
      </w:r>
    </w:p>
    <w:p w14:paraId="6F44EB7E" w14:textId="77777777" w:rsidR="00763DF9" w:rsidRDefault="00763DF9" w:rsidP="00763DF9">
      <w:pPr>
        <w:numPr>
          <w:ilvl w:val="0"/>
          <w:numId w:val="19"/>
        </w:numPr>
        <w:spacing w:after="200" w:line="240" w:lineRule="auto"/>
      </w:pPr>
      <w:r>
        <w:t>Book your Risk Transformation Discovery call</w:t>
      </w:r>
    </w:p>
    <w:p w14:paraId="420B2973" w14:textId="77777777" w:rsidR="00763DF9" w:rsidRDefault="00763DF9" w:rsidP="00763DF9">
      <w:pPr>
        <w:numPr>
          <w:ilvl w:val="0"/>
          <w:numId w:val="19"/>
        </w:numPr>
        <w:spacing w:after="200" w:line="240" w:lineRule="auto"/>
      </w:pPr>
      <w:r>
        <w:t>Schedule your 24-hour Proof of Concept</w:t>
      </w:r>
    </w:p>
    <w:p w14:paraId="4141F12D" w14:textId="77777777" w:rsidR="00763DF9" w:rsidRDefault="00763DF9" w:rsidP="00763DF9">
      <w:pPr>
        <w:numPr>
          <w:ilvl w:val="0"/>
          <w:numId w:val="19"/>
        </w:numPr>
        <w:spacing w:after="200" w:line="240" w:lineRule="auto"/>
      </w:pPr>
      <w:r>
        <w:t>Transform your risk function from cost center to strategic advantage</w:t>
      </w:r>
    </w:p>
    <w:p w14:paraId="19CE215E" w14:textId="77777777" w:rsidR="00763DF9" w:rsidRDefault="00763DF9" w:rsidP="00763DF9">
      <w:pPr>
        <w:pStyle w:val="FirstParagraph"/>
      </w:pPr>
      <w:r>
        <w:rPr>
          <w:i/>
          <w:iCs/>
        </w:rPr>
        <w:t>Because in today's business environment, presenting risk in colors while your peers present numbers isn't just ineffective—it's career limiting.</w:t>
      </w:r>
    </w:p>
    <w:p w14:paraId="13E2DAB5" w14:textId="40844376" w:rsidR="00763DF9" w:rsidRDefault="00763DF9" w:rsidP="00763DF9"/>
    <w:p w14:paraId="00ED1724" w14:textId="77777777" w:rsidR="00763DF9" w:rsidRDefault="00763DF9" w:rsidP="00763DF9">
      <w:pPr>
        <w:pStyle w:val="FirstParagraph"/>
        <w:rPr>
          <w:i/>
          <w:iCs/>
        </w:rPr>
      </w:pPr>
      <w:r>
        <w:rPr>
          <w:b/>
          <w:bCs/>
        </w:rPr>
        <w:t>DecideWright: Clarify in Uncertainty</w:t>
      </w:r>
      <w:r>
        <w:br/>
        <w:t xml:space="preserve"> </w:t>
      </w:r>
      <w:r>
        <w:rPr>
          <w:i/>
          <w:iCs/>
        </w:rPr>
        <w:t>Transform Risk from Colors to Numbers</w:t>
      </w:r>
    </w:p>
    <w:p w14:paraId="3530FCFC" w14:textId="77777777" w:rsidR="00065207" w:rsidRDefault="00065207" w:rsidP="00065207">
      <w:pPr>
        <w:pStyle w:val="BodyText"/>
        <w:rPr>
          <w:lang w:val="en-US"/>
        </w:rPr>
      </w:pPr>
    </w:p>
    <w:p w14:paraId="6FECFC8B" w14:textId="71A1420D" w:rsidR="00065207" w:rsidRDefault="00065207">
      <w:pPr>
        <w:rPr>
          <w:rFonts w:ascii="Arial" w:eastAsia="Arial" w:hAnsi="Arial" w:cs="Times New Roman"/>
          <w:sz w:val="20"/>
          <w:szCs w:val="20"/>
          <w:lang w:val="en-US"/>
        </w:rPr>
      </w:pPr>
      <w:r>
        <w:rPr>
          <w:lang w:val="en-US"/>
        </w:rPr>
        <w:br w:type="page"/>
      </w:r>
    </w:p>
    <w:p w14:paraId="526FD9BE" w14:textId="0A24FE29" w:rsidR="00065207" w:rsidRPr="00065207" w:rsidRDefault="00505C6C" w:rsidP="00505C6C">
      <w:pPr>
        <w:pStyle w:val="Heading1"/>
        <w:numPr>
          <w:ilvl w:val="0"/>
          <w:numId w:val="0"/>
        </w:numPr>
        <w:rPr>
          <w:lang w:val="en-US"/>
        </w:rPr>
      </w:pPr>
      <w:r>
        <w:rPr>
          <w:lang w:val="en-US"/>
        </w:rPr>
        <w:lastRenderedPageBreak/>
        <w:t>Original Text</w:t>
      </w:r>
    </w:p>
    <w:p w14:paraId="4F9BD0F6" w14:textId="77777777" w:rsidR="002A2383" w:rsidRDefault="002A2383" w:rsidP="002A2383">
      <w:pPr>
        <w:pStyle w:val="BodyText"/>
        <w:rPr>
          <w:lang w:val="en-US"/>
        </w:rPr>
      </w:pPr>
    </w:p>
    <w:p w14:paraId="09EE15FC" w14:textId="77777777" w:rsidR="003165FC" w:rsidRDefault="003165FC" w:rsidP="003165FC">
      <w:pPr>
        <w:rPr>
          <w:color w:val="1F1F1F"/>
          <w:sz w:val="27"/>
          <w:szCs w:val="27"/>
        </w:rPr>
      </w:pPr>
      <w:r>
        <w:rPr>
          <w:rStyle w:val="ng-star-inserted"/>
          <w:color w:val="1F1F1F"/>
          <w:sz w:val="27"/>
          <w:szCs w:val="27"/>
        </w:rPr>
        <w:t># The Evolution of Risk Assessment at Client X: From Qualitative to Quantitative</w:t>
      </w:r>
    </w:p>
    <w:p w14:paraId="0DCE0ECF" w14:textId="77777777" w:rsidR="003165FC" w:rsidRDefault="003165FC" w:rsidP="003165FC">
      <w:pPr>
        <w:rPr>
          <w:color w:val="1F1F1F"/>
          <w:sz w:val="27"/>
          <w:szCs w:val="27"/>
        </w:rPr>
      </w:pPr>
      <w:r>
        <w:rPr>
          <w:rStyle w:val="ng-star-inserted"/>
          <w:color w:val="1F1F1F"/>
          <w:sz w:val="27"/>
          <w:szCs w:val="27"/>
        </w:rPr>
        <w:t>In the world of enterprise risk management, finding the right approach for your organization isn't always straightforward. It's often a journey of evolution rather than revolution. This has certainly been the case with our client, whom I'll refer to as Client X, whose risk management journey I'd like to share today.</w:t>
      </w:r>
    </w:p>
    <w:p w14:paraId="351ADFC2" w14:textId="77777777" w:rsidR="003165FC" w:rsidRDefault="003165FC" w:rsidP="003165FC">
      <w:pPr>
        <w:rPr>
          <w:color w:val="1F1F1F"/>
          <w:sz w:val="27"/>
          <w:szCs w:val="27"/>
        </w:rPr>
      </w:pPr>
      <w:r>
        <w:rPr>
          <w:rStyle w:val="ng-star-inserted"/>
          <w:color w:val="1F1F1F"/>
          <w:sz w:val="27"/>
          <w:szCs w:val="27"/>
        </w:rPr>
        <w:t>## Starting Simple with Qualitative Risk Assessment</w:t>
      </w:r>
    </w:p>
    <w:p w14:paraId="6306F708" w14:textId="77777777" w:rsidR="003165FC" w:rsidRDefault="003165FC" w:rsidP="003165FC">
      <w:pPr>
        <w:rPr>
          <w:color w:val="1F1F1F"/>
          <w:sz w:val="27"/>
          <w:szCs w:val="27"/>
        </w:rPr>
      </w:pPr>
      <w:r>
        <w:rPr>
          <w:rStyle w:val="ng-star-inserted"/>
          <w:color w:val="1F1F1F"/>
          <w:sz w:val="27"/>
          <w:szCs w:val="27"/>
        </w:rPr>
        <w:t>When Client X first embarked on their enterprise risk management journey, they opted for a qualitative approach to risk assessment. This decision made perfect sense at the time. Qualitative assessments are relatively simple to implement, easy for stakeholders to understand, and provide a good foundation for organizations new to formal risk management processes.</w:t>
      </w:r>
    </w:p>
    <w:p w14:paraId="1D3FDAC8" w14:textId="77777777" w:rsidR="003165FC" w:rsidRDefault="003165FC" w:rsidP="003165FC">
      <w:pPr>
        <w:rPr>
          <w:color w:val="1F1F1F"/>
          <w:sz w:val="27"/>
          <w:szCs w:val="27"/>
        </w:rPr>
      </w:pPr>
      <w:r>
        <w:rPr>
          <w:rStyle w:val="ng-star-inserted"/>
          <w:color w:val="1F1F1F"/>
          <w:sz w:val="27"/>
          <w:szCs w:val="27"/>
        </w:rPr>
        <w:t>Their initial approach was built around the classic Impact × Likelihood matrix. Risks were identified, then evaluated based on how severe their impact would be and how likely they were to occur. This created a straightforward risk severity rating that helped prioritize which risks needed immediate attention and which could be monitored less intensively.</w:t>
      </w:r>
    </w:p>
    <w:p w14:paraId="35B8DB36" w14:textId="77777777" w:rsidR="003165FC" w:rsidRDefault="003165FC" w:rsidP="003165FC">
      <w:pPr>
        <w:rPr>
          <w:color w:val="1F1F1F"/>
          <w:sz w:val="27"/>
          <w:szCs w:val="27"/>
        </w:rPr>
      </w:pPr>
      <w:r>
        <w:rPr>
          <w:rStyle w:val="ng-star-inserted"/>
          <w:color w:val="1F1F1F"/>
          <w:sz w:val="27"/>
          <w:szCs w:val="27"/>
        </w:rPr>
        <w:t>For a company just beginning to formalize their risk management approach, this method offered several advantages:</w:t>
      </w:r>
    </w:p>
    <w:p w14:paraId="0FBE7512" w14:textId="77777777" w:rsidR="003165FC" w:rsidRDefault="003165FC" w:rsidP="003165FC">
      <w:pPr>
        <w:rPr>
          <w:color w:val="1F1F1F"/>
          <w:sz w:val="27"/>
          <w:szCs w:val="27"/>
        </w:rPr>
      </w:pPr>
      <w:r>
        <w:rPr>
          <w:rStyle w:val="ng-star-inserted"/>
          <w:color w:val="1F1F1F"/>
          <w:sz w:val="27"/>
          <w:szCs w:val="27"/>
        </w:rPr>
        <w:t>- It was intuitive and accessible to team members without specialized risk management expertise</w:t>
      </w:r>
    </w:p>
    <w:p w14:paraId="189DEDD6" w14:textId="77777777" w:rsidR="003165FC" w:rsidRDefault="003165FC" w:rsidP="003165FC">
      <w:pPr>
        <w:rPr>
          <w:color w:val="1F1F1F"/>
          <w:sz w:val="27"/>
          <w:szCs w:val="27"/>
        </w:rPr>
      </w:pPr>
      <w:r>
        <w:rPr>
          <w:rStyle w:val="ng-star-inserted"/>
          <w:color w:val="1F1F1F"/>
          <w:sz w:val="27"/>
          <w:szCs w:val="27"/>
        </w:rPr>
        <w:t>- It facilitated productive conversations about risks across different departments</w:t>
      </w:r>
    </w:p>
    <w:p w14:paraId="7DB9EA5A" w14:textId="77777777" w:rsidR="003165FC" w:rsidRDefault="003165FC" w:rsidP="003165FC">
      <w:pPr>
        <w:rPr>
          <w:color w:val="1F1F1F"/>
          <w:sz w:val="27"/>
          <w:szCs w:val="27"/>
        </w:rPr>
      </w:pPr>
      <w:r>
        <w:rPr>
          <w:rStyle w:val="ng-star-inserted"/>
          <w:color w:val="1F1F1F"/>
          <w:sz w:val="27"/>
          <w:szCs w:val="27"/>
        </w:rPr>
        <w:lastRenderedPageBreak/>
        <w:t>- It provided a consistent framework for evaluating diverse types of risks</w:t>
      </w:r>
    </w:p>
    <w:p w14:paraId="60608710" w14:textId="77777777" w:rsidR="003165FC" w:rsidRDefault="003165FC" w:rsidP="003165FC">
      <w:pPr>
        <w:rPr>
          <w:color w:val="1F1F1F"/>
          <w:sz w:val="27"/>
          <w:szCs w:val="27"/>
        </w:rPr>
      </w:pPr>
      <w:r>
        <w:rPr>
          <w:rStyle w:val="ng-star-inserted"/>
          <w:color w:val="1F1F1F"/>
          <w:sz w:val="27"/>
          <w:szCs w:val="27"/>
        </w:rPr>
        <w:t>- It didn't require extensive historical data or complex calculations</w:t>
      </w:r>
    </w:p>
    <w:p w14:paraId="722A6121" w14:textId="77777777" w:rsidR="003165FC" w:rsidRDefault="003165FC" w:rsidP="003165FC">
      <w:pPr>
        <w:rPr>
          <w:color w:val="1F1F1F"/>
          <w:sz w:val="27"/>
          <w:szCs w:val="27"/>
        </w:rPr>
      </w:pPr>
      <w:r>
        <w:rPr>
          <w:rStyle w:val="ng-star-inserted"/>
          <w:color w:val="1F1F1F"/>
          <w:sz w:val="27"/>
          <w:szCs w:val="27"/>
        </w:rPr>
        <w:t>## The Need for Greater Precision</w:t>
      </w:r>
    </w:p>
    <w:p w14:paraId="5EDD138A" w14:textId="77777777" w:rsidR="003165FC" w:rsidRDefault="003165FC" w:rsidP="003165FC">
      <w:pPr>
        <w:rPr>
          <w:color w:val="1F1F1F"/>
          <w:sz w:val="27"/>
          <w:szCs w:val="27"/>
        </w:rPr>
      </w:pPr>
      <w:r>
        <w:rPr>
          <w:rStyle w:val="ng-star-inserted"/>
          <w:color w:val="1F1F1F"/>
          <w:sz w:val="27"/>
          <w:szCs w:val="27"/>
        </w:rPr>
        <w:t>While the basic qualitative approach served Client X well initially, it wasn't long before limitations became apparent. The organization found that the broad categories of "High," "Medium," and "Low" weren't providing enough granularity for meaningful decision-making. Different stakeholders were interpreting these categories inconsistently, and there was growing frustration with the subjective nature of the assessments.</w:t>
      </w:r>
    </w:p>
    <w:p w14:paraId="62438C58" w14:textId="77777777" w:rsidR="003165FC" w:rsidRDefault="003165FC" w:rsidP="003165FC">
      <w:pPr>
        <w:rPr>
          <w:color w:val="1F1F1F"/>
          <w:sz w:val="27"/>
          <w:szCs w:val="27"/>
        </w:rPr>
      </w:pPr>
      <w:r>
        <w:rPr>
          <w:rStyle w:val="ng-star-inserted"/>
          <w:color w:val="1F1F1F"/>
          <w:sz w:val="27"/>
          <w:szCs w:val="27"/>
        </w:rPr>
        <w:t>To address these concerns, we collaborated with Client X to enhance their qualitative approach by adding more structure around how impact and likelihood were assessed.</w:t>
      </w:r>
    </w:p>
    <w:p w14:paraId="546BE56F" w14:textId="77777777" w:rsidR="003165FC" w:rsidRDefault="003165FC" w:rsidP="003165FC">
      <w:pPr>
        <w:rPr>
          <w:color w:val="1F1F1F"/>
          <w:sz w:val="27"/>
          <w:szCs w:val="27"/>
        </w:rPr>
      </w:pPr>
      <w:r>
        <w:rPr>
          <w:rStyle w:val="ng-star-inserted"/>
          <w:color w:val="1F1F1F"/>
          <w:sz w:val="27"/>
          <w:szCs w:val="27"/>
        </w:rPr>
        <w:t>For impact, we introduced five specific factors to consider:</w:t>
      </w:r>
    </w:p>
    <w:p w14:paraId="4A4DA884" w14:textId="77777777" w:rsidR="003165FC" w:rsidRDefault="003165FC" w:rsidP="003165FC">
      <w:pPr>
        <w:rPr>
          <w:color w:val="1F1F1F"/>
          <w:sz w:val="27"/>
          <w:szCs w:val="27"/>
        </w:rPr>
      </w:pPr>
      <w:r>
        <w:rPr>
          <w:rStyle w:val="ng-star-inserted"/>
          <w:color w:val="1F1F1F"/>
          <w:sz w:val="27"/>
          <w:szCs w:val="27"/>
        </w:rPr>
        <w:t>1. Unplanned Expenditure</w:t>
      </w:r>
    </w:p>
    <w:p w14:paraId="2046BDF3" w14:textId="77777777" w:rsidR="003165FC" w:rsidRDefault="003165FC" w:rsidP="003165FC">
      <w:pPr>
        <w:rPr>
          <w:color w:val="1F1F1F"/>
          <w:sz w:val="27"/>
          <w:szCs w:val="27"/>
        </w:rPr>
      </w:pPr>
      <w:r>
        <w:rPr>
          <w:rStyle w:val="ng-star-inserted"/>
          <w:color w:val="1F1F1F"/>
          <w:sz w:val="27"/>
          <w:szCs w:val="27"/>
        </w:rPr>
        <w:t>2. Missed Revenue</w:t>
      </w:r>
    </w:p>
    <w:p w14:paraId="54F1DFA1" w14:textId="77777777" w:rsidR="003165FC" w:rsidRDefault="003165FC" w:rsidP="003165FC">
      <w:pPr>
        <w:rPr>
          <w:color w:val="1F1F1F"/>
          <w:sz w:val="27"/>
          <w:szCs w:val="27"/>
        </w:rPr>
      </w:pPr>
      <w:r>
        <w:rPr>
          <w:rStyle w:val="ng-star-inserted"/>
          <w:color w:val="1F1F1F"/>
          <w:sz w:val="27"/>
          <w:szCs w:val="27"/>
        </w:rPr>
        <w:t>3. Delayed Revenue</w:t>
      </w:r>
    </w:p>
    <w:p w14:paraId="5E1D00D9" w14:textId="77777777" w:rsidR="003165FC" w:rsidRDefault="003165FC" w:rsidP="003165FC">
      <w:pPr>
        <w:rPr>
          <w:color w:val="1F1F1F"/>
          <w:sz w:val="27"/>
          <w:szCs w:val="27"/>
        </w:rPr>
      </w:pPr>
      <w:r>
        <w:rPr>
          <w:rStyle w:val="ng-star-inserted"/>
          <w:color w:val="1F1F1F"/>
          <w:sz w:val="27"/>
          <w:szCs w:val="27"/>
        </w:rPr>
        <w:t>4. Unproductive Hours</w:t>
      </w:r>
    </w:p>
    <w:p w14:paraId="19B66B1D" w14:textId="77777777" w:rsidR="003165FC" w:rsidRDefault="003165FC" w:rsidP="003165FC">
      <w:pPr>
        <w:rPr>
          <w:color w:val="1F1F1F"/>
          <w:sz w:val="27"/>
          <w:szCs w:val="27"/>
        </w:rPr>
      </w:pPr>
      <w:r>
        <w:rPr>
          <w:rStyle w:val="ng-star-inserted"/>
          <w:color w:val="1F1F1F"/>
          <w:sz w:val="27"/>
          <w:szCs w:val="27"/>
        </w:rPr>
        <w:t>5. Market Reputation</w:t>
      </w:r>
    </w:p>
    <w:p w14:paraId="0637E8B1" w14:textId="77777777" w:rsidR="003165FC" w:rsidRDefault="003165FC" w:rsidP="003165FC">
      <w:pPr>
        <w:rPr>
          <w:color w:val="1F1F1F"/>
          <w:sz w:val="27"/>
          <w:szCs w:val="27"/>
        </w:rPr>
      </w:pPr>
      <w:r>
        <w:rPr>
          <w:rStyle w:val="ng-star-inserted"/>
          <w:color w:val="1F1F1F"/>
          <w:sz w:val="27"/>
          <w:szCs w:val="27"/>
        </w:rPr>
        <w:t>This allowed for more nuanced evaluations that considered multiple dimensions of potential harm rather than a single, generalized "impact" score.</w:t>
      </w:r>
    </w:p>
    <w:p w14:paraId="29E687C6" w14:textId="77777777" w:rsidR="003165FC" w:rsidRDefault="003165FC" w:rsidP="003165FC">
      <w:pPr>
        <w:rPr>
          <w:color w:val="1F1F1F"/>
          <w:sz w:val="27"/>
          <w:szCs w:val="27"/>
        </w:rPr>
      </w:pPr>
      <w:r>
        <w:rPr>
          <w:rStyle w:val="ng-star-inserted"/>
          <w:color w:val="1F1F1F"/>
          <w:sz w:val="27"/>
          <w:szCs w:val="27"/>
        </w:rPr>
        <w:t>Additionally, we defined the four likelihood levels using specific percentage ranges rather than vague terms like "likely" or "unlikely." This helped bring more consistency to how probability was assessed across different teams and risk types.</w:t>
      </w:r>
    </w:p>
    <w:p w14:paraId="0BF3769F" w14:textId="77777777" w:rsidR="003165FC" w:rsidRDefault="003165FC" w:rsidP="003165FC">
      <w:pPr>
        <w:rPr>
          <w:color w:val="1F1F1F"/>
          <w:sz w:val="27"/>
          <w:szCs w:val="27"/>
        </w:rPr>
      </w:pPr>
      <w:r>
        <w:rPr>
          <w:rStyle w:val="ng-star-inserted"/>
          <w:color w:val="1F1F1F"/>
          <w:sz w:val="27"/>
          <w:szCs w:val="27"/>
        </w:rPr>
        <w:lastRenderedPageBreak/>
        <w:t>These enhancements brought more rigor to the qualitative assessments and temporarily satisfied the organization's need for greater precision.</w:t>
      </w:r>
    </w:p>
    <w:p w14:paraId="161A7460" w14:textId="77777777" w:rsidR="003165FC" w:rsidRDefault="003165FC" w:rsidP="003165FC">
      <w:pPr>
        <w:rPr>
          <w:color w:val="1F1F1F"/>
          <w:sz w:val="27"/>
          <w:szCs w:val="27"/>
        </w:rPr>
      </w:pPr>
      <w:r>
        <w:rPr>
          <w:rStyle w:val="ng-star-inserted"/>
          <w:color w:val="1F1F1F"/>
          <w:sz w:val="27"/>
          <w:szCs w:val="27"/>
        </w:rPr>
        <w:t>## Hitting the Ceiling with Enhanced Qualitative Approaches</w:t>
      </w:r>
    </w:p>
    <w:p w14:paraId="0FEF4CB6" w14:textId="77777777" w:rsidR="003165FC" w:rsidRDefault="003165FC" w:rsidP="003165FC">
      <w:pPr>
        <w:rPr>
          <w:color w:val="1F1F1F"/>
          <w:sz w:val="27"/>
          <w:szCs w:val="27"/>
        </w:rPr>
      </w:pPr>
      <w:r>
        <w:rPr>
          <w:rStyle w:val="ng-star-inserted"/>
          <w:color w:val="1F1F1F"/>
          <w:sz w:val="27"/>
          <w:szCs w:val="27"/>
        </w:rPr>
        <w:t>The improved qualitative framework served Client X well for about 3-4 months. However, as the risk management function matured and leadership became more sophisticated in their understanding of risk, new limitations emerged.</w:t>
      </w:r>
    </w:p>
    <w:p w14:paraId="6A5EA0AE" w14:textId="77777777" w:rsidR="003165FC" w:rsidRDefault="003165FC" w:rsidP="003165FC">
      <w:pPr>
        <w:rPr>
          <w:color w:val="1F1F1F"/>
          <w:sz w:val="27"/>
          <w:szCs w:val="27"/>
        </w:rPr>
      </w:pPr>
      <w:r>
        <w:rPr>
          <w:rStyle w:val="ng-star-inserted"/>
          <w:color w:val="1F1F1F"/>
          <w:sz w:val="27"/>
          <w:szCs w:val="27"/>
        </w:rPr>
        <w:t>The risk committee and executive team began asking questions that the qualitative approach simply couldn't answer:</w:t>
      </w:r>
    </w:p>
    <w:p w14:paraId="4B4726C0" w14:textId="77777777" w:rsidR="003165FC" w:rsidRDefault="003165FC" w:rsidP="003165FC">
      <w:pPr>
        <w:rPr>
          <w:color w:val="1F1F1F"/>
          <w:sz w:val="27"/>
          <w:szCs w:val="27"/>
        </w:rPr>
      </w:pPr>
      <w:r>
        <w:rPr>
          <w:rStyle w:val="ng-star-inserted"/>
          <w:color w:val="1F1F1F"/>
          <w:sz w:val="27"/>
          <w:szCs w:val="27"/>
        </w:rPr>
        <w:t>- "What is our aggregate risk exposure across the organization?"</w:t>
      </w:r>
    </w:p>
    <w:p w14:paraId="03A6710A" w14:textId="77777777" w:rsidR="003165FC" w:rsidRDefault="003165FC" w:rsidP="003165FC">
      <w:pPr>
        <w:rPr>
          <w:color w:val="1F1F1F"/>
          <w:sz w:val="27"/>
          <w:szCs w:val="27"/>
        </w:rPr>
      </w:pPr>
      <w:r>
        <w:rPr>
          <w:rStyle w:val="ng-star-inserted"/>
          <w:color w:val="1F1F1F"/>
          <w:sz w:val="27"/>
          <w:szCs w:val="27"/>
        </w:rPr>
        <w:t>- "How should we prioritize our limited risk mitigation budget?"</w:t>
      </w:r>
    </w:p>
    <w:p w14:paraId="234B4595" w14:textId="77777777" w:rsidR="003165FC" w:rsidRDefault="003165FC" w:rsidP="003165FC">
      <w:pPr>
        <w:rPr>
          <w:color w:val="1F1F1F"/>
          <w:sz w:val="27"/>
          <w:szCs w:val="27"/>
        </w:rPr>
      </w:pPr>
      <w:r>
        <w:rPr>
          <w:rStyle w:val="ng-star-inserted"/>
          <w:color w:val="1F1F1F"/>
          <w:sz w:val="27"/>
          <w:szCs w:val="27"/>
        </w:rPr>
        <w:t>- "What is the expected financial impact of this risk over the next year?"</w:t>
      </w:r>
    </w:p>
    <w:p w14:paraId="19B91A68" w14:textId="77777777" w:rsidR="003165FC" w:rsidRDefault="003165FC" w:rsidP="003165FC">
      <w:pPr>
        <w:rPr>
          <w:color w:val="1F1F1F"/>
          <w:sz w:val="27"/>
          <w:szCs w:val="27"/>
        </w:rPr>
      </w:pPr>
      <w:r>
        <w:rPr>
          <w:rStyle w:val="ng-star-inserted"/>
          <w:color w:val="1F1F1F"/>
          <w:sz w:val="27"/>
          <w:szCs w:val="27"/>
        </w:rPr>
        <w:t>- "How much has our risk position improved after implementing these controls?"</w:t>
      </w:r>
    </w:p>
    <w:p w14:paraId="6D36C0E0" w14:textId="77777777" w:rsidR="003165FC" w:rsidRDefault="003165FC" w:rsidP="003165FC">
      <w:pPr>
        <w:rPr>
          <w:color w:val="1F1F1F"/>
          <w:sz w:val="27"/>
          <w:szCs w:val="27"/>
        </w:rPr>
      </w:pPr>
      <w:r>
        <w:rPr>
          <w:rStyle w:val="ng-star-inserted"/>
          <w:color w:val="1F1F1F"/>
          <w:sz w:val="27"/>
          <w:szCs w:val="27"/>
        </w:rPr>
        <w:t>These questions required a level of precision and mathematical rigor that qualitative assessments, even enhanced ones, fundamentally cannot provide. As one risk manager at Client X put it, "We've reached the ceiling of what we can do with colored boxes on a heat map."</w:t>
      </w:r>
    </w:p>
    <w:p w14:paraId="68923AF2" w14:textId="77777777" w:rsidR="003165FC" w:rsidRDefault="003165FC" w:rsidP="003165FC">
      <w:pPr>
        <w:rPr>
          <w:color w:val="1F1F1F"/>
          <w:sz w:val="27"/>
          <w:szCs w:val="27"/>
        </w:rPr>
      </w:pPr>
      <w:r>
        <w:rPr>
          <w:rStyle w:val="ng-star-inserted"/>
          <w:color w:val="1F1F1F"/>
          <w:sz w:val="27"/>
          <w:szCs w:val="27"/>
        </w:rPr>
        <w:t>## The Quantitative Proof of Concept</w:t>
      </w:r>
    </w:p>
    <w:p w14:paraId="4CEC5391" w14:textId="77777777" w:rsidR="003165FC" w:rsidRDefault="003165FC" w:rsidP="003165FC">
      <w:pPr>
        <w:rPr>
          <w:color w:val="1F1F1F"/>
          <w:sz w:val="27"/>
          <w:szCs w:val="27"/>
        </w:rPr>
      </w:pPr>
      <w:r>
        <w:rPr>
          <w:rStyle w:val="ng-star-inserted"/>
          <w:color w:val="1F1F1F"/>
          <w:sz w:val="27"/>
          <w:szCs w:val="27"/>
        </w:rPr>
        <w:t>In response to these growing needs, we proposed a proof of concept: taking the existing qualitative data and processing it through a custom quantitative risk analysis engine. The goal was to demonstrate the additional insights that could be gained from a more quantitative approach.</w:t>
      </w:r>
    </w:p>
    <w:p w14:paraId="214ED2F8" w14:textId="77777777" w:rsidR="003165FC" w:rsidRDefault="003165FC" w:rsidP="003165FC">
      <w:pPr>
        <w:rPr>
          <w:color w:val="1F1F1F"/>
          <w:sz w:val="27"/>
          <w:szCs w:val="27"/>
        </w:rPr>
      </w:pPr>
      <w:r>
        <w:rPr>
          <w:rStyle w:val="ng-star-inserted"/>
          <w:color w:val="1F1F1F"/>
          <w:sz w:val="27"/>
          <w:szCs w:val="27"/>
        </w:rPr>
        <w:lastRenderedPageBreak/>
        <w:t>For the proof of concept, we translated the qualitative ratings into estimated probability distributions and monetary values. Using Monte Carlo simulation techniques, we were able to:</w:t>
      </w:r>
    </w:p>
    <w:p w14:paraId="68004025" w14:textId="77777777" w:rsidR="003165FC" w:rsidRDefault="003165FC" w:rsidP="003165FC">
      <w:pPr>
        <w:rPr>
          <w:color w:val="1F1F1F"/>
          <w:sz w:val="27"/>
          <w:szCs w:val="27"/>
        </w:rPr>
      </w:pPr>
      <w:r>
        <w:rPr>
          <w:rStyle w:val="ng-star-inserted"/>
          <w:color w:val="1F1F1F"/>
          <w:sz w:val="27"/>
          <w:szCs w:val="27"/>
        </w:rPr>
        <w:t>- Generate probability distributions for potential losses from each risk</w:t>
      </w:r>
    </w:p>
    <w:p w14:paraId="6CA9B34A" w14:textId="77777777" w:rsidR="003165FC" w:rsidRDefault="003165FC" w:rsidP="003165FC">
      <w:pPr>
        <w:rPr>
          <w:color w:val="1F1F1F"/>
          <w:sz w:val="27"/>
          <w:szCs w:val="27"/>
        </w:rPr>
      </w:pPr>
      <w:r>
        <w:rPr>
          <w:rStyle w:val="ng-star-inserted"/>
          <w:color w:val="1F1F1F"/>
          <w:sz w:val="27"/>
          <w:szCs w:val="27"/>
        </w:rPr>
        <w:t>- Calculate aggregate risk exposure across portfolios of risks</w:t>
      </w:r>
    </w:p>
    <w:p w14:paraId="455014A5" w14:textId="77777777" w:rsidR="003165FC" w:rsidRDefault="003165FC" w:rsidP="003165FC">
      <w:pPr>
        <w:rPr>
          <w:color w:val="1F1F1F"/>
          <w:sz w:val="27"/>
          <w:szCs w:val="27"/>
        </w:rPr>
      </w:pPr>
      <w:r>
        <w:rPr>
          <w:rStyle w:val="ng-star-inserted"/>
          <w:color w:val="1F1F1F"/>
          <w:sz w:val="27"/>
          <w:szCs w:val="27"/>
        </w:rPr>
        <w:t>- Quantify the value of risk reduction from proposed controls</w:t>
      </w:r>
    </w:p>
    <w:p w14:paraId="2C34D409" w14:textId="77777777" w:rsidR="003165FC" w:rsidRDefault="003165FC" w:rsidP="003165FC">
      <w:pPr>
        <w:rPr>
          <w:color w:val="1F1F1F"/>
          <w:sz w:val="27"/>
          <w:szCs w:val="27"/>
        </w:rPr>
      </w:pPr>
      <w:r>
        <w:rPr>
          <w:rStyle w:val="ng-star-inserted"/>
          <w:color w:val="1F1F1F"/>
          <w:sz w:val="27"/>
          <w:szCs w:val="27"/>
        </w:rPr>
        <w:t>- Provide clearer comparisons between dissimilar risks</w:t>
      </w:r>
    </w:p>
    <w:p w14:paraId="01B72BCC" w14:textId="77777777" w:rsidR="003165FC" w:rsidRDefault="003165FC" w:rsidP="003165FC">
      <w:pPr>
        <w:rPr>
          <w:color w:val="1F1F1F"/>
          <w:sz w:val="27"/>
          <w:szCs w:val="27"/>
        </w:rPr>
      </w:pPr>
      <w:r>
        <w:rPr>
          <w:rStyle w:val="ng-star-inserted"/>
          <w:color w:val="1F1F1F"/>
          <w:sz w:val="27"/>
          <w:szCs w:val="27"/>
        </w:rPr>
        <w:t>The results were eye-opening for Client X's leadership. Suddenly, they could see not just which risks were "high" or "medium," but the actual probability of experiencing losses exceeding specific dollar thresholds. They could understand the full range of potential outcomes, not just the most likely scenario.</w:t>
      </w:r>
    </w:p>
    <w:p w14:paraId="6B17F25F" w14:textId="77777777" w:rsidR="003165FC" w:rsidRDefault="003165FC" w:rsidP="003165FC">
      <w:pPr>
        <w:rPr>
          <w:color w:val="1F1F1F"/>
          <w:sz w:val="27"/>
          <w:szCs w:val="27"/>
        </w:rPr>
      </w:pPr>
      <w:r>
        <w:rPr>
          <w:rStyle w:val="ng-star-inserted"/>
          <w:color w:val="1F1F1F"/>
          <w:sz w:val="27"/>
          <w:szCs w:val="27"/>
        </w:rPr>
        <w:t>A risk that had been classified as "medium" in the qualitative assessment was revealed to have a small but significant probability of catastrophic impact—something that had been obscured in the simpler framework. Conversely, some "high" risks were shown to have more manageable financial implications than previously assumed.</w:t>
      </w:r>
    </w:p>
    <w:p w14:paraId="10BA0860" w14:textId="77777777" w:rsidR="003165FC" w:rsidRDefault="003165FC" w:rsidP="003165FC">
      <w:pPr>
        <w:rPr>
          <w:color w:val="1F1F1F"/>
          <w:sz w:val="27"/>
          <w:szCs w:val="27"/>
        </w:rPr>
      </w:pPr>
      <w:r>
        <w:rPr>
          <w:rStyle w:val="ng-star-inserted"/>
          <w:color w:val="1F1F1F"/>
          <w:sz w:val="27"/>
          <w:szCs w:val="27"/>
        </w:rPr>
        <w:t>## Moving Forward with Quantitative Risk Analysis</w:t>
      </w:r>
    </w:p>
    <w:p w14:paraId="4BDFF79B" w14:textId="77777777" w:rsidR="003165FC" w:rsidRDefault="003165FC" w:rsidP="003165FC">
      <w:pPr>
        <w:rPr>
          <w:color w:val="1F1F1F"/>
          <w:sz w:val="27"/>
          <w:szCs w:val="27"/>
        </w:rPr>
      </w:pPr>
      <w:r>
        <w:rPr>
          <w:rStyle w:val="ng-star-inserted"/>
          <w:color w:val="1F1F1F"/>
          <w:sz w:val="27"/>
          <w:szCs w:val="27"/>
        </w:rPr>
        <w:t>The proof of concept was so well-received that Client X has now decided to transition to a quantitative risk analysis approach for their enterprise risk management program.</w:t>
      </w:r>
    </w:p>
    <w:p w14:paraId="6A2AE001" w14:textId="77777777" w:rsidR="003165FC" w:rsidRDefault="003165FC" w:rsidP="003165FC">
      <w:pPr>
        <w:rPr>
          <w:color w:val="1F1F1F"/>
          <w:sz w:val="27"/>
          <w:szCs w:val="27"/>
        </w:rPr>
      </w:pPr>
      <w:r>
        <w:rPr>
          <w:rStyle w:val="ng-star-inserted"/>
          <w:color w:val="1F1F1F"/>
          <w:sz w:val="27"/>
          <w:szCs w:val="27"/>
        </w:rPr>
        <w:t>This transition involves several key elements:</w:t>
      </w:r>
    </w:p>
    <w:p w14:paraId="09E07962" w14:textId="77777777" w:rsidR="003165FC" w:rsidRDefault="003165FC" w:rsidP="003165FC">
      <w:pPr>
        <w:rPr>
          <w:color w:val="1F1F1F"/>
          <w:sz w:val="27"/>
          <w:szCs w:val="27"/>
        </w:rPr>
      </w:pPr>
      <w:r>
        <w:rPr>
          <w:rStyle w:val="ng-star-inserted"/>
          <w:color w:val="1F1F1F"/>
          <w:sz w:val="27"/>
          <w:szCs w:val="27"/>
        </w:rPr>
        <w:t>- Training risk owners and assessors in probabilistic thinking</w:t>
      </w:r>
    </w:p>
    <w:p w14:paraId="039D511D" w14:textId="77777777" w:rsidR="003165FC" w:rsidRDefault="003165FC" w:rsidP="003165FC">
      <w:pPr>
        <w:rPr>
          <w:color w:val="1F1F1F"/>
          <w:sz w:val="27"/>
          <w:szCs w:val="27"/>
        </w:rPr>
      </w:pPr>
      <w:r>
        <w:rPr>
          <w:rStyle w:val="ng-star-inserted"/>
          <w:color w:val="1F1F1F"/>
          <w:sz w:val="27"/>
          <w:szCs w:val="27"/>
        </w:rPr>
        <w:t>- Developing more sophisticated models for various risk categories</w:t>
      </w:r>
    </w:p>
    <w:p w14:paraId="453D74F7" w14:textId="77777777" w:rsidR="003165FC" w:rsidRDefault="003165FC" w:rsidP="003165FC">
      <w:pPr>
        <w:rPr>
          <w:color w:val="1F1F1F"/>
          <w:sz w:val="27"/>
          <w:szCs w:val="27"/>
        </w:rPr>
      </w:pPr>
      <w:r>
        <w:rPr>
          <w:rStyle w:val="ng-star-inserted"/>
          <w:color w:val="1F1F1F"/>
          <w:sz w:val="27"/>
          <w:szCs w:val="27"/>
        </w:rPr>
        <w:lastRenderedPageBreak/>
        <w:t>- Collecting more detailed data to feed into the quantitative models</w:t>
      </w:r>
    </w:p>
    <w:p w14:paraId="61BD00BE" w14:textId="77777777" w:rsidR="003165FC" w:rsidRDefault="003165FC" w:rsidP="003165FC">
      <w:pPr>
        <w:rPr>
          <w:color w:val="1F1F1F"/>
          <w:sz w:val="27"/>
          <w:szCs w:val="27"/>
        </w:rPr>
      </w:pPr>
      <w:r>
        <w:rPr>
          <w:rStyle w:val="ng-star-inserted"/>
          <w:color w:val="1F1F1F"/>
          <w:sz w:val="27"/>
          <w:szCs w:val="27"/>
        </w:rPr>
        <w:t>- Creating new reporting dashboards that leverage the richer quantitative outputs</w:t>
      </w:r>
    </w:p>
    <w:p w14:paraId="2AD27123" w14:textId="77777777" w:rsidR="003165FC" w:rsidRDefault="003165FC" w:rsidP="003165FC">
      <w:pPr>
        <w:rPr>
          <w:color w:val="1F1F1F"/>
          <w:sz w:val="27"/>
          <w:szCs w:val="27"/>
        </w:rPr>
      </w:pPr>
      <w:r>
        <w:rPr>
          <w:rStyle w:val="ng-star-inserted"/>
          <w:color w:val="1F1F1F"/>
          <w:sz w:val="27"/>
          <w:szCs w:val="27"/>
        </w:rPr>
        <w:t>While this approach requires more investment in tools and training, Client X sees clear benefits in the improved decision-making capability it provides. Rather than simply saying "this risk is high," they can now make statements like "this risk has a 5% chance of exceeding $2 million in losses in the next year, with an expected value of $300,000."</w:t>
      </w:r>
    </w:p>
    <w:p w14:paraId="664B05B5" w14:textId="77777777" w:rsidR="003165FC" w:rsidRDefault="003165FC" w:rsidP="003165FC">
      <w:pPr>
        <w:rPr>
          <w:color w:val="1F1F1F"/>
          <w:sz w:val="27"/>
          <w:szCs w:val="27"/>
        </w:rPr>
      </w:pPr>
      <w:r>
        <w:rPr>
          <w:rStyle w:val="ng-star-inserted"/>
          <w:color w:val="1F1F1F"/>
          <w:sz w:val="27"/>
          <w:szCs w:val="27"/>
        </w:rPr>
        <w:t>## Lessons Learned on the Journey</w:t>
      </w:r>
    </w:p>
    <w:p w14:paraId="6726E138" w14:textId="77777777" w:rsidR="003165FC" w:rsidRDefault="003165FC" w:rsidP="003165FC">
      <w:pPr>
        <w:rPr>
          <w:color w:val="1F1F1F"/>
          <w:sz w:val="27"/>
          <w:szCs w:val="27"/>
        </w:rPr>
      </w:pPr>
      <w:r>
        <w:rPr>
          <w:rStyle w:val="ng-star-inserted"/>
          <w:color w:val="1F1F1F"/>
          <w:sz w:val="27"/>
          <w:szCs w:val="27"/>
        </w:rPr>
        <w:t>Client X's evolution from basic qualitative to sophisticated quantitative risk assessment offers several valuable lessons:</w:t>
      </w:r>
    </w:p>
    <w:p w14:paraId="599B13D5" w14:textId="77777777" w:rsidR="003165FC" w:rsidRDefault="003165FC" w:rsidP="003165FC">
      <w:pPr>
        <w:rPr>
          <w:color w:val="1F1F1F"/>
          <w:sz w:val="27"/>
          <w:szCs w:val="27"/>
        </w:rPr>
      </w:pPr>
      <w:r>
        <w:rPr>
          <w:rStyle w:val="ng-star-inserted"/>
          <w:color w:val="1F1F1F"/>
          <w:sz w:val="27"/>
          <w:szCs w:val="27"/>
        </w:rPr>
        <w:t>1. **Start where you are**: Their initial qualitative approach wasn't wrong—it was appropriate for their level of risk management maturity at the time.</w:t>
      </w:r>
    </w:p>
    <w:p w14:paraId="2D54C133" w14:textId="77777777" w:rsidR="003165FC" w:rsidRDefault="003165FC" w:rsidP="003165FC">
      <w:pPr>
        <w:rPr>
          <w:color w:val="1F1F1F"/>
          <w:sz w:val="27"/>
          <w:szCs w:val="27"/>
        </w:rPr>
      </w:pPr>
      <w:r>
        <w:rPr>
          <w:rStyle w:val="ng-star-inserted"/>
          <w:color w:val="1F1F1F"/>
          <w:sz w:val="27"/>
          <w:szCs w:val="27"/>
        </w:rPr>
        <w:t>2. **Evolve with your organization's needs**: As Client X's risk management capabilities grew, so did their need for more sophisticated analysis.</w:t>
      </w:r>
    </w:p>
    <w:p w14:paraId="27848DCE" w14:textId="77777777" w:rsidR="003165FC" w:rsidRDefault="003165FC" w:rsidP="003165FC">
      <w:pPr>
        <w:rPr>
          <w:color w:val="1F1F1F"/>
          <w:sz w:val="27"/>
          <w:szCs w:val="27"/>
        </w:rPr>
      </w:pPr>
      <w:r>
        <w:rPr>
          <w:rStyle w:val="ng-star-inserted"/>
          <w:color w:val="1F1F1F"/>
          <w:sz w:val="27"/>
          <w:szCs w:val="27"/>
        </w:rPr>
        <w:t>3. **Build on what you have**: The enhanced qualitative framework served as a stepping stone and provided useful data that could be leveraged in the proof of concept.</w:t>
      </w:r>
    </w:p>
    <w:p w14:paraId="2340EE3B" w14:textId="77777777" w:rsidR="003165FC" w:rsidRDefault="003165FC" w:rsidP="003165FC">
      <w:pPr>
        <w:rPr>
          <w:color w:val="1F1F1F"/>
          <w:sz w:val="27"/>
          <w:szCs w:val="27"/>
        </w:rPr>
      </w:pPr>
      <w:r>
        <w:rPr>
          <w:rStyle w:val="ng-star-inserted"/>
          <w:color w:val="1F1F1F"/>
          <w:sz w:val="27"/>
          <w:szCs w:val="27"/>
        </w:rPr>
        <w:t>4. **Demonstrate value incrementally**: The proof of concept allowed stakeholders to see the benefits of quantitative analysis before committing to a full implementation.</w:t>
      </w:r>
    </w:p>
    <w:p w14:paraId="0D001179" w14:textId="77777777" w:rsidR="003165FC" w:rsidRDefault="003165FC" w:rsidP="003165FC">
      <w:pPr>
        <w:rPr>
          <w:color w:val="1F1F1F"/>
          <w:sz w:val="27"/>
          <w:szCs w:val="27"/>
        </w:rPr>
      </w:pPr>
      <w:r>
        <w:rPr>
          <w:rStyle w:val="ng-star-inserted"/>
          <w:color w:val="1F1F1F"/>
          <w:sz w:val="27"/>
          <w:szCs w:val="27"/>
        </w:rPr>
        <w:t xml:space="preserve">5. **Maintain accessibility**: Even as they move to more sophisticated quantitative methods, Client X is careful to ensure </w:t>
      </w:r>
      <w:r>
        <w:rPr>
          <w:rStyle w:val="ng-star-inserted"/>
          <w:color w:val="1F1F1F"/>
          <w:sz w:val="27"/>
          <w:szCs w:val="27"/>
        </w:rPr>
        <w:lastRenderedPageBreak/>
        <w:t>outputs remain understandable to stakeholders throughout the organization.</w:t>
      </w:r>
    </w:p>
    <w:p w14:paraId="56AAFFBC" w14:textId="77777777" w:rsidR="003165FC" w:rsidRDefault="003165FC" w:rsidP="003165FC">
      <w:pPr>
        <w:rPr>
          <w:color w:val="1F1F1F"/>
          <w:sz w:val="27"/>
          <w:szCs w:val="27"/>
        </w:rPr>
      </w:pPr>
      <w:r>
        <w:rPr>
          <w:rStyle w:val="ng-star-inserted"/>
          <w:color w:val="1F1F1F"/>
          <w:sz w:val="27"/>
          <w:szCs w:val="27"/>
        </w:rPr>
        <w:t>The journey from qualitative to quantitative risk assessment isn't necessarily one every organization needs to take. However, for organizations like Client X that need to make complex risk-based decisions involving significant resources, quantitative approaches offer a level of insight that qualitative methods simply cannot match.</w:t>
      </w:r>
    </w:p>
    <w:p w14:paraId="18739F93" w14:textId="7BC9A040" w:rsidR="002A2383" w:rsidRPr="002A2383" w:rsidRDefault="003165FC" w:rsidP="00B61057">
      <w:pPr>
        <w:rPr>
          <w:lang w:val="en-US"/>
        </w:rPr>
      </w:pPr>
      <w:r>
        <w:rPr>
          <w:rStyle w:val="ng-star-inserted"/>
          <w:color w:val="1F1F1F"/>
          <w:sz w:val="27"/>
          <w:szCs w:val="27"/>
        </w:rPr>
        <w:t>As Client X continues to mature their quantitative risk management capabilities, we're excited to help them unlock even greater value from their risk assessment data, ultimately leading to better-informed strategic decisions and more effective use of resources across the enterprise.</w:t>
      </w:r>
    </w:p>
    <w:bookmarkEnd w:id="0"/>
    <w:bookmarkEnd w:id="1"/>
    <w:bookmarkEnd w:id="2"/>
    <w:bookmarkEnd w:id="21"/>
    <w:p w14:paraId="682E6750" w14:textId="77777777" w:rsidR="00763DF9" w:rsidRPr="00763DF9" w:rsidRDefault="00763DF9" w:rsidP="00763DF9"/>
    <w:sectPr w:rsidR="00763DF9" w:rsidRPr="00763DF9" w:rsidSect="00E66F25">
      <w:headerReference w:type="default" r:id="rId11"/>
      <w:footerReference w:type="default" r:id="rId12"/>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F0999" w14:textId="77777777" w:rsidR="00326A09" w:rsidRDefault="00326A09" w:rsidP="001D530A">
      <w:pPr>
        <w:spacing w:after="0" w:line="240" w:lineRule="auto"/>
      </w:pPr>
      <w:r>
        <w:separator/>
      </w:r>
    </w:p>
  </w:endnote>
  <w:endnote w:type="continuationSeparator" w:id="0">
    <w:p w14:paraId="6469D948" w14:textId="77777777" w:rsidR="00326A09" w:rsidRDefault="00326A09" w:rsidP="001D5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066872"/>
      <w:docPartObj>
        <w:docPartGallery w:val="Page Numbers (Bottom of Page)"/>
        <w:docPartUnique/>
      </w:docPartObj>
    </w:sdtPr>
    <w:sdtEndPr>
      <w:rPr>
        <w:noProof/>
      </w:rPr>
    </w:sdtEndPr>
    <w:sdtContent>
      <w:p w14:paraId="4AC8E17A" w14:textId="66F251E3" w:rsidR="00D64383" w:rsidRDefault="00D64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72CE81" w14:textId="3F2FA5DE" w:rsidR="00B67B4F" w:rsidRPr="00DC2B66" w:rsidRDefault="00B67B4F" w:rsidP="00DC2B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6D4D" w14:textId="77777777" w:rsidR="00326A09" w:rsidRDefault="00326A09" w:rsidP="001D530A">
      <w:pPr>
        <w:spacing w:after="0" w:line="240" w:lineRule="auto"/>
      </w:pPr>
      <w:r>
        <w:separator/>
      </w:r>
    </w:p>
  </w:footnote>
  <w:footnote w:type="continuationSeparator" w:id="0">
    <w:p w14:paraId="3A939EF6" w14:textId="77777777" w:rsidR="00326A09" w:rsidRDefault="00326A09" w:rsidP="001D5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5CF9" w14:textId="1941254B" w:rsidR="00325497" w:rsidRDefault="006D6089">
    <w:pPr>
      <w:pStyle w:val="Header"/>
    </w:pPr>
    <w:r>
      <w:rPr>
        <w:noProof/>
      </w:rPr>
      <w:drawing>
        <wp:inline distT="0" distB="0" distL="0" distR="0" wp14:anchorId="73406B4F" wp14:editId="1512908F">
          <wp:extent cx="2520000" cy="281995"/>
          <wp:effectExtent l="0" t="0" r="0" b="3810"/>
          <wp:docPr id="17394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17323" name="Picture 1739417323"/>
                  <pic:cNvPicPr/>
                </pic:nvPicPr>
                <pic:blipFill>
                  <a:blip r:embed="rId1">
                    <a:extLst>
                      <a:ext uri="{28A0092B-C50C-407E-A947-70E740481C1C}">
                        <a14:useLocalDpi xmlns:a14="http://schemas.microsoft.com/office/drawing/2010/main" val="0"/>
                      </a:ext>
                    </a:extLst>
                  </a:blip>
                  <a:stretch>
                    <a:fillRect/>
                  </a:stretch>
                </pic:blipFill>
                <pic:spPr>
                  <a:xfrm>
                    <a:off x="0" y="0"/>
                    <a:ext cx="2520000" cy="2819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4026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BE31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5A666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8561F9"/>
    <w:multiLevelType w:val="multilevel"/>
    <w:tmpl w:val="900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0403D"/>
    <w:multiLevelType w:val="multilevel"/>
    <w:tmpl w:val="5B4E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5230628"/>
    <w:multiLevelType w:val="multilevel"/>
    <w:tmpl w:val="CF2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428DC"/>
    <w:multiLevelType w:val="hybridMultilevel"/>
    <w:tmpl w:val="52725D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C93738"/>
    <w:multiLevelType w:val="multilevel"/>
    <w:tmpl w:val="254E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37A70"/>
    <w:multiLevelType w:val="multilevel"/>
    <w:tmpl w:val="DD4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05B03"/>
    <w:multiLevelType w:val="multilevel"/>
    <w:tmpl w:val="70F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E309D"/>
    <w:multiLevelType w:val="multilevel"/>
    <w:tmpl w:val="457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D58F2"/>
    <w:multiLevelType w:val="multilevel"/>
    <w:tmpl w:val="19E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B3505"/>
    <w:multiLevelType w:val="hybridMultilevel"/>
    <w:tmpl w:val="9022F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12676A0"/>
    <w:multiLevelType w:val="hybridMultilevel"/>
    <w:tmpl w:val="52FE5BE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382DB1"/>
    <w:multiLevelType w:val="hybridMultilevel"/>
    <w:tmpl w:val="3CD4E6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597996"/>
    <w:multiLevelType w:val="hybridMultilevel"/>
    <w:tmpl w:val="7AF68B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866461"/>
    <w:multiLevelType w:val="hybridMultilevel"/>
    <w:tmpl w:val="31B2D81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EB1B58"/>
    <w:multiLevelType w:val="multilevel"/>
    <w:tmpl w:val="8B9A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B0E1D"/>
    <w:multiLevelType w:val="multilevel"/>
    <w:tmpl w:val="2EA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078639">
    <w:abstractNumId w:val="5"/>
  </w:num>
  <w:num w:numId="2" w16cid:durableId="1079519246">
    <w:abstractNumId w:val="17"/>
  </w:num>
  <w:num w:numId="3" w16cid:durableId="1263879117">
    <w:abstractNumId w:val="13"/>
  </w:num>
  <w:num w:numId="4" w16cid:durableId="1877615099">
    <w:abstractNumId w:val="14"/>
  </w:num>
  <w:num w:numId="5" w16cid:durableId="1722174840">
    <w:abstractNumId w:val="7"/>
  </w:num>
  <w:num w:numId="6" w16cid:durableId="1080298622">
    <w:abstractNumId w:val="16"/>
  </w:num>
  <w:num w:numId="7" w16cid:durableId="1673147430">
    <w:abstractNumId w:val="15"/>
  </w:num>
  <w:num w:numId="8" w16cid:durableId="720400842">
    <w:abstractNumId w:val="19"/>
  </w:num>
  <w:num w:numId="9" w16cid:durableId="1987927681">
    <w:abstractNumId w:val="6"/>
  </w:num>
  <w:num w:numId="10" w16cid:durableId="1957564477">
    <w:abstractNumId w:val="11"/>
  </w:num>
  <w:num w:numId="11" w16cid:durableId="717125659">
    <w:abstractNumId w:val="8"/>
  </w:num>
  <w:num w:numId="12" w16cid:durableId="1803964022">
    <w:abstractNumId w:val="18"/>
  </w:num>
  <w:num w:numId="13" w16cid:durableId="2012642707">
    <w:abstractNumId w:val="12"/>
  </w:num>
  <w:num w:numId="14" w16cid:durableId="1092315289">
    <w:abstractNumId w:val="9"/>
  </w:num>
  <w:num w:numId="15" w16cid:durableId="342898108">
    <w:abstractNumId w:val="4"/>
  </w:num>
  <w:num w:numId="16" w16cid:durableId="263004048">
    <w:abstractNumId w:val="10"/>
  </w:num>
  <w:num w:numId="17" w16cid:durableId="1031612082">
    <w:abstractNumId w:val="3"/>
  </w:num>
  <w:num w:numId="18" w16cid:durableId="179896629">
    <w:abstractNumId w:val="0"/>
  </w:num>
  <w:num w:numId="19" w16cid:durableId="928662149">
    <w:abstractNumId w:val="1"/>
  </w:num>
  <w:num w:numId="20" w16cid:durableId="392119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30A"/>
    <w:rsid w:val="000031EA"/>
    <w:rsid w:val="00024336"/>
    <w:rsid w:val="00065207"/>
    <w:rsid w:val="000813D2"/>
    <w:rsid w:val="000E5046"/>
    <w:rsid w:val="00116802"/>
    <w:rsid w:val="00125D24"/>
    <w:rsid w:val="00127D30"/>
    <w:rsid w:val="00131891"/>
    <w:rsid w:val="00133B3F"/>
    <w:rsid w:val="00136AA6"/>
    <w:rsid w:val="00142BCB"/>
    <w:rsid w:val="00175006"/>
    <w:rsid w:val="001A4F71"/>
    <w:rsid w:val="001A6226"/>
    <w:rsid w:val="001D0387"/>
    <w:rsid w:val="001D530A"/>
    <w:rsid w:val="001E36A4"/>
    <w:rsid w:val="001E3F7A"/>
    <w:rsid w:val="001F327B"/>
    <w:rsid w:val="002064A8"/>
    <w:rsid w:val="00221F25"/>
    <w:rsid w:val="00240B5C"/>
    <w:rsid w:val="00273774"/>
    <w:rsid w:val="0027602E"/>
    <w:rsid w:val="002930C5"/>
    <w:rsid w:val="002A2383"/>
    <w:rsid w:val="002A78EB"/>
    <w:rsid w:val="002B16CB"/>
    <w:rsid w:val="00305E73"/>
    <w:rsid w:val="003074DF"/>
    <w:rsid w:val="003165FC"/>
    <w:rsid w:val="00325497"/>
    <w:rsid w:val="003257BC"/>
    <w:rsid w:val="00326A09"/>
    <w:rsid w:val="00342E0C"/>
    <w:rsid w:val="00375DD0"/>
    <w:rsid w:val="00382DA0"/>
    <w:rsid w:val="0039536C"/>
    <w:rsid w:val="003A73DB"/>
    <w:rsid w:val="003B289C"/>
    <w:rsid w:val="003D0C48"/>
    <w:rsid w:val="003D415B"/>
    <w:rsid w:val="003F59F1"/>
    <w:rsid w:val="00402E9B"/>
    <w:rsid w:val="00427DF5"/>
    <w:rsid w:val="00434F71"/>
    <w:rsid w:val="00440EB2"/>
    <w:rsid w:val="004413E7"/>
    <w:rsid w:val="0044408F"/>
    <w:rsid w:val="00457C87"/>
    <w:rsid w:val="00463DF7"/>
    <w:rsid w:val="00465A97"/>
    <w:rsid w:val="004731CA"/>
    <w:rsid w:val="004A50B4"/>
    <w:rsid w:val="004D5E04"/>
    <w:rsid w:val="004D7286"/>
    <w:rsid w:val="00505C6C"/>
    <w:rsid w:val="00506115"/>
    <w:rsid w:val="00525163"/>
    <w:rsid w:val="00546902"/>
    <w:rsid w:val="0059287B"/>
    <w:rsid w:val="005A742C"/>
    <w:rsid w:val="005B43FA"/>
    <w:rsid w:val="005B7AC6"/>
    <w:rsid w:val="005D18D4"/>
    <w:rsid w:val="00602310"/>
    <w:rsid w:val="00613EA4"/>
    <w:rsid w:val="00676D7A"/>
    <w:rsid w:val="006907CD"/>
    <w:rsid w:val="00697B10"/>
    <w:rsid w:val="006D05AF"/>
    <w:rsid w:val="006D6089"/>
    <w:rsid w:val="006F01C3"/>
    <w:rsid w:val="006F593A"/>
    <w:rsid w:val="00712F78"/>
    <w:rsid w:val="0071682C"/>
    <w:rsid w:val="007433B9"/>
    <w:rsid w:val="00763DF9"/>
    <w:rsid w:val="007C7641"/>
    <w:rsid w:val="007F6059"/>
    <w:rsid w:val="00810779"/>
    <w:rsid w:val="00816710"/>
    <w:rsid w:val="008209AF"/>
    <w:rsid w:val="00824CE2"/>
    <w:rsid w:val="0083026A"/>
    <w:rsid w:val="0085136B"/>
    <w:rsid w:val="008558CB"/>
    <w:rsid w:val="008915E9"/>
    <w:rsid w:val="00893200"/>
    <w:rsid w:val="0089437F"/>
    <w:rsid w:val="008A004D"/>
    <w:rsid w:val="008A56EE"/>
    <w:rsid w:val="008A6467"/>
    <w:rsid w:val="008B2A75"/>
    <w:rsid w:val="008F1B79"/>
    <w:rsid w:val="009145D4"/>
    <w:rsid w:val="009266B4"/>
    <w:rsid w:val="00934992"/>
    <w:rsid w:val="00970EC3"/>
    <w:rsid w:val="00977C28"/>
    <w:rsid w:val="00991B62"/>
    <w:rsid w:val="00994C05"/>
    <w:rsid w:val="00994CB9"/>
    <w:rsid w:val="009A4B51"/>
    <w:rsid w:val="00A01A7A"/>
    <w:rsid w:val="00A135A7"/>
    <w:rsid w:val="00A20266"/>
    <w:rsid w:val="00A231C9"/>
    <w:rsid w:val="00A26159"/>
    <w:rsid w:val="00AB325A"/>
    <w:rsid w:val="00AB70DC"/>
    <w:rsid w:val="00AD7072"/>
    <w:rsid w:val="00AE5614"/>
    <w:rsid w:val="00AF5F74"/>
    <w:rsid w:val="00AF7617"/>
    <w:rsid w:val="00B5351C"/>
    <w:rsid w:val="00B61057"/>
    <w:rsid w:val="00B67B4F"/>
    <w:rsid w:val="00B81C87"/>
    <w:rsid w:val="00B950CA"/>
    <w:rsid w:val="00BA617E"/>
    <w:rsid w:val="00BD0E8A"/>
    <w:rsid w:val="00C04E7F"/>
    <w:rsid w:val="00C17879"/>
    <w:rsid w:val="00C21F1F"/>
    <w:rsid w:val="00C225C7"/>
    <w:rsid w:val="00C27017"/>
    <w:rsid w:val="00C335F3"/>
    <w:rsid w:val="00C33755"/>
    <w:rsid w:val="00C33F29"/>
    <w:rsid w:val="00C50284"/>
    <w:rsid w:val="00C578BA"/>
    <w:rsid w:val="00C72ED8"/>
    <w:rsid w:val="00C960F9"/>
    <w:rsid w:val="00C96488"/>
    <w:rsid w:val="00CB213E"/>
    <w:rsid w:val="00CD7A8A"/>
    <w:rsid w:val="00CE3093"/>
    <w:rsid w:val="00CF5895"/>
    <w:rsid w:val="00D03A37"/>
    <w:rsid w:val="00D0631D"/>
    <w:rsid w:val="00D15D51"/>
    <w:rsid w:val="00D20341"/>
    <w:rsid w:val="00D2183E"/>
    <w:rsid w:val="00D22034"/>
    <w:rsid w:val="00D543F2"/>
    <w:rsid w:val="00D627B4"/>
    <w:rsid w:val="00D6316E"/>
    <w:rsid w:val="00D63305"/>
    <w:rsid w:val="00D64383"/>
    <w:rsid w:val="00DC2B66"/>
    <w:rsid w:val="00DE3CE9"/>
    <w:rsid w:val="00E4657A"/>
    <w:rsid w:val="00E66F25"/>
    <w:rsid w:val="00EC60D4"/>
    <w:rsid w:val="00EC7375"/>
    <w:rsid w:val="00ED5BB3"/>
    <w:rsid w:val="00EE42D6"/>
    <w:rsid w:val="00F036FE"/>
    <w:rsid w:val="00F4180B"/>
    <w:rsid w:val="00F62A00"/>
    <w:rsid w:val="00F752FB"/>
    <w:rsid w:val="00F80795"/>
    <w:rsid w:val="00FC7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F9DF39"/>
  <w15:chartTrackingRefBased/>
  <w15:docId w15:val="{753902BB-F342-459C-B907-F3A744D8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30A"/>
  </w:style>
  <w:style w:type="paragraph" w:styleId="Heading1">
    <w:name w:val="heading 1"/>
    <w:basedOn w:val="Normal"/>
    <w:next w:val="Normal"/>
    <w:link w:val="Heading1Char"/>
    <w:uiPriority w:val="9"/>
    <w:qFormat/>
    <w:rsid w:val="001D530A"/>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D530A"/>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D530A"/>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1D530A"/>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D530A"/>
    <w:pPr>
      <w:keepNext/>
      <w:keepLines/>
      <w:numPr>
        <w:ilvl w:val="4"/>
        <w:numId w:val="1"/>
      </w:numPr>
      <w:spacing w:before="200" w:after="0"/>
      <w:outlineLvl w:val="4"/>
    </w:pPr>
    <w:rPr>
      <w:rFonts w:asciiTheme="majorHAnsi" w:eastAsiaTheme="majorEastAsia" w:hAnsiTheme="majorHAnsi" w:cstheme="majorBidi"/>
      <w:color w:val="1B1D3D" w:themeColor="text2" w:themeShade="BF"/>
    </w:rPr>
  </w:style>
  <w:style w:type="paragraph" w:styleId="Heading6">
    <w:name w:val="heading 6"/>
    <w:basedOn w:val="Normal"/>
    <w:next w:val="Normal"/>
    <w:link w:val="Heading6Char"/>
    <w:uiPriority w:val="9"/>
    <w:semiHidden/>
    <w:unhideWhenUsed/>
    <w:qFormat/>
    <w:rsid w:val="001D530A"/>
    <w:pPr>
      <w:keepNext/>
      <w:keepLines/>
      <w:numPr>
        <w:ilvl w:val="5"/>
        <w:numId w:val="1"/>
      </w:numPr>
      <w:spacing w:before="200" w:after="0"/>
      <w:outlineLvl w:val="5"/>
    </w:pPr>
    <w:rPr>
      <w:rFonts w:asciiTheme="majorHAnsi" w:eastAsiaTheme="majorEastAsia" w:hAnsiTheme="majorHAnsi" w:cstheme="majorBidi"/>
      <w:i/>
      <w:iCs/>
      <w:color w:val="1B1D3D" w:themeColor="text2" w:themeShade="BF"/>
    </w:rPr>
  </w:style>
  <w:style w:type="paragraph" w:styleId="Heading7">
    <w:name w:val="heading 7"/>
    <w:basedOn w:val="Normal"/>
    <w:next w:val="Normal"/>
    <w:link w:val="Heading7Char"/>
    <w:uiPriority w:val="9"/>
    <w:semiHidden/>
    <w:unhideWhenUsed/>
    <w:qFormat/>
    <w:rsid w:val="001D530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D530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D530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30A"/>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D530A"/>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1D530A"/>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1D530A"/>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D530A"/>
    <w:rPr>
      <w:rFonts w:asciiTheme="majorHAnsi" w:eastAsiaTheme="majorEastAsia" w:hAnsiTheme="majorHAnsi" w:cstheme="majorBidi"/>
      <w:color w:val="1B1D3D" w:themeColor="text2" w:themeShade="BF"/>
    </w:rPr>
  </w:style>
  <w:style w:type="character" w:customStyle="1" w:styleId="Heading6Char">
    <w:name w:val="Heading 6 Char"/>
    <w:basedOn w:val="DefaultParagraphFont"/>
    <w:link w:val="Heading6"/>
    <w:uiPriority w:val="9"/>
    <w:semiHidden/>
    <w:rsid w:val="001D530A"/>
    <w:rPr>
      <w:rFonts w:asciiTheme="majorHAnsi" w:eastAsiaTheme="majorEastAsia" w:hAnsiTheme="majorHAnsi" w:cstheme="majorBidi"/>
      <w:i/>
      <w:iCs/>
      <w:color w:val="1B1D3D" w:themeColor="text2" w:themeShade="BF"/>
    </w:rPr>
  </w:style>
  <w:style w:type="character" w:customStyle="1" w:styleId="Heading7Char">
    <w:name w:val="Heading 7 Char"/>
    <w:basedOn w:val="DefaultParagraphFont"/>
    <w:link w:val="Heading7"/>
    <w:uiPriority w:val="9"/>
    <w:semiHidden/>
    <w:rsid w:val="001D530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530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D530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D530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D530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D530A"/>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D530A"/>
    <w:rPr>
      <w:color w:val="5A5A5A" w:themeColor="text1" w:themeTint="A5"/>
      <w:spacing w:val="10"/>
    </w:rPr>
  </w:style>
  <w:style w:type="paragraph" w:styleId="Quote">
    <w:name w:val="Quote"/>
    <w:basedOn w:val="Normal"/>
    <w:next w:val="Normal"/>
    <w:link w:val="QuoteChar"/>
    <w:uiPriority w:val="29"/>
    <w:qFormat/>
    <w:rsid w:val="001D530A"/>
    <w:pPr>
      <w:spacing w:before="160"/>
      <w:ind w:left="720" w:right="720"/>
    </w:pPr>
    <w:rPr>
      <w:i/>
      <w:iCs/>
      <w:color w:val="000000" w:themeColor="text1"/>
    </w:rPr>
  </w:style>
  <w:style w:type="character" w:customStyle="1" w:styleId="QuoteChar">
    <w:name w:val="Quote Char"/>
    <w:basedOn w:val="DefaultParagraphFont"/>
    <w:link w:val="Quote"/>
    <w:uiPriority w:val="29"/>
    <w:rsid w:val="001D530A"/>
    <w:rPr>
      <w:i/>
      <w:iCs/>
      <w:color w:val="000000" w:themeColor="text1"/>
    </w:rPr>
  </w:style>
  <w:style w:type="paragraph" w:styleId="ListParagraph">
    <w:name w:val="List Paragraph"/>
    <w:basedOn w:val="Normal"/>
    <w:uiPriority w:val="34"/>
    <w:qFormat/>
    <w:rsid w:val="001D530A"/>
    <w:pPr>
      <w:ind w:left="720"/>
      <w:contextualSpacing/>
    </w:pPr>
  </w:style>
  <w:style w:type="character" w:styleId="IntenseEmphasis">
    <w:name w:val="Intense Emphasis"/>
    <w:basedOn w:val="DefaultParagraphFont"/>
    <w:uiPriority w:val="21"/>
    <w:qFormat/>
    <w:rsid w:val="001D530A"/>
    <w:rPr>
      <w:b/>
      <w:bCs/>
      <w:i/>
      <w:iCs/>
      <w:caps/>
    </w:rPr>
  </w:style>
  <w:style w:type="paragraph" w:styleId="IntenseQuote">
    <w:name w:val="Intense Quote"/>
    <w:basedOn w:val="Normal"/>
    <w:next w:val="Normal"/>
    <w:link w:val="IntenseQuoteChar"/>
    <w:uiPriority w:val="30"/>
    <w:qFormat/>
    <w:rsid w:val="001D530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D530A"/>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1D530A"/>
    <w:rPr>
      <w:b/>
      <w:bCs/>
      <w:smallCaps/>
      <w:u w:val="single"/>
    </w:rPr>
  </w:style>
  <w:style w:type="paragraph" w:styleId="Caption">
    <w:name w:val="caption"/>
    <w:basedOn w:val="Normal"/>
    <w:next w:val="Normal"/>
    <w:uiPriority w:val="35"/>
    <w:semiHidden/>
    <w:unhideWhenUsed/>
    <w:qFormat/>
    <w:rsid w:val="001D530A"/>
    <w:pPr>
      <w:spacing w:after="200" w:line="240" w:lineRule="auto"/>
    </w:pPr>
    <w:rPr>
      <w:i/>
      <w:iCs/>
      <w:color w:val="242852" w:themeColor="text2"/>
      <w:sz w:val="18"/>
      <w:szCs w:val="18"/>
    </w:rPr>
  </w:style>
  <w:style w:type="character" w:styleId="Strong">
    <w:name w:val="Strong"/>
    <w:basedOn w:val="DefaultParagraphFont"/>
    <w:uiPriority w:val="22"/>
    <w:qFormat/>
    <w:rsid w:val="001D530A"/>
    <w:rPr>
      <w:b/>
      <w:bCs/>
      <w:color w:val="000000" w:themeColor="text1"/>
    </w:rPr>
  </w:style>
  <w:style w:type="character" w:styleId="Emphasis">
    <w:name w:val="Emphasis"/>
    <w:basedOn w:val="DefaultParagraphFont"/>
    <w:uiPriority w:val="20"/>
    <w:qFormat/>
    <w:rsid w:val="001D530A"/>
    <w:rPr>
      <w:i/>
      <w:iCs/>
      <w:color w:val="auto"/>
    </w:rPr>
  </w:style>
  <w:style w:type="paragraph" w:styleId="NoSpacing">
    <w:name w:val="No Spacing"/>
    <w:uiPriority w:val="1"/>
    <w:qFormat/>
    <w:rsid w:val="001D530A"/>
    <w:pPr>
      <w:spacing w:after="0" w:line="240" w:lineRule="auto"/>
    </w:pPr>
  </w:style>
  <w:style w:type="character" w:styleId="SubtleEmphasis">
    <w:name w:val="Subtle Emphasis"/>
    <w:basedOn w:val="DefaultParagraphFont"/>
    <w:uiPriority w:val="19"/>
    <w:qFormat/>
    <w:rsid w:val="001D530A"/>
    <w:rPr>
      <w:i/>
      <w:iCs/>
      <w:color w:val="404040" w:themeColor="text1" w:themeTint="BF"/>
    </w:rPr>
  </w:style>
  <w:style w:type="character" w:styleId="SubtleReference">
    <w:name w:val="Subtle Reference"/>
    <w:basedOn w:val="DefaultParagraphFont"/>
    <w:uiPriority w:val="31"/>
    <w:qFormat/>
    <w:rsid w:val="001D530A"/>
    <w:rPr>
      <w:smallCaps/>
      <w:color w:val="404040" w:themeColor="text1" w:themeTint="BF"/>
      <w:u w:val="single" w:color="7F7F7F" w:themeColor="text1" w:themeTint="80"/>
    </w:rPr>
  </w:style>
  <w:style w:type="character" w:styleId="BookTitle">
    <w:name w:val="Book Title"/>
    <w:basedOn w:val="DefaultParagraphFont"/>
    <w:uiPriority w:val="33"/>
    <w:qFormat/>
    <w:rsid w:val="001D530A"/>
    <w:rPr>
      <w:b w:val="0"/>
      <w:bCs w:val="0"/>
      <w:smallCaps/>
      <w:spacing w:val="5"/>
    </w:rPr>
  </w:style>
  <w:style w:type="paragraph" w:styleId="TOCHeading">
    <w:name w:val="TOC Heading"/>
    <w:basedOn w:val="Heading1"/>
    <w:next w:val="Normal"/>
    <w:uiPriority w:val="39"/>
    <w:semiHidden/>
    <w:unhideWhenUsed/>
    <w:qFormat/>
    <w:rsid w:val="001D530A"/>
    <w:pPr>
      <w:outlineLvl w:val="9"/>
    </w:pPr>
  </w:style>
  <w:style w:type="paragraph" w:styleId="Header">
    <w:name w:val="header"/>
    <w:basedOn w:val="Normal"/>
    <w:link w:val="HeaderChar"/>
    <w:uiPriority w:val="99"/>
    <w:unhideWhenUsed/>
    <w:rsid w:val="001D53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30A"/>
  </w:style>
  <w:style w:type="paragraph" w:styleId="Footer">
    <w:name w:val="footer"/>
    <w:basedOn w:val="Normal"/>
    <w:link w:val="FooterChar"/>
    <w:uiPriority w:val="99"/>
    <w:unhideWhenUsed/>
    <w:rsid w:val="001D53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30A"/>
  </w:style>
  <w:style w:type="character" w:styleId="Hyperlink">
    <w:name w:val="Hyperlink"/>
    <w:basedOn w:val="DefaultParagraphFont"/>
    <w:uiPriority w:val="99"/>
    <w:unhideWhenUsed/>
    <w:rsid w:val="00133B3F"/>
    <w:rPr>
      <w:rFonts w:asciiTheme="minorHAnsi" w:hAnsiTheme="minorHAnsi"/>
      <w:color w:val="0E57C4" w:themeColor="background2" w:themeShade="80"/>
      <w:sz w:val="18"/>
      <w:u w:val="single"/>
    </w:rPr>
  </w:style>
  <w:style w:type="character" w:styleId="UnresolvedMention">
    <w:name w:val="Unresolved Mention"/>
    <w:basedOn w:val="DefaultParagraphFont"/>
    <w:uiPriority w:val="99"/>
    <w:semiHidden/>
    <w:unhideWhenUsed/>
    <w:rsid w:val="00B67B4F"/>
    <w:rPr>
      <w:color w:val="605E5C"/>
      <w:shd w:val="clear" w:color="auto" w:fill="E1DFDD"/>
    </w:rPr>
  </w:style>
  <w:style w:type="table" w:styleId="TableGrid">
    <w:name w:val="Table Grid"/>
    <w:basedOn w:val="TableNormal"/>
    <w:uiPriority w:val="39"/>
    <w:rsid w:val="00C27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B70DC"/>
    <w:pPr>
      <w:widowControl w:val="0"/>
      <w:spacing w:after="0" w:line="240" w:lineRule="auto"/>
      <w:ind w:left="229"/>
    </w:pPr>
    <w:rPr>
      <w:rFonts w:ascii="Arial" w:eastAsia="Arial" w:hAnsi="Arial" w:cs="Times New Roman"/>
      <w:sz w:val="20"/>
      <w:szCs w:val="20"/>
    </w:rPr>
  </w:style>
  <w:style w:type="character" w:customStyle="1" w:styleId="BodyTextChar">
    <w:name w:val="Body Text Char"/>
    <w:basedOn w:val="DefaultParagraphFont"/>
    <w:link w:val="BodyText"/>
    <w:uiPriority w:val="1"/>
    <w:rsid w:val="00AB70DC"/>
    <w:rPr>
      <w:rFonts w:ascii="Arial" w:eastAsia="Arial" w:hAnsi="Arial" w:cs="Times New Roman"/>
      <w:sz w:val="20"/>
      <w:szCs w:val="20"/>
    </w:rPr>
  </w:style>
  <w:style w:type="paragraph" w:customStyle="1" w:styleId="FirstParagraph">
    <w:name w:val="First Paragraph"/>
    <w:basedOn w:val="BodyText"/>
    <w:next w:val="BodyText"/>
    <w:qFormat/>
    <w:rsid w:val="004731CA"/>
    <w:pPr>
      <w:widowControl/>
      <w:spacing w:before="180" w:after="180"/>
      <w:ind w:left="0"/>
    </w:pPr>
    <w:rPr>
      <w:rFonts w:asciiTheme="minorHAnsi" w:eastAsiaTheme="minorHAnsi" w:hAnsiTheme="minorHAnsi" w:cstheme="minorBidi"/>
      <w:sz w:val="24"/>
      <w:szCs w:val="24"/>
      <w:lang w:val="en-US"/>
    </w:rPr>
  </w:style>
  <w:style w:type="character" w:customStyle="1" w:styleId="VerbatimChar">
    <w:name w:val="Verbatim Char"/>
    <w:basedOn w:val="DefaultParagraphFont"/>
    <w:link w:val="SourceCode"/>
    <w:rsid w:val="00763DF9"/>
    <w:rPr>
      <w:rFonts w:ascii="Consolas" w:hAnsi="Consolas"/>
    </w:rPr>
  </w:style>
  <w:style w:type="paragraph" w:customStyle="1" w:styleId="SourceCode">
    <w:name w:val="Source Code"/>
    <w:basedOn w:val="Normal"/>
    <w:link w:val="VerbatimChar"/>
    <w:rsid w:val="00763DF9"/>
    <w:pPr>
      <w:wordWrap w:val="0"/>
      <w:spacing w:after="200" w:line="240" w:lineRule="auto"/>
    </w:pPr>
    <w:rPr>
      <w:rFonts w:ascii="Consolas" w:hAnsi="Consolas"/>
    </w:rPr>
  </w:style>
  <w:style w:type="character" w:customStyle="1" w:styleId="ng-star-inserted">
    <w:name w:val="ng-star-inserted"/>
    <w:basedOn w:val="DefaultParagraphFont"/>
    <w:rsid w:val="003165FC"/>
  </w:style>
  <w:style w:type="character" w:customStyle="1" w:styleId="xap-emoji-picker-trigger">
    <w:name w:val="xap-emoji-picker-trigger"/>
    <w:basedOn w:val="DefaultParagraphFont"/>
    <w:rsid w:val="003165FC"/>
  </w:style>
  <w:style w:type="character" w:customStyle="1" w:styleId="emoji-editable">
    <w:name w:val="emoji-editable"/>
    <w:basedOn w:val="DefaultParagraphFont"/>
    <w:rsid w:val="003165FC"/>
  </w:style>
  <w:style w:type="character" w:customStyle="1" w:styleId="notebook-subtitle">
    <w:name w:val="notebook-subtitle"/>
    <w:basedOn w:val="DefaultParagraphFont"/>
    <w:rsid w:val="003165FC"/>
  </w:style>
  <w:style w:type="character" w:customStyle="1" w:styleId="notebook-summary">
    <w:name w:val="notebook-summary"/>
    <w:basedOn w:val="DefaultParagraphFont"/>
    <w:rsid w:val="003165FC"/>
  </w:style>
  <w:style w:type="paragraph" w:styleId="NormalWeb">
    <w:name w:val="Normal (Web)"/>
    <w:basedOn w:val="Normal"/>
    <w:uiPriority w:val="99"/>
    <w:semiHidden/>
    <w:unhideWhenUsed/>
    <w:rsid w:val="003165F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3165FC"/>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3165FC"/>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3165FC"/>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3165FC"/>
    <w:rPr>
      <w:rFonts w:ascii="Arial" w:eastAsia="Times New Roman" w:hAnsi="Arial" w:cs="Arial"/>
      <w:vanish/>
      <w:sz w:val="16"/>
      <w:szCs w:val="16"/>
      <w:lang w:eastAsia="en-GB"/>
    </w:rPr>
  </w:style>
  <w:style w:type="character" w:customStyle="1" w:styleId="ng-tns-c578042373-0">
    <w:name w:val="ng-tns-c578042373-0"/>
    <w:basedOn w:val="DefaultParagraphFont"/>
    <w:rsid w:val="003165FC"/>
  </w:style>
  <w:style w:type="character" w:customStyle="1" w:styleId="icon-container">
    <w:name w:val="icon-container"/>
    <w:basedOn w:val="DefaultParagraphFont"/>
    <w:rsid w:val="003165FC"/>
  </w:style>
  <w:style w:type="character" w:customStyle="1" w:styleId="create-label-container">
    <w:name w:val="create-label-container"/>
    <w:basedOn w:val="DefaultParagraphFont"/>
    <w:rsid w:val="00316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ustom 1">
      <a:majorFont>
        <a:latin typeface="Poppins Medium"/>
        <a:ea typeface=""/>
        <a:cs typeface=""/>
      </a:majorFont>
      <a:minorFont>
        <a:latin typeface="Poppi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99f79a5-b1fb-4740-b0e0-d68f4832be70" xsi:nil="true"/>
    <lcf76f155ced4ddcb4097134ff3c332f xmlns="d7a1dffa-d871-427a-9a8f-6e3283d78b0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2E59225220D1F40AA1CFAE197CBDF04" ma:contentTypeVersion="13" ma:contentTypeDescription="Create a new document." ma:contentTypeScope="" ma:versionID="3ff0c76696bbc9e779cc7a8518a671c9">
  <xsd:schema xmlns:xsd="http://www.w3.org/2001/XMLSchema" xmlns:xs="http://www.w3.org/2001/XMLSchema" xmlns:p="http://schemas.microsoft.com/office/2006/metadata/properties" xmlns:ns2="d7a1dffa-d871-427a-9a8f-6e3283d78b01" xmlns:ns3="599f79a5-b1fb-4740-b0e0-d68f4832be70" targetNamespace="http://schemas.microsoft.com/office/2006/metadata/properties" ma:root="true" ma:fieldsID="f447bbc7a4ae47968c708cafa4dae634" ns2:_="" ns3:_="">
    <xsd:import namespace="d7a1dffa-d871-427a-9a8f-6e3283d78b01"/>
    <xsd:import namespace="599f79a5-b1fb-4740-b0e0-d68f4832be7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a1dffa-d871-427a-9a8f-6e3283d78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54d3a27-1a6c-4b0a-9cf8-1890c89ae18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9f79a5-b1fb-4740-b0e0-d68f4832be7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90f3913-1330-467a-9b39-f2942882b1f3}" ma:internalName="TaxCatchAll" ma:showField="CatchAllData" ma:web="599f79a5-b1fb-4740-b0e0-d68f4832be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08475C-BDD6-4D8E-B2EE-4A6EBFE29C51}">
  <ds:schemaRefs>
    <ds:schemaRef ds:uri="http://schemas.microsoft.com/office/2006/metadata/properties"/>
    <ds:schemaRef ds:uri="http://schemas.microsoft.com/office/infopath/2007/PartnerControls"/>
    <ds:schemaRef ds:uri="599f79a5-b1fb-4740-b0e0-d68f4832be70"/>
    <ds:schemaRef ds:uri="d7a1dffa-d871-427a-9a8f-6e3283d78b01"/>
  </ds:schemaRefs>
</ds:datastoreItem>
</file>

<file path=customXml/itemProps2.xml><?xml version="1.0" encoding="utf-8"?>
<ds:datastoreItem xmlns:ds="http://schemas.openxmlformats.org/officeDocument/2006/customXml" ds:itemID="{8016BECC-27A2-4624-AC30-E2A5AF778242}">
  <ds:schemaRefs>
    <ds:schemaRef ds:uri="http://schemas.openxmlformats.org/officeDocument/2006/bibliography"/>
  </ds:schemaRefs>
</ds:datastoreItem>
</file>

<file path=customXml/itemProps3.xml><?xml version="1.0" encoding="utf-8"?>
<ds:datastoreItem xmlns:ds="http://schemas.openxmlformats.org/officeDocument/2006/customXml" ds:itemID="{594B5298-C5B4-46E4-B076-4477F9FC6044}">
  <ds:schemaRefs>
    <ds:schemaRef ds:uri="http://schemas.microsoft.com/sharepoint/v3/contenttype/forms"/>
  </ds:schemaRefs>
</ds:datastoreItem>
</file>

<file path=customXml/itemProps4.xml><?xml version="1.0" encoding="utf-8"?>
<ds:datastoreItem xmlns:ds="http://schemas.openxmlformats.org/officeDocument/2006/customXml" ds:itemID="{4072DF54-97A1-410E-A13B-E574DE6B5B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a1dffa-d871-427a-9a8f-6e3283d78b01"/>
    <ds:schemaRef ds:uri="599f79a5-b1fb-4740-b0e0-d68f4832b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2229</Words>
  <Characters>13904</Characters>
  <Application>Microsoft Office Word</Application>
  <DocSecurity>0</DocSecurity>
  <Lines>312</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Smart</dc:creator>
  <cp:keywords/>
  <dc:description/>
  <cp:lastModifiedBy>Andrew Smart</cp:lastModifiedBy>
  <cp:revision>2</cp:revision>
  <cp:lastPrinted>2025-07-17T09:54:00Z</cp:lastPrinted>
  <dcterms:created xsi:type="dcterms:W3CDTF">2025-10-25T17:14:00Z</dcterms:created>
  <dcterms:modified xsi:type="dcterms:W3CDTF">2025-10-25T17:14:00Z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b26ef379-59ae-4e8e-a95f-04f125473d7d</vt:lpwstr>
  </property>
  <property fmtid="{D5CDD505-2E9C-101B-9397-08002B2CF9AE}" pid="3" name="ContentTypeId">
    <vt:lpwstr>0x01010012E59225220D1F40AA1CFAE197CBDF04</vt:lpwstr>
  </property>
  <property fmtid="{D5CDD505-2E9C-101B-9397-08002B2CF9AE}" pid="4" name="MediaServiceImageTags">
    <vt:lpwstr/>
  </property>
  <property fmtid="{D5CDD505-2E9C-101B-9397-08002B2CF9AE}" pid="5" name="docLang">
    <vt:lpwstr>en</vt:lpwstr>
  </property>
</Properties>
</file>