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cidewright-brand-strategy-document"/>
    <w:p>
      <w:pPr>
        <w:pStyle w:val="Heading1"/>
      </w:pPr>
      <w:r>
        <w:t xml:space="preserve">DecideWright Brand Strategy Document</w:t>
      </w:r>
    </w:p>
    <w:bookmarkStart w:id="9" w:name="X102b2e9de4183984340b81b0bb402a984d3925a"/>
    <w:p>
      <w:pPr>
        <w:pStyle w:val="Heading2"/>
      </w:pPr>
      <w:r>
        <w:t xml:space="preserve">1. Executive Summary</w:t>
      </w:r>
    </w:p>
    <w:p>
      <w:pPr>
        <w:pStyle w:val="FirstParagraph"/>
      </w:pPr>
      <w:r>
        <w:t xml:space="preserve">DecideWright is a challenger brand transforming enterprise risk and performance management through integrated consultancy and technology solutions. We target Chief Risk Officers in US/UK financial services who are frustrated with traditional qualitative risk approaches that limit their strategic influence. Our "Clarify in Uncertainty" brand promise delivers quantitative, data-driven risk intelligence through our QRA Playbook methodology and Predixtive technology platform, positioning CROs as strategic peers to CFOs and COOs. Built on Simon Sinek's "Why" foundation and Daniel Priestley's go-to-market principles, we aim to become the "McKinsey of Risk Management" with £25M revenue within 5 years.</w:t>
      </w:r>
    </w:p>
    <w:bookmarkEnd w:id="9"/>
    <w:bookmarkStart w:id="10" w:name="X71a019b0d8094a735c38904eb50bbdea66753d6"/>
    <w:p>
      <w:pPr>
        <w:pStyle w:val="Heading2"/>
      </w:pPr>
      <w:r>
        <w:t xml:space="preserve">2. Brand Foundation</w:t>
      </w:r>
    </w:p>
    <w:p>
      <w:pPr>
        <w:pStyle w:val="FirstParagraph"/>
      </w:pPr>
      <w:r>
        <w:rPr>
          <w:b/>
          <w:bCs/>
        </w:rPr>
        <w:t xml:space="preserve">Vision</w:t>
      </w:r>
      <w:r>
        <w:t xml:space="preserve">: To make enterprise risk management an integrated part of strategy execution and decision-making by executive teams, elevating risk professionals to strategic leadership roles.</w:t>
      </w:r>
    </w:p>
    <w:p>
      <w:pPr>
        <w:pStyle w:val="BodyText"/>
      </w:pPr>
      <w:r>
        <w:rPr>
          <w:b/>
          <w:bCs/>
        </w:rPr>
        <w:t xml:space="preserve">Mission</w:t>
      </w:r>
      <w:r>
        <w:t xml:space="preserve">: We transform traditional qualitative risk management into quantitative, data-driven decision intelligence through integrated consultancy and digital twin technology solutions.</w:t>
      </w:r>
    </w:p>
    <w:p>
      <w:pPr>
        <w:pStyle w:val="BodyText"/>
      </w:pPr>
      <w:r>
        <w:rPr>
          <w:b/>
          <w:bCs/>
        </w:rPr>
        <w:t xml:space="preserve">Values</w:t>
      </w:r>
      <w:r>
        <w:t xml:space="preserve">:</w:t>
      </w:r>
    </w:p>
    <w:p>
      <w:pPr>
        <w:numPr>
          <w:ilvl w:val="0"/>
          <w:numId w:val="1001"/>
        </w:numPr>
      </w:pPr>
      <w:r>
        <w:rPr>
          <w:b/>
          <w:bCs/>
        </w:rPr>
        <w:t xml:space="preserve">Bold Action</w:t>
      </w:r>
      <w:r>
        <w:t xml:space="preserve">: Step up when it matters, make decisions without perfect information</w:t>
      </w:r>
    </w:p>
    <w:p>
      <w:pPr>
        <w:numPr>
          <w:ilvl w:val="0"/>
          <w:numId w:val="1001"/>
        </w:numPr>
      </w:pPr>
      <w:r>
        <w:rPr>
          <w:b/>
          <w:bCs/>
        </w:rPr>
        <w:t xml:space="preserve">Straight Talk</w:t>
      </w:r>
      <w:r>
        <w:t xml:space="preserve">: Keep it simple, share bad news openly, discuss real issues</w:t>
      </w:r>
    </w:p>
    <w:p>
      <w:pPr>
        <w:numPr>
          <w:ilvl w:val="0"/>
          <w:numId w:val="1001"/>
        </w:numPr>
      </w:pPr>
      <w:r>
        <w:rPr>
          <w:b/>
          <w:bCs/>
        </w:rPr>
        <w:t xml:space="preserve">People First</w:t>
      </w:r>
      <w:r>
        <w:t xml:space="preserve">: Treat everyone with respect, value uniqueness, help each other grow</w:t>
      </w:r>
    </w:p>
    <w:p>
      <w:pPr>
        <w:numPr>
          <w:ilvl w:val="0"/>
          <w:numId w:val="1001"/>
        </w:numPr>
      </w:pPr>
      <w:r>
        <w:rPr>
          <w:b/>
          <w:bCs/>
        </w:rPr>
        <w:t xml:space="preserve">Do What's Right</w:t>
      </w:r>
      <w:r>
        <w:t xml:space="preserve">: Choose integrity over convenience, fix mistakes quickly</w:t>
      </w:r>
    </w:p>
    <w:p>
      <w:pPr>
        <w:numPr>
          <w:ilvl w:val="0"/>
          <w:numId w:val="1001"/>
        </w:numPr>
      </w:pPr>
      <w:r>
        <w:rPr>
          <w:b/>
          <w:bCs/>
        </w:rPr>
        <w:t xml:space="preserve">Stay Curious</w:t>
      </w:r>
      <w:r>
        <w:t xml:space="preserve">: Ask "why" and "what if," challenge the status quo</w:t>
      </w:r>
    </w:p>
    <w:p>
      <w:pPr>
        <w:numPr>
          <w:ilvl w:val="0"/>
          <w:numId w:val="1001"/>
        </w:numPr>
      </w:pPr>
      <w:r>
        <w:rPr>
          <w:b/>
          <w:bCs/>
        </w:rPr>
        <w:t xml:space="preserve">Own Results</w:t>
      </w:r>
      <w:r>
        <w:t xml:space="preserve">: Focus on outcomes, take responsibility, learn from setbacks</w:t>
      </w:r>
    </w:p>
    <w:p>
      <w:pPr>
        <w:numPr>
          <w:ilvl w:val="0"/>
          <w:numId w:val="1001"/>
        </w:numPr>
      </w:pPr>
      <w:r>
        <w:rPr>
          <w:b/>
          <w:bCs/>
        </w:rPr>
        <w:t xml:space="preserve">Better Together</w:t>
      </w:r>
      <w:r>
        <w:t xml:space="preserve">: Share knowledge freely, build on ideas, win as a team</w:t>
      </w:r>
    </w:p>
    <w:p>
      <w:pPr>
        <w:pStyle w:val="FirstParagraph"/>
      </w:pPr>
      <w:r>
        <w:rPr>
          <w:b/>
          <w:bCs/>
        </w:rPr>
        <w:t xml:space="preserve">Brand Promise</w:t>
      </w:r>
      <w:r>
        <w:t xml:space="preserve">: "Clarify in Uncertainty" - We transform subjective risk assessment into objective decision intelligence, enabling confident navigation of business and regulatory uncertainty.</w:t>
      </w:r>
    </w:p>
    <w:bookmarkEnd w:id="10"/>
    <w:bookmarkStart w:id="11" w:name="X2a8366ba3b28ba0b8512c9b965925bc0c33ff09"/>
    <w:p>
      <w:pPr>
        <w:pStyle w:val="Heading2"/>
      </w:pPr>
      <w:r>
        <w:t xml:space="preserve">3. Market &amp; Audience Insights</w:t>
      </w:r>
    </w:p>
    <w:p>
      <w:pPr>
        <w:pStyle w:val="FirstParagraph"/>
      </w:pPr>
      <w:r>
        <w:rPr>
          <w:b/>
          <w:bCs/>
        </w:rPr>
        <w:t xml:space="preserve">Primary Target Segment</w:t>
      </w:r>
      <w:r>
        <w:t xml:space="preserve">: Chief Risk Officers (CROs) and aspiring CROs</w:t>
      </w:r>
    </w:p>
    <w:p>
      <w:pPr>
        <w:numPr>
          <w:ilvl w:val="0"/>
          <w:numId w:val="1002"/>
        </w:numPr>
      </w:pPr>
      <w:r>
        <w:rPr>
          <w:b/>
          <w:bCs/>
        </w:rPr>
        <w:t xml:space="preserve">Demographics</w:t>
      </w:r>
      <w:r>
        <w:t xml:space="preserve">: Senior executives in US/UK financial services firms ($1B+ AUM)</w:t>
      </w:r>
    </w:p>
    <w:p>
      <w:pPr>
        <w:numPr>
          <w:ilvl w:val="0"/>
          <w:numId w:val="1002"/>
        </w:numPr>
      </w:pPr>
      <w:r>
        <w:rPr>
          <w:b/>
          <w:bCs/>
        </w:rPr>
        <w:t xml:space="preserve">Psychographics</w:t>
      </w:r>
      <w:r>
        <w:t xml:space="preserve">: Frustrated with lack of C-suite engagement, ambitious for strategic influence, data-driven mindset</w:t>
      </w:r>
    </w:p>
    <w:p>
      <w:pPr>
        <w:numPr>
          <w:ilvl w:val="0"/>
          <w:numId w:val="1002"/>
        </w:numPr>
      </w:pPr>
      <w:r>
        <w:rPr>
          <w:b/>
          <w:bCs/>
        </w:rPr>
        <w:t xml:space="preserve">Pain Points</w:t>
      </w:r>
      <w:r>
        <w:t xml:space="preserve">:</w:t>
      </w:r>
    </w:p>
    <w:p>
      <w:pPr>
        <w:numPr>
          <w:ilvl w:val="1"/>
          <w:numId w:val="1003"/>
        </w:numPr>
      </w:pPr>
      <w:r>
        <w:t xml:space="preserve">Manual, qualitative risk processes</w:t>
      </w:r>
    </w:p>
    <w:p>
      <w:pPr>
        <w:numPr>
          <w:ilvl w:val="1"/>
          <w:numId w:val="1003"/>
        </w:numPr>
      </w:pPr>
      <w:r>
        <w:t xml:space="preserve">Limited strategic influence vs. CFO/COO who present "hard numbers"</w:t>
      </w:r>
    </w:p>
    <w:p>
      <w:pPr>
        <w:numPr>
          <w:ilvl w:val="1"/>
          <w:numId w:val="1003"/>
        </w:numPr>
      </w:pPr>
      <w:r>
        <w:t xml:space="preserve">Regulatory compliance burden without business value</w:t>
      </w:r>
    </w:p>
    <w:p>
      <w:pPr>
        <w:numPr>
          <w:ilvl w:val="1"/>
          <w:numId w:val="1003"/>
        </w:numPr>
      </w:pPr>
      <w:r>
        <w:t xml:space="preserve">CEO and leadership team disengagement with risk function</w:t>
      </w:r>
    </w:p>
    <w:p>
      <w:pPr>
        <w:pStyle w:val="FirstParagraph"/>
      </w:pPr>
      <w:r>
        <w:rPr>
          <w:b/>
          <w:bCs/>
        </w:rPr>
        <w:t xml:space="preserve">Jobs to Be Done (JTBD)</w:t>
      </w:r>
      <w:r>
        <w:t xml:space="preserve">:</w:t>
      </w:r>
    </w:p>
    <w:p>
      <w:pPr>
        <w:numPr>
          <w:ilvl w:val="0"/>
          <w:numId w:val="1004"/>
        </w:numPr>
      </w:pPr>
      <w:r>
        <w:t xml:space="preserve">Transform risk function from compliance cost center to strategic value driver</w:t>
      </w:r>
    </w:p>
    <w:p>
      <w:pPr>
        <w:numPr>
          <w:ilvl w:val="0"/>
          <w:numId w:val="1004"/>
        </w:numPr>
      </w:pPr>
      <w:r>
        <w:t xml:space="preserve">Gain peer-level influence with CFO/COO through quantitative insights</w:t>
      </w:r>
    </w:p>
    <w:p>
      <w:pPr>
        <w:numPr>
          <w:ilvl w:val="0"/>
          <w:numId w:val="1004"/>
        </w:numPr>
      </w:pPr>
      <w:r>
        <w:t xml:space="preserve">Automate manual risk processes to focus on strategic analysis</w:t>
      </w:r>
    </w:p>
    <w:p>
      <w:pPr>
        <w:numPr>
          <w:ilvl w:val="0"/>
          <w:numId w:val="1004"/>
        </w:numPr>
      </w:pPr>
      <w:r>
        <w:t xml:space="preserve">Demonstrate tangible business value from risk investments</w:t>
      </w:r>
    </w:p>
    <w:p>
      <w:pPr>
        <w:pStyle w:val="FirstParagraph"/>
      </w:pPr>
      <w:r>
        <w:rPr>
          <w:b/>
          <w:bCs/>
        </w:rPr>
        <w:t xml:space="preserve">Market Context</w:t>
      </w:r>
      <w:r>
        <w:t xml:space="preserve">:</w:t>
      </w:r>
    </w:p>
    <w:p>
      <w:pPr>
        <w:numPr>
          <w:ilvl w:val="0"/>
          <w:numId w:val="1005"/>
        </w:numPr>
      </w:pPr>
      <w:r>
        <w:t xml:space="preserve">FLUX environment demands agile, scenario-driven risk models</w:t>
      </w:r>
    </w:p>
    <w:p>
      <w:pPr>
        <w:numPr>
          <w:ilvl w:val="0"/>
          <w:numId w:val="1005"/>
        </w:numPr>
      </w:pPr>
      <w:r>
        <w:t xml:space="preserve">Traditional risk management fails in rapidly changing business climate</w:t>
      </w:r>
    </w:p>
    <w:p>
      <w:pPr>
        <w:numPr>
          <w:ilvl w:val="0"/>
          <w:numId w:val="1005"/>
        </w:numPr>
      </w:pPr>
      <w:r>
        <w:t xml:space="preserve">Growing regulatory complexity requires automated, data-driven approaches</w:t>
      </w:r>
    </w:p>
    <w:p>
      <w:pPr>
        <w:numPr>
          <w:ilvl w:val="0"/>
          <w:numId w:val="1005"/>
        </w:numPr>
      </w:pPr>
      <w:r>
        <w:t xml:space="preserve">Digital transformation creates new risk vectors requiring modern tools</w:t>
      </w:r>
    </w:p>
    <w:bookmarkEnd w:id="11"/>
    <w:bookmarkStart w:id="12" w:name="X60df0d8860137d8119597c899cb1a2e5669713f"/>
    <w:p>
      <w:pPr>
        <w:pStyle w:val="Heading2"/>
      </w:pPr>
      <w:r>
        <w:t xml:space="preserve">4. Brand Positioning</w:t>
      </w:r>
    </w:p>
    <w:p>
      <w:pPr>
        <w:pStyle w:val="FirstParagraph"/>
      </w:pPr>
      <w:r>
        <w:rPr>
          <w:b/>
          <w:bCs/>
        </w:rPr>
        <w:t xml:space="preserve">Positioning Statement</w:t>
      </w:r>
      <w:r>
        <w:t xml:space="preserve">: "For Chief Risk Officers in financial services who are frustrated with traditional qualitative risk approaches that limit their strategic influence, DecideWright is the integrated consultancy and technology provider that transforms risk management into quantitative decision intelligence, enabling CROs to become strategic peers to CFOs and COOs."</w:t>
      </w:r>
    </w:p>
    <w:p>
      <w:pPr>
        <w:pStyle w:val="BodyText"/>
      </w:pPr>
      <w:r>
        <w:rPr>
          <w:b/>
          <w:bCs/>
        </w:rPr>
        <w:t xml:space="preserve">Unique Value Proposition (UVP)</w:t>
      </w:r>
      <w:r>
        <w:t xml:space="preserve">: The only integrated consultancy and technology solution that transforms qualitative risk into quantitative decision intelligence within 24-48 hours, with proven methodology and AI-powered automation.</w:t>
      </w:r>
    </w:p>
    <w:p>
      <w:pPr>
        <w:pStyle w:val="BodyText"/>
      </w:pPr>
      <w:r>
        <w:rPr>
          <w:b/>
          <w:bCs/>
        </w:rPr>
        <w:t xml:space="preserve">Differentiators</w:t>
      </w:r>
      <w:r>
        <w:t xml:space="preserve">:</w:t>
      </w:r>
    </w:p>
    <w:p>
      <w:pPr>
        <w:numPr>
          <w:ilvl w:val="0"/>
          <w:numId w:val="1006"/>
        </w:numPr>
      </w:pPr>
      <w:r>
        <w:rPr>
          <w:b/>
          <w:bCs/>
        </w:rPr>
        <w:t xml:space="preserve">Speed to Value</w:t>
      </w:r>
      <w:r>
        <w:t xml:space="preserve">: 24-48 hour proof of concept transformation</w:t>
      </w:r>
    </w:p>
    <w:p>
      <w:pPr>
        <w:numPr>
          <w:ilvl w:val="0"/>
          <w:numId w:val="1006"/>
        </w:numPr>
      </w:pPr>
      <w:r>
        <w:rPr>
          <w:b/>
          <w:bCs/>
        </w:rPr>
        <w:t xml:space="preserve">Integrated Approach</w:t>
      </w:r>
      <w:r>
        <w:t xml:space="preserve">: Methodology + technology + consultancy in one solution</w:t>
      </w:r>
    </w:p>
    <w:p>
      <w:pPr>
        <w:numPr>
          <w:ilvl w:val="0"/>
          <w:numId w:val="1006"/>
        </w:numPr>
      </w:pPr>
      <w:r>
        <w:rPr>
          <w:b/>
          <w:bCs/>
        </w:rPr>
        <w:t xml:space="preserve">Quantitative Focus</w:t>
      </w:r>
      <w:r>
        <w:t xml:space="preserve">: Transform colors and subjective ratings into hard numbers</w:t>
      </w:r>
    </w:p>
    <w:p>
      <w:pPr>
        <w:numPr>
          <w:ilvl w:val="0"/>
          <w:numId w:val="1006"/>
        </w:numPr>
      </w:pPr>
      <w:r>
        <w:rPr>
          <w:b/>
          <w:bCs/>
        </w:rPr>
        <w:t xml:space="preserve">Proven Methodology</w:t>
      </w:r>
      <w:r>
        <w:t xml:space="preserve">: Risk-Based Performance Management framework with book/thought leadership</w:t>
      </w:r>
    </w:p>
    <w:p>
      <w:pPr>
        <w:numPr>
          <w:ilvl w:val="0"/>
          <w:numId w:val="1006"/>
        </w:numPr>
      </w:pPr>
      <w:r>
        <w:rPr>
          <w:b/>
          <w:bCs/>
        </w:rPr>
        <w:t xml:space="preserve">Fixed-Price Clarity</w:t>
      </w:r>
      <w:r>
        <w:t xml:space="preserve">: Transparent pricing for Stages 1 &amp; 2 (£25K, £105K)</w:t>
      </w:r>
    </w:p>
    <w:p>
      <w:pPr>
        <w:pStyle w:val="FirstParagraph"/>
      </w:pPr>
      <w:r>
        <w:rPr>
          <w:b/>
          <w:bCs/>
        </w:rPr>
        <w:t xml:space="preserve">Proof Points</w:t>
      </w:r>
      <w:r>
        <w:t xml:space="preserve">:</w:t>
      </w:r>
    </w:p>
    <w:p>
      <w:pPr>
        <w:numPr>
          <w:ilvl w:val="0"/>
          <w:numId w:val="1007"/>
        </w:numPr>
      </w:pPr>
      <w:r>
        <w:t xml:space="preserve">Published methodology: "Risk-Based Performance Management" book</w:t>
      </w:r>
    </w:p>
    <w:p>
      <w:pPr>
        <w:numPr>
          <w:ilvl w:val="0"/>
          <w:numId w:val="1007"/>
        </w:numPr>
      </w:pPr>
      <w:r>
        <w:t xml:space="preserve">Working with leading US/UK financial institutions</w:t>
      </w:r>
    </w:p>
    <w:p>
      <w:pPr>
        <w:numPr>
          <w:ilvl w:val="0"/>
          <w:numId w:val="1007"/>
        </w:numPr>
      </w:pPr>
      <w:r>
        <w:t xml:space="preserve">AI agentic-based automation platform (Predixtive)</w:t>
      </w:r>
    </w:p>
    <w:p>
      <w:pPr>
        <w:numPr>
          <w:ilvl w:val="0"/>
          <w:numId w:val="1007"/>
        </w:numPr>
      </w:pPr>
      <w:r>
        <w:t xml:space="preserve">90-day implementation track record</w:t>
      </w:r>
    </w:p>
    <w:bookmarkEnd w:id="12"/>
    <w:bookmarkStart w:id="13" w:name="X8cc74d9335d5f60f3c10e1f144747893bc5943b"/>
    <w:p>
      <w:pPr>
        <w:pStyle w:val="Heading2"/>
      </w:pPr>
      <w:r>
        <w:t xml:space="preserve">5. Messaging Framework</w:t>
      </w:r>
    </w:p>
    <w:p>
      <w:pPr>
        <w:pStyle w:val="FirstParagraph"/>
      </w:pPr>
      <w:r>
        <w:rPr>
          <w:b/>
          <w:bCs/>
        </w:rPr>
        <w:t xml:space="preserve">Elevator Pitch</w:t>
      </w:r>
      <w:r>
        <w:t xml:space="preserve">: "We help Chief Risk Officers transform from presenting risk in colors to presenting risk in numbers. While CFOs and COOs influence decisions with hard data, most CROs still rely on subjective ratings. We change that with our QRA Playbook - proving transformation value in 24-48 hours with a £25K proof of concept."</w:t>
      </w:r>
    </w:p>
    <w:p>
      <w:pPr>
        <w:pStyle w:val="BodyText"/>
      </w:pPr>
      <w:r>
        <w:rPr>
          <w:b/>
          <w:bCs/>
        </w:rPr>
        <w:t xml:space="preserve">Core Narrative</w:t>
      </w:r>
      <w:r>
        <w:t xml:space="preserve">:</w:t>
      </w:r>
    </w:p>
    <w:p>
      <w:pPr>
        <w:numPr>
          <w:ilvl w:val="0"/>
          <w:numId w:val="1008"/>
        </w:numPr>
      </w:pPr>
      <w:r>
        <w:rPr>
          <w:b/>
          <w:bCs/>
        </w:rPr>
        <w:t xml:space="preserve">Why We Exist</w:t>
      </w:r>
      <w:r>
        <w:t xml:space="preserve">: Risk professionals deserve strategic influence equal to finance and operations leaders</w:t>
      </w:r>
    </w:p>
    <w:p>
      <w:pPr>
        <w:numPr>
          <w:ilvl w:val="0"/>
          <w:numId w:val="1008"/>
        </w:numPr>
      </w:pPr>
      <w:r>
        <w:rPr>
          <w:b/>
          <w:bCs/>
        </w:rPr>
        <w:t xml:space="preserve">Why Now</w:t>
      </w:r>
      <w:r>
        <w:t xml:space="preserve">: The FLUX business environment demands quantitative, scenario-driven risk intelligence</w:t>
      </w:r>
    </w:p>
    <w:p>
      <w:pPr>
        <w:numPr>
          <w:ilvl w:val="0"/>
          <w:numId w:val="1008"/>
        </w:numPr>
      </w:pPr>
      <w:r>
        <w:rPr>
          <w:b/>
          <w:bCs/>
        </w:rPr>
        <w:t xml:space="preserve">Why Us</w:t>
      </w:r>
      <w:r>
        <w:t xml:space="preserve">: Only integrated solution combining proven methodology, AI technology, and rapid implementation</w:t>
      </w:r>
    </w:p>
    <w:p>
      <w:pPr>
        <w:pStyle w:val="FirstParagraph"/>
      </w:pPr>
      <w:r>
        <w:rPr>
          <w:b/>
          <w:bCs/>
        </w:rPr>
        <w:t xml:space="preserve">Message Pillars</w:t>
      </w:r>
      <w:r>
        <w:t xml:space="preserve">:</w:t>
      </w:r>
    </w:p>
    <w:p>
      <w:pPr>
        <w:numPr>
          <w:ilvl w:val="0"/>
          <w:numId w:val="1009"/>
        </w:numPr>
      </w:pPr>
      <w:r>
        <w:rPr>
          <w:b/>
          <w:bCs/>
        </w:rPr>
        <w:t xml:space="preserve">From Colors to Numbers</w:t>
      </w:r>
      <w:r>
        <w:t xml:space="preserve">: Transform subjective risk into objective decision intelligence</w:t>
      </w:r>
    </w:p>
    <w:p>
      <w:pPr>
        <w:numPr>
          <w:ilvl w:val="0"/>
          <w:numId w:val="1009"/>
        </w:numPr>
      </w:pPr>
      <w:r>
        <w:rPr>
          <w:b/>
          <w:bCs/>
        </w:rPr>
        <w:t xml:space="preserve">Speed to Proof</w:t>
      </w:r>
      <w:r>
        <w:t xml:space="preserve">: Demonstrate value in 24-48 hours, not months</w:t>
      </w:r>
    </w:p>
    <w:p>
      <w:pPr>
        <w:numPr>
          <w:ilvl w:val="0"/>
          <w:numId w:val="1009"/>
        </w:numPr>
      </w:pPr>
      <w:r>
        <w:rPr>
          <w:b/>
          <w:bCs/>
        </w:rPr>
        <w:t xml:space="preserve">Strategic Elevation</w:t>
      </w:r>
      <w:r>
        <w:t xml:space="preserve">: Position CROs as peers to CFO/COO with quantitative insights</w:t>
      </w:r>
    </w:p>
    <w:p>
      <w:pPr>
        <w:numPr>
          <w:ilvl w:val="0"/>
          <w:numId w:val="1009"/>
        </w:numPr>
      </w:pPr>
      <w:r>
        <w:rPr>
          <w:b/>
          <w:bCs/>
        </w:rPr>
        <w:t xml:space="preserve">Integrated Solution</w:t>
      </w:r>
      <w:r>
        <w:t xml:space="preserve">: Methodology + technology + consultancy in one offering</w:t>
      </w:r>
    </w:p>
    <w:p>
      <w:pPr>
        <w:pStyle w:val="FirstParagraph"/>
      </w:pPr>
      <w:r>
        <w:rPr>
          <w:b/>
          <w:bCs/>
        </w:rPr>
        <w:t xml:space="preserve">Value by Persona</w:t>
      </w:r>
      <w:r>
        <w:t xml:space="preserve">:</w:t>
      </w:r>
    </w:p>
    <w:p>
      <w:pPr>
        <w:numPr>
          <w:ilvl w:val="0"/>
          <w:numId w:val="1010"/>
        </w:numPr>
      </w:pPr>
      <w:r>
        <w:rPr>
          <w:b/>
          <w:bCs/>
        </w:rPr>
        <w:t xml:space="preserve">CROs</w:t>
      </w:r>
      <w:r>
        <w:t xml:space="preserve">: Strategic influence, quantitative credibility, automated processes</w:t>
      </w:r>
    </w:p>
    <w:p>
      <w:pPr>
        <w:numPr>
          <w:ilvl w:val="0"/>
          <w:numId w:val="1010"/>
        </w:numPr>
      </w:pPr>
      <w:r>
        <w:rPr>
          <w:b/>
          <w:bCs/>
        </w:rPr>
        <w:t xml:space="preserve">CEOs</w:t>
      </w:r>
      <w:r>
        <w:t xml:space="preserve">: Data-driven risk intelligence for better strategic decisions</w:t>
      </w:r>
    </w:p>
    <w:p>
      <w:pPr>
        <w:numPr>
          <w:ilvl w:val="0"/>
          <w:numId w:val="1010"/>
        </w:numPr>
      </w:pPr>
      <w:r>
        <w:rPr>
          <w:b/>
          <w:bCs/>
        </w:rPr>
        <w:t xml:space="preserve">CFOs</w:t>
      </w:r>
      <w:r>
        <w:t xml:space="preserve">: Risk metrics that integrate with financial planning and analysis</w:t>
      </w:r>
    </w:p>
    <w:p>
      <w:pPr>
        <w:pStyle w:val="FirstParagraph"/>
      </w:pPr>
      <w:r>
        <w:rPr>
          <w:b/>
          <w:bCs/>
        </w:rPr>
        <w:t xml:space="preserve">Tone of Voice</w:t>
      </w:r>
      <w:r>
        <w:t xml:space="preserve">: Confident challenger, data-driven, pragmatic yet aspirational, thought-leadership authority.</w:t>
      </w:r>
    </w:p>
    <w:bookmarkEnd w:id="13"/>
    <w:bookmarkStart w:id="14" w:name="Xad4181b24197e6db298028f4210ff266c66d303"/>
    <w:p>
      <w:pPr>
        <w:pStyle w:val="Heading2"/>
      </w:pPr>
      <w:r>
        <w:t xml:space="preserve">6. Visual Identity</w:t>
      </w:r>
    </w:p>
    <w:p>
      <w:pPr>
        <w:pStyle w:val="FirstParagraph"/>
      </w:pPr>
      <w:r>
        <w:rPr>
          <w:i/>
          <w:iCs/>
        </w:rPr>
        <w:t xml:space="preserve">Missing - requires development</w:t>
      </w:r>
    </w:p>
    <w:bookmarkEnd w:id="14"/>
    <w:bookmarkStart w:id="15" w:name="Xd4eeda8d49ce6ebc1e405175c642a7834622f2b"/>
    <w:p>
      <w:pPr>
        <w:pStyle w:val="Heading2"/>
      </w:pPr>
      <w:r>
        <w:t xml:space="preserve">7. Content Strategy</w:t>
      </w:r>
    </w:p>
    <w:p>
      <w:pPr>
        <w:pStyle w:val="FirstParagraph"/>
      </w:pPr>
      <w:r>
        <w:rPr>
          <w:b/>
          <w:bCs/>
        </w:rPr>
        <w:t xml:space="preserve">Content Themes</w:t>
      </w:r>
      <w:r>
        <w:t xml:space="preserve">:</w:t>
      </w:r>
    </w:p>
    <w:p>
      <w:pPr>
        <w:numPr>
          <w:ilvl w:val="0"/>
          <w:numId w:val="1011"/>
        </w:numPr>
      </w:pPr>
      <w:r>
        <w:t xml:space="preserve">Quantitative risk transformation case studies and methodologies</w:t>
      </w:r>
    </w:p>
    <w:p>
      <w:pPr>
        <w:numPr>
          <w:ilvl w:val="0"/>
          <w:numId w:val="1011"/>
        </w:numPr>
      </w:pPr>
      <w:r>
        <w:t xml:space="preserve">FLUX framework application to risk management</w:t>
      </w:r>
    </w:p>
    <w:p>
      <w:pPr>
        <w:numPr>
          <w:ilvl w:val="0"/>
          <w:numId w:val="1011"/>
        </w:numPr>
      </w:pPr>
      <w:r>
        <w:t xml:space="preserve">CRO leadership and strategic influence development</w:t>
      </w:r>
    </w:p>
    <w:p>
      <w:pPr>
        <w:numPr>
          <w:ilvl w:val="0"/>
          <w:numId w:val="1011"/>
        </w:numPr>
      </w:pPr>
      <w:r>
        <w:t xml:space="preserve">Technology-enabled risk automation and analytics</w:t>
      </w:r>
    </w:p>
    <w:p>
      <w:pPr>
        <w:pStyle w:val="FirstParagraph"/>
      </w:pPr>
      <w:r>
        <w:rPr>
          <w:b/>
          <w:bCs/>
        </w:rPr>
        <w:t xml:space="preserve">Content Formats</w:t>
      </w:r>
      <w:r>
        <w:t xml:space="preserve">:</w:t>
      </w:r>
    </w:p>
    <w:p>
      <w:pPr>
        <w:numPr>
          <w:ilvl w:val="0"/>
          <w:numId w:val="1012"/>
        </w:numPr>
      </w:pPr>
      <w:r>
        <w:t xml:space="preserve">Thought leadership articles (LinkedIn, blog)</w:t>
      </w:r>
    </w:p>
    <w:p>
      <w:pPr>
        <w:numPr>
          <w:ilvl w:val="0"/>
          <w:numId w:val="1012"/>
        </w:numPr>
      </w:pPr>
      <w:r>
        <w:t xml:space="preserve">Risk transformation case studies</w:t>
      </w:r>
    </w:p>
    <w:p>
      <w:pPr>
        <w:numPr>
          <w:ilvl w:val="0"/>
          <w:numId w:val="1012"/>
        </w:numPr>
      </w:pPr>
      <w:r>
        <w:t xml:space="preserve">"Clarify in Uncertainty" video series</w:t>
      </w:r>
    </w:p>
    <w:p>
      <w:pPr>
        <w:numPr>
          <w:ilvl w:val="0"/>
          <w:numId w:val="1012"/>
        </w:numPr>
      </w:pPr>
      <w:r>
        <w:t xml:space="preserve">QRA Playbook methodology guides</w:t>
      </w:r>
    </w:p>
    <w:p>
      <w:pPr>
        <w:numPr>
          <w:ilvl w:val="0"/>
          <w:numId w:val="1012"/>
        </w:numPr>
      </w:pPr>
      <w:r>
        <w:t xml:space="preserve">FLUX framework whitepapers</w:t>
      </w:r>
    </w:p>
    <w:p>
      <w:pPr>
        <w:pStyle w:val="FirstParagraph"/>
      </w:pPr>
      <w:r>
        <w:rPr>
          <w:b/>
          <w:bCs/>
        </w:rPr>
        <w:t xml:space="preserve">Content Journey Mapping</w:t>
      </w:r>
      <w:r>
        <w:t xml:space="preserve">:</w:t>
      </w:r>
    </w:p>
    <w:p>
      <w:pPr>
        <w:numPr>
          <w:ilvl w:val="0"/>
          <w:numId w:val="1013"/>
        </w:numPr>
      </w:pPr>
      <w:r>
        <w:rPr>
          <w:b/>
          <w:bCs/>
        </w:rPr>
        <w:t xml:space="preserve">Top of Funnel</w:t>
      </w:r>
      <w:r>
        <w:t xml:space="preserve">: FLUX framework content, industry challenges</w:t>
      </w:r>
    </w:p>
    <w:p>
      <w:pPr>
        <w:numPr>
          <w:ilvl w:val="0"/>
          <w:numId w:val="1013"/>
        </w:numPr>
      </w:pPr>
      <w:r>
        <w:rPr>
          <w:b/>
          <w:bCs/>
        </w:rPr>
        <w:t xml:space="preserve">Middle of Funnel</w:t>
      </w:r>
      <w:r>
        <w:t xml:space="preserve">: QRA methodology explanations, case studies</w:t>
      </w:r>
    </w:p>
    <w:p>
      <w:pPr>
        <w:numPr>
          <w:ilvl w:val="0"/>
          <w:numId w:val="1013"/>
        </w:numPr>
      </w:pPr>
      <w:r>
        <w:rPr>
          <w:b/>
          <w:bCs/>
        </w:rPr>
        <w:t xml:space="preserve">Bottom of Funnel</w:t>
      </w:r>
      <w:r>
        <w:t xml:space="preserve">: Proof of concept offers, implementation guides</w:t>
      </w:r>
    </w:p>
    <w:bookmarkEnd w:id="15"/>
    <w:bookmarkStart w:id="16" w:name="X3c2789c9e0b6676e2dc6f177bad1c6c01346643"/>
    <w:p>
      <w:pPr>
        <w:pStyle w:val="Heading2"/>
      </w:pPr>
      <w:r>
        <w:t xml:space="preserve">8. Sales &amp; Marketing Alignment</w:t>
      </w:r>
    </w:p>
    <w:p>
      <w:pPr>
        <w:pStyle w:val="FirstParagraph"/>
      </w:pPr>
      <w:r>
        <w:rPr>
          <w:b/>
          <w:bCs/>
        </w:rPr>
        <w:t xml:space="preserve">Go-to-Market Narrative</w:t>
      </w:r>
      <w:r>
        <w:t xml:space="preserve">: Marketing generates awareness through thought leadership content, nurtures with methodology education, and qualifies prospects for sales conversations focused on QRA Playbook implementation.</w:t>
      </w:r>
    </w:p>
    <w:p>
      <w:pPr>
        <w:pStyle w:val="BodyText"/>
      </w:pPr>
      <w:r>
        <w:rPr>
          <w:b/>
          <w:bCs/>
        </w:rPr>
        <w:t xml:space="preserve">Lead Qualification Framework</w:t>
      </w:r>
      <w:r>
        <w:t xml:space="preserve">:</w:t>
      </w:r>
    </w:p>
    <w:p>
      <w:pPr>
        <w:numPr>
          <w:ilvl w:val="0"/>
          <w:numId w:val="1014"/>
        </w:numPr>
      </w:pPr>
      <w:r>
        <w:t xml:space="preserve">Budget: £25K+ for proof of concept</w:t>
      </w:r>
    </w:p>
    <w:p>
      <w:pPr>
        <w:numPr>
          <w:ilvl w:val="0"/>
          <w:numId w:val="1014"/>
        </w:numPr>
      </w:pPr>
      <w:r>
        <w:t xml:space="preserve">Authority: CRO or direct report influence</w:t>
      </w:r>
    </w:p>
    <w:p>
      <w:pPr>
        <w:numPr>
          <w:ilvl w:val="0"/>
          <w:numId w:val="1014"/>
        </w:numPr>
      </w:pPr>
      <w:r>
        <w:t xml:space="preserve">Need: Frustrated with current qualitative approach</w:t>
      </w:r>
    </w:p>
    <w:p>
      <w:pPr>
        <w:numPr>
          <w:ilvl w:val="0"/>
          <w:numId w:val="1014"/>
        </w:numPr>
      </w:pPr>
      <w:r>
        <w:t xml:space="preserve">Timeline: Ready for 24-48 hour proof within 30 days</w:t>
      </w:r>
    </w:p>
    <w:bookmarkEnd w:id="16"/>
    <w:bookmarkStart w:id="17" w:name="X87ab8c63cad5472f77a6a6f0dac15f73090c252"/>
    <w:p>
      <w:pPr>
        <w:pStyle w:val="Heading2"/>
      </w:pPr>
      <w:r>
        <w:t xml:space="preserve">9. Challenger/Sandler Sales Process Integration</w:t>
      </w:r>
    </w:p>
    <w:p>
      <w:pPr>
        <w:pStyle w:val="FirstParagraph"/>
      </w:pPr>
      <w:r>
        <w:rPr>
          <w:b/>
          <w:bCs/>
        </w:rPr>
        <w:t xml:space="preserve">Challenger Model</w:t>
      </w:r>
      <w:r>
        <w:t xml:space="preserve">:</w:t>
      </w:r>
    </w:p>
    <w:p>
      <w:pPr>
        <w:numPr>
          <w:ilvl w:val="0"/>
          <w:numId w:val="1015"/>
        </w:numPr>
      </w:pPr>
      <w:r>
        <w:rPr>
          <w:b/>
          <w:bCs/>
        </w:rPr>
        <w:t xml:space="preserve">Teach</w:t>
      </w:r>
      <w:r>
        <w:t xml:space="preserve">: Commercial insights about quantitative risk transformation and CRO strategic positioning</w:t>
      </w:r>
    </w:p>
    <w:p>
      <w:pPr>
        <w:numPr>
          <w:ilvl w:val="0"/>
          <w:numId w:val="1015"/>
        </w:numPr>
      </w:pPr>
      <w:r>
        <w:rPr>
          <w:b/>
          <w:bCs/>
        </w:rPr>
        <w:t xml:space="preserve">Tailor</w:t>
      </w:r>
      <w:r>
        <w:t xml:space="preserve">: Map insights to specific CRO frustrations with current approach</w:t>
      </w:r>
    </w:p>
    <w:p>
      <w:pPr>
        <w:numPr>
          <w:ilvl w:val="0"/>
          <w:numId w:val="1015"/>
        </w:numPr>
      </w:pPr>
      <w:r>
        <w:rPr>
          <w:b/>
          <w:bCs/>
        </w:rPr>
        <w:t xml:space="preserve">Take Control</w:t>
      </w:r>
      <w:r>
        <w:t xml:space="preserve">: Drive urgency through limited-time proof of concept offers</w:t>
      </w:r>
    </w:p>
    <w:p>
      <w:pPr>
        <w:pStyle w:val="FirstParagraph"/>
      </w:pPr>
      <w:r>
        <w:rPr>
          <w:b/>
          <w:bCs/>
        </w:rPr>
        <w:t xml:space="preserve">Sandler Selling</w:t>
      </w:r>
      <w:r>
        <w:t xml:space="preserve">:</w:t>
      </w:r>
    </w:p>
    <w:p>
      <w:pPr>
        <w:numPr>
          <w:ilvl w:val="0"/>
          <w:numId w:val="1016"/>
        </w:numPr>
      </w:pPr>
      <w:r>
        <w:rPr>
          <w:b/>
          <w:bCs/>
        </w:rPr>
        <w:t xml:space="preserve">Bonding &amp; Rapport</w:t>
      </w:r>
      <w:r>
        <w:t xml:space="preserve">: Share "Clarify in Uncertainty" brand story and methodology background</w:t>
      </w:r>
    </w:p>
    <w:p>
      <w:pPr>
        <w:numPr>
          <w:ilvl w:val="0"/>
          <w:numId w:val="1016"/>
        </w:numPr>
      </w:pPr>
      <w:r>
        <w:rPr>
          <w:b/>
          <w:bCs/>
        </w:rPr>
        <w:t xml:space="preserve">Up-Front Contract</w:t>
      </w:r>
      <w:r>
        <w:t xml:space="preserve">: Agree on proof of concept evaluation criteria and next steps</w:t>
      </w:r>
    </w:p>
    <w:p>
      <w:pPr>
        <w:numPr>
          <w:ilvl w:val="0"/>
          <w:numId w:val="1016"/>
        </w:numPr>
      </w:pPr>
      <w:r>
        <w:rPr>
          <w:b/>
          <w:bCs/>
        </w:rPr>
        <w:t xml:space="preserve">Pain</w:t>
      </w:r>
      <w:r>
        <w:t xml:space="preserve">: Dig into specific frustrations with qualitative risk, lack of C-suite engagement</w:t>
      </w:r>
    </w:p>
    <w:p>
      <w:pPr>
        <w:numPr>
          <w:ilvl w:val="0"/>
          <w:numId w:val="1016"/>
        </w:numPr>
      </w:pPr>
      <w:r>
        <w:rPr>
          <w:b/>
          <w:bCs/>
        </w:rPr>
        <w:t xml:space="preserve">Budget &amp; Decision</w:t>
      </w:r>
      <w:r>
        <w:t xml:space="preserve">: Pre-qualify for £25K Stage 1, £105K Stage 2 investments</w:t>
      </w:r>
    </w:p>
    <w:p>
      <w:pPr>
        <w:numPr>
          <w:ilvl w:val="0"/>
          <w:numId w:val="1016"/>
        </w:numPr>
      </w:pPr>
      <w:r>
        <w:rPr>
          <w:b/>
          <w:bCs/>
        </w:rPr>
        <w:t xml:space="preserve">Fulfillment</w:t>
      </w:r>
      <w:r>
        <w:t xml:space="preserve">: Present tailored QRA Playbook aligned with their specific risk challenges</w:t>
      </w:r>
    </w:p>
    <w:p>
      <w:pPr>
        <w:numPr>
          <w:ilvl w:val="0"/>
          <w:numId w:val="1016"/>
        </w:numPr>
      </w:pPr>
      <w:r>
        <w:rPr>
          <w:b/>
          <w:bCs/>
        </w:rPr>
        <w:t xml:space="preserve">Post-Sell</w:t>
      </w:r>
      <w:r>
        <w:t xml:space="preserve">: Reinforce transformation value, plan Stage 2 implementation</w:t>
      </w:r>
    </w:p>
    <w:p>
      <w:pPr>
        <w:pStyle w:val="FirstParagraph"/>
      </w:pPr>
      <w:r>
        <w:rPr>
          <w:b/>
          <w:bCs/>
        </w:rPr>
        <w:t xml:space="preserve">Email Sequence Framework</w:t>
      </w:r>
      <w:r>
        <w:t xml:space="preserve">:</w:t>
      </w:r>
    </w:p>
    <w:p>
      <w:pPr>
        <w:numPr>
          <w:ilvl w:val="0"/>
          <w:numId w:val="1017"/>
        </w:numPr>
      </w:pPr>
      <w:r>
        <w:rPr>
          <w:b/>
          <w:bCs/>
        </w:rPr>
        <w:t xml:space="preserve">Opening</w:t>
      </w:r>
      <w:r>
        <w:t xml:space="preserve">: FLUX framework insight relevant to their industry</w:t>
      </w:r>
    </w:p>
    <w:p>
      <w:pPr>
        <w:numPr>
          <w:ilvl w:val="0"/>
          <w:numId w:val="1017"/>
        </w:numPr>
      </w:pPr>
      <w:r>
        <w:rPr>
          <w:b/>
          <w:bCs/>
        </w:rPr>
        <w:t xml:space="preserve">Problem Agitation</w:t>
      </w:r>
      <w:r>
        <w:t xml:space="preserve">: CRO influence gap vs. CFO/COO with numbers</w:t>
      </w:r>
    </w:p>
    <w:p>
      <w:pPr>
        <w:numPr>
          <w:ilvl w:val="0"/>
          <w:numId w:val="1017"/>
        </w:numPr>
      </w:pPr>
      <w:r>
        <w:rPr>
          <w:b/>
          <w:bCs/>
        </w:rPr>
        <w:t xml:space="preserve">Solution Introduction</w:t>
      </w:r>
      <w:r>
        <w:t xml:space="preserve">: QRA Playbook methodology overview</w:t>
      </w:r>
    </w:p>
    <w:p>
      <w:pPr>
        <w:numPr>
          <w:ilvl w:val="0"/>
          <w:numId w:val="1017"/>
        </w:numPr>
      </w:pPr>
      <w:r>
        <w:rPr>
          <w:b/>
          <w:bCs/>
        </w:rPr>
        <w:t xml:space="preserve">Proof of Concept Offer</w:t>
      </w:r>
      <w:r>
        <w:t xml:space="preserve">: 24-48 hour transformation challenge</w:t>
      </w:r>
    </w:p>
    <w:p>
      <w:pPr>
        <w:numPr>
          <w:ilvl w:val="0"/>
          <w:numId w:val="1017"/>
        </w:numPr>
      </w:pPr>
      <w:r>
        <w:rPr>
          <w:b/>
          <w:bCs/>
        </w:rPr>
        <w:t xml:space="preserve">Case Study</w:t>
      </w:r>
      <w:r>
        <w:t xml:space="preserve">: Similar organization's transformation results</w:t>
      </w:r>
    </w:p>
    <w:p>
      <w:pPr>
        <w:numPr>
          <w:ilvl w:val="0"/>
          <w:numId w:val="1017"/>
        </w:numPr>
      </w:pPr>
      <w:r>
        <w:rPr>
          <w:b/>
          <w:bCs/>
        </w:rPr>
        <w:t xml:space="preserve">Urgency/Scarcity</w:t>
      </w:r>
      <w:r>
        <w:t xml:space="preserve">: Limited proof of concept slots available</w:t>
      </w:r>
    </w:p>
    <w:p>
      <w:pPr>
        <w:numPr>
          <w:ilvl w:val="0"/>
          <w:numId w:val="1017"/>
        </w:numPr>
      </w:pPr>
      <w:r>
        <w:rPr>
          <w:b/>
          <w:bCs/>
        </w:rPr>
        <w:t xml:space="preserve">Final Call</w:t>
      </w:r>
      <w:r>
        <w:t xml:space="preserve">: Direct offer for discovery conversation</w:t>
      </w:r>
    </w:p>
    <w:bookmarkEnd w:id="17"/>
    <w:bookmarkStart w:id="18" w:name="X0d192850ded0062db8d3c078113fc4729c752f4"/>
    <w:p>
      <w:pPr>
        <w:pStyle w:val="Heading2"/>
      </w:pPr>
      <w:r>
        <w:t xml:space="preserve">10. Channel &amp; Campaign Guidelines</w:t>
      </w:r>
    </w:p>
    <w:p>
      <w:pPr>
        <w:pStyle w:val="FirstParagraph"/>
      </w:pPr>
      <w:r>
        <w:rPr>
          <w:b/>
          <w:bCs/>
        </w:rPr>
        <w:t xml:space="preserve">Website</w:t>
      </w:r>
      <w:r>
        <w:t xml:space="preserve">:</w:t>
      </w:r>
    </w:p>
    <w:p>
      <w:pPr>
        <w:numPr>
          <w:ilvl w:val="0"/>
          <w:numId w:val="1018"/>
        </w:numPr>
      </w:pPr>
      <w:r>
        <w:t xml:space="preserve">Headline: "Transform Risk from Colors to Numbers"</w:t>
      </w:r>
    </w:p>
    <w:p>
      <w:pPr>
        <w:numPr>
          <w:ilvl w:val="0"/>
          <w:numId w:val="1018"/>
        </w:numPr>
      </w:pPr>
      <w:r>
        <w:t xml:space="preserve">Subhead: "The only solution that elevates CROs to strategic peers through quantitative risk intelligence"</w:t>
      </w:r>
    </w:p>
    <w:p>
      <w:pPr>
        <w:numPr>
          <w:ilvl w:val="0"/>
          <w:numId w:val="1018"/>
        </w:numPr>
      </w:pPr>
      <w:r>
        <w:t xml:space="preserve">Primary CTA: "Book Your 24-Hour Proof of Concept"</w:t>
      </w:r>
    </w:p>
    <w:p>
      <w:pPr>
        <w:pStyle w:val="FirstParagraph"/>
      </w:pPr>
      <w:r>
        <w:rPr>
          <w:b/>
          <w:bCs/>
        </w:rPr>
        <w:t xml:space="preserve">Email</w:t>
      </w:r>
      <w:r>
        <w:t xml:space="preserve">: Professional, data-driven tone with specific metrics and timeframes</w:t>
      </w:r>
    </w:p>
    <w:p>
      <w:pPr>
        <w:pStyle w:val="BodyText"/>
      </w:pPr>
      <w:r>
        <w:rPr>
          <w:b/>
          <w:bCs/>
        </w:rPr>
        <w:t xml:space="preserve">LinkedIn</w:t>
      </w:r>
      <w:r>
        <w:t xml:space="preserve">: Thought leadership articles, FLUX framework insights, CRO influence positioning</w:t>
      </w:r>
    </w:p>
    <w:p>
      <w:pPr>
        <w:pStyle w:val="BodyText"/>
      </w:pPr>
      <w:r>
        <w:rPr>
          <w:b/>
          <w:bCs/>
        </w:rPr>
        <w:t xml:space="preserve">Standard Meetings Available for Booking</w:t>
      </w:r>
      <w:r>
        <w:t xml:space="preserve">:</w:t>
      </w:r>
    </w:p>
    <w:p>
      <w:pPr>
        <w:numPr>
          <w:ilvl w:val="0"/>
          <w:numId w:val="1019"/>
        </w:numPr>
      </w:pPr>
      <w:r>
        <w:rPr>
          <w:b/>
          <w:bCs/>
        </w:rPr>
        <w:t xml:space="preserve">Risk Transformation Discovery</w:t>
      </w:r>
      <w:r>
        <w:t xml:space="preserve"> </w:t>
      </w:r>
      <w:r>
        <w:t xml:space="preserve">(30 min): Assess current approach and transformation readiness</w:t>
      </w:r>
    </w:p>
    <w:p>
      <w:pPr>
        <w:numPr>
          <w:ilvl w:val="0"/>
          <w:numId w:val="1019"/>
        </w:numPr>
      </w:pPr>
      <w:r>
        <w:rPr>
          <w:b/>
          <w:bCs/>
        </w:rPr>
        <w:t xml:space="preserve">QRA Playbook Deep Dive</w:t>
      </w:r>
      <w:r>
        <w:t xml:space="preserve"> </w:t>
      </w:r>
      <w:r>
        <w:t xml:space="preserve">(45 min): Methodology explanation and fit assessment</w:t>
      </w:r>
    </w:p>
    <w:p>
      <w:pPr>
        <w:numPr>
          <w:ilvl w:val="0"/>
          <w:numId w:val="1019"/>
        </w:numPr>
      </w:pPr>
      <w:r>
        <w:rPr>
          <w:b/>
          <w:bCs/>
        </w:rPr>
        <w:t xml:space="preserve">Proof of Concept Scoping</w:t>
      </w:r>
      <w:r>
        <w:t xml:space="preserve"> </w:t>
      </w:r>
      <w:r>
        <w:t xml:space="preserve">(60 min): Define Stage 1 parameters and success criteria</w:t>
      </w:r>
    </w:p>
    <w:bookmarkEnd w:id="18"/>
    <w:bookmarkStart w:id="19" w:name="X52923175c8242e0db95f86b673c7c33f70d0546"/>
    <w:p>
      <w:pPr>
        <w:pStyle w:val="Heading2"/>
      </w:pPr>
      <w:r>
        <w:t xml:space="preserve">11. Measurement &amp; Success Metrics</w:t>
      </w:r>
    </w:p>
    <w:p>
      <w:pPr>
        <w:pStyle w:val="FirstParagraph"/>
      </w:pPr>
      <w:r>
        <w:rPr>
          <w:b/>
          <w:bCs/>
        </w:rPr>
        <w:t xml:space="preserve">Brand KPIs</w:t>
      </w:r>
      <w:r>
        <w:t xml:space="preserve">:</w:t>
      </w:r>
    </w:p>
    <w:p>
      <w:pPr>
        <w:numPr>
          <w:ilvl w:val="0"/>
          <w:numId w:val="1020"/>
        </w:numPr>
      </w:pPr>
      <w:r>
        <w:t xml:space="preserve">Thought leadership engagement (LinkedIn, book downloads)</w:t>
      </w:r>
    </w:p>
    <w:p>
      <w:pPr>
        <w:numPr>
          <w:ilvl w:val="0"/>
          <w:numId w:val="1020"/>
        </w:numPr>
      </w:pPr>
      <w:r>
        <w:t xml:space="preserve">"Clarify in Uncertainty" brand mention tracking</w:t>
      </w:r>
    </w:p>
    <w:p>
      <w:pPr>
        <w:numPr>
          <w:ilvl w:val="0"/>
          <w:numId w:val="1020"/>
        </w:numPr>
      </w:pPr>
      <w:r>
        <w:t xml:space="preserve">Share of voice in risk management content</w:t>
      </w:r>
    </w:p>
    <w:p>
      <w:pPr>
        <w:pStyle w:val="FirstParagraph"/>
      </w:pPr>
      <w:r>
        <w:rPr>
          <w:b/>
          <w:bCs/>
        </w:rPr>
        <w:t xml:space="preserve">Sales KPIs</w:t>
      </w:r>
      <w:r>
        <w:t xml:space="preserve">:</w:t>
      </w:r>
    </w:p>
    <w:p>
      <w:pPr>
        <w:numPr>
          <w:ilvl w:val="0"/>
          <w:numId w:val="1021"/>
        </w:numPr>
      </w:pPr>
      <w:r>
        <w:t xml:space="preserve">Proof of concept conversion rate (discovery to Stage 1)</w:t>
      </w:r>
    </w:p>
    <w:p>
      <w:pPr>
        <w:numPr>
          <w:ilvl w:val="0"/>
          <w:numId w:val="1021"/>
        </w:numPr>
      </w:pPr>
      <w:r>
        <w:t xml:space="preserve">Stage 1 to Stage 2 progression rate</w:t>
      </w:r>
    </w:p>
    <w:p>
      <w:pPr>
        <w:numPr>
          <w:ilvl w:val="0"/>
          <w:numId w:val="1021"/>
        </w:numPr>
      </w:pPr>
      <w:r>
        <w:t xml:space="preserve">Average deal size and timeline</w:t>
      </w:r>
    </w:p>
    <w:p>
      <w:pPr>
        <w:pStyle w:val="FirstParagraph"/>
      </w:pPr>
      <w:r>
        <w:rPr>
          <w:b/>
          <w:bCs/>
        </w:rPr>
        <w:t xml:space="preserve">Content KPIs</w:t>
      </w:r>
      <w:r>
        <w:t xml:space="preserve">:</w:t>
      </w:r>
    </w:p>
    <w:p>
      <w:pPr>
        <w:numPr>
          <w:ilvl w:val="0"/>
          <w:numId w:val="1022"/>
        </w:numPr>
      </w:pPr>
      <w:r>
        <w:t xml:space="preserve">FLUX framework content engagement</w:t>
      </w:r>
    </w:p>
    <w:p>
      <w:pPr>
        <w:numPr>
          <w:ilvl w:val="0"/>
          <w:numId w:val="1022"/>
        </w:numPr>
      </w:pPr>
      <w:r>
        <w:t xml:space="preserve">QRA methodology guide downloads</w:t>
      </w:r>
    </w:p>
    <w:p>
      <w:pPr>
        <w:numPr>
          <w:ilvl w:val="0"/>
          <w:numId w:val="1022"/>
        </w:numPr>
      </w:pPr>
      <w:r>
        <w:t xml:space="preserve">Email sequence open/click rates</w:t>
      </w:r>
    </w:p>
    <w:bookmarkEnd w:id="19"/>
    <w:bookmarkStart w:id="20" w:name="X151eec0248e8959160372638242b72697e9c19c"/>
    <w:p>
      <w:pPr>
        <w:pStyle w:val="Heading2"/>
      </w:pPr>
      <w:r>
        <w:t xml:space="preserve">12. Action Plan / Next Steps</w:t>
      </w:r>
    </w:p>
    <w:p>
      <w:pPr>
        <w:pStyle w:val="FirstParagraph"/>
      </w:pPr>
      <w:r>
        <w:rPr>
          <w:b/>
          <w:bCs/>
        </w:rPr>
        <w:t xml:space="preserve">90-Day Rollout Plan</w:t>
      </w:r>
      <w:r>
        <w:t xml:space="preserve">:</w:t>
      </w:r>
    </w:p>
    <w:p>
      <w:pPr>
        <w:pStyle w:val="BodyText"/>
      </w:pPr>
      <w:r>
        <w:rPr>
          <w:b/>
          <w:bCs/>
        </w:rPr>
        <w:t xml:space="preserve">Days 1-30</w:t>
      </w:r>
      <w:r>
        <w:t xml:space="preserve">: Foundation</w:t>
      </w:r>
    </w:p>
    <w:p>
      <w:pPr>
        <w:numPr>
          <w:ilvl w:val="0"/>
          <w:numId w:val="1023"/>
        </w:numPr>
      </w:pPr>
      <w:r>
        <w:t xml:space="preserve">Finalize brand messaging and visual identity</w:t>
      </w:r>
    </w:p>
    <w:p>
      <w:pPr>
        <w:numPr>
          <w:ilvl w:val="0"/>
          <w:numId w:val="1023"/>
        </w:numPr>
      </w:pPr>
      <w:r>
        <w:t xml:space="preserve">Develop QRA Playbook methodology documentation</w:t>
      </w:r>
    </w:p>
    <w:p>
      <w:pPr>
        <w:numPr>
          <w:ilvl w:val="0"/>
          <w:numId w:val="1023"/>
        </w:numPr>
      </w:pPr>
      <w:r>
        <w:t xml:space="preserve">Create proof of concept scoping templates</w:t>
      </w:r>
    </w:p>
    <w:p>
      <w:pPr>
        <w:numPr>
          <w:ilvl w:val="0"/>
          <w:numId w:val="1023"/>
        </w:numPr>
      </w:pPr>
      <w:r>
        <w:t xml:space="preserve">Build email sequence automation</w:t>
      </w:r>
    </w:p>
    <w:p>
      <w:pPr>
        <w:pStyle w:val="FirstParagraph"/>
      </w:pPr>
      <w:r>
        <w:rPr>
          <w:b/>
          <w:bCs/>
        </w:rPr>
        <w:t xml:space="preserve">Days 31-60</w:t>
      </w:r>
      <w:r>
        <w:t xml:space="preserve">: Content &amp; Collateral</w:t>
      </w:r>
    </w:p>
    <w:p>
      <w:pPr>
        <w:numPr>
          <w:ilvl w:val="0"/>
          <w:numId w:val="1024"/>
        </w:numPr>
      </w:pPr>
      <w:r>
        <w:t xml:space="preserve">Launch FLUX framework thought leadership series</w:t>
      </w:r>
    </w:p>
    <w:p>
      <w:pPr>
        <w:numPr>
          <w:ilvl w:val="0"/>
          <w:numId w:val="1024"/>
        </w:numPr>
      </w:pPr>
      <w:r>
        <w:t xml:space="preserve">Develop case study templates and initial stories</w:t>
      </w:r>
    </w:p>
    <w:p>
      <w:pPr>
        <w:numPr>
          <w:ilvl w:val="0"/>
          <w:numId w:val="1024"/>
        </w:numPr>
      </w:pPr>
      <w:r>
        <w:t xml:space="preserve">Create standard meeting booking system</w:t>
      </w:r>
    </w:p>
    <w:p>
      <w:pPr>
        <w:numPr>
          <w:ilvl w:val="0"/>
          <w:numId w:val="1024"/>
        </w:numPr>
      </w:pPr>
      <w:r>
        <w:t xml:space="preserve">Build LinkedIn content calendar</w:t>
      </w:r>
    </w:p>
    <w:p>
      <w:pPr>
        <w:pStyle w:val="FirstParagraph"/>
      </w:pPr>
      <w:r>
        <w:rPr>
          <w:b/>
          <w:bCs/>
        </w:rPr>
        <w:t xml:space="preserve">Days 61-90</w:t>
      </w:r>
      <w:r>
        <w:t xml:space="preserve">: Campaign Launch</w:t>
      </w:r>
    </w:p>
    <w:p>
      <w:pPr>
        <w:numPr>
          <w:ilvl w:val="0"/>
          <w:numId w:val="1025"/>
        </w:numPr>
      </w:pPr>
      <w:r>
        <w:t xml:space="preserve">Begin targeted CRO outreach campaigns</w:t>
      </w:r>
    </w:p>
    <w:p>
      <w:pPr>
        <w:numPr>
          <w:ilvl w:val="0"/>
          <w:numId w:val="1025"/>
        </w:numPr>
      </w:pPr>
      <w:r>
        <w:t xml:space="preserve">Launch proof of concept offering</w:t>
      </w:r>
    </w:p>
    <w:p>
      <w:pPr>
        <w:numPr>
          <w:ilvl w:val="0"/>
          <w:numId w:val="1025"/>
        </w:numPr>
      </w:pPr>
      <w:r>
        <w:t xml:space="preserve">Implement Sandler sales process training</w:t>
      </w:r>
    </w:p>
    <w:p>
      <w:pPr>
        <w:numPr>
          <w:ilvl w:val="0"/>
          <w:numId w:val="1025"/>
        </w:numPr>
      </w:pPr>
      <w:r>
        <w:t xml:space="preserve">Establish measurement and reporting systems</w:t>
      </w:r>
    </w:p>
    <w:p>
      <w:pPr>
        <w:pStyle w:val="FirstParagraph"/>
      </w:pPr>
      <w:r>
        <w:rPr>
          <w:b/>
          <w:bCs/>
        </w:rPr>
        <w:t xml:space="preserve">Owners</w:t>
      </w:r>
      <w:r>
        <w:t xml:space="preserve">:</w:t>
      </w:r>
    </w:p>
    <w:p>
      <w:pPr>
        <w:numPr>
          <w:ilvl w:val="0"/>
          <w:numId w:val="1026"/>
        </w:numPr>
      </w:pPr>
      <w:r>
        <w:t xml:space="preserve">Brand Strategy: Founder/Leadership team</w:t>
      </w:r>
    </w:p>
    <w:p>
      <w:pPr>
        <w:numPr>
          <w:ilvl w:val="0"/>
          <w:numId w:val="1026"/>
        </w:numPr>
      </w:pPr>
      <w:r>
        <w:t xml:space="preserve">Content Development: Marketing team</w:t>
      </w:r>
    </w:p>
    <w:p>
      <w:pPr>
        <w:numPr>
          <w:ilvl w:val="0"/>
          <w:numId w:val="1026"/>
        </w:numPr>
      </w:pPr>
      <w:r>
        <w:t xml:space="preserve">Sales Process: Sales team with Sandler methodology training</w:t>
      </w:r>
    </w:p>
    <w:p>
      <w:pPr>
        <w:numPr>
          <w:ilvl w:val="0"/>
          <w:numId w:val="1026"/>
        </w:numPr>
      </w:pPr>
      <w:r>
        <w:t xml:space="preserve">Technology Platform: Development team for Predixtive integration</w:t>
      </w:r>
    </w:p>
    <w:p>
      <w:pPr>
        <w:pStyle w:val="FirstParagraph"/>
      </w:pPr>
      <w:r>
        <w:t xml:space="preserve">This brand strategy positions DecideWright as the definitive challenger brand in enterprise risk management, combining Simon Sinek's purpose-driven approach with Daniel Priestley's practical go-to-market execution, specifically designed to transform how CROs operate in the modern FLUX business environment.</w:t>
      </w:r>
    </w:p>
    <w:p>
      <w:pPr>
        <w:pStyle w:val="BodyText"/>
      </w:pPr>
      <w:r>
        <w:t xml:space="preserve">AS</w:t>
      </w:r>
    </w:p>
    <w:p>
      <w:pPr>
        <w:pStyle w:val="BodyText"/>
      </w:pPr>
      <w:r>
        <w:t xml:space="preserve">Create an article for Decidewright, based on</w:t>
      </w:r>
    </w:p>
    <w:p>
      <w:pPr>
        <w:pStyle w:val="BodyText"/>
      </w:pPr>
      <w:r>
        <w:t xml:space="preserve">Edit</w:t>
      </w:r>
    </w:p>
    <w:bookmarkEnd w:id="20"/>
    <w:bookmarkEnd w:id="21"/>
    <w:bookmarkStart w:id="28" w:name="X8feaee25bfa8b1d7ffe024dfaf5b840d54250d6"/>
    <w:p>
      <w:pPr>
        <w:pStyle w:val="Heading1"/>
      </w:pPr>
      <w:r>
        <w:t xml:space="preserve">The FLUX Era: Why Chief Risk Officers Need Quantitative Intelligence More Than Ever</w:t>
      </w:r>
    </w:p>
    <w:p>
      <w:pPr>
        <w:pStyle w:val="FirstParagraph"/>
      </w:pPr>
      <w:r>
        <w:rPr>
          <w:i/>
          <w:iCs/>
        </w:rPr>
        <w:t xml:space="preserve">How the new business climate demands a fundamental shift from qualitative to quantitative risk management</w:t>
      </w:r>
    </w:p>
    <w:p>
      <w:pPr>
        <w:pStyle w:val="BodyText"/>
      </w:pPr>
      <w:r>
        <w:t xml:space="preserve">The traditional risk management playbook is broken. Not because the methodologies were wrong, but because the world they were designed for no longer exists. We've entered what I call the FLUX era—a business climate defined by Friction &amp; Fragmentation, Liquid dynamics, Unilateralism &amp; Unpredictability, and eXtreme polarization. In this environment, the qualitative risk assessments that once sufficed now leave Chief Risk Officers presenting colors while their CFO and COO peers present numbers.</w:t>
      </w:r>
    </w:p>
    <w:bookmarkStart w:id="22" w:name="Xc90a390e58952da0606d97c1970ba2cf4ced3ac"/>
    <w:p>
      <w:pPr>
        <w:pStyle w:val="Heading2"/>
      </w:pPr>
      <w:r>
        <w:t xml:space="preserve">Beyond VUCA: Understanding the FLUX Reality</w:t>
      </w:r>
    </w:p>
    <w:p>
      <w:pPr>
        <w:pStyle w:val="FirstParagraph"/>
      </w:pPr>
      <w:r>
        <w:t xml:space="preserve">While many organizations still operate under VUCA (Volatility, Uncertainty, Complexity, Ambiguity) frameworks, the Trump era introduced something more specific and challenging. FLUX provides a sharper lens for understanding the unique pressures facing financial services today:</w:t>
      </w:r>
    </w:p>
    <w:p>
      <w:pPr>
        <w:pStyle w:val="BodyText"/>
      </w:pPr>
      <w:r>
        <w:rPr>
          <w:b/>
          <w:bCs/>
        </w:rPr>
        <w:t xml:space="preserve">Friction &amp; Fragmentation</w:t>
      </w:r>
      <w:r>
        <w:t xml:space="preserve"> </w:t>
      </w:r>
      <w:r>
        <w:t xml:space="preserve">has disrupted supply chains and created uncertain market access. Long-standing partnerships that risk models assumed would remain stable have fractured overnight. Traditional regulatory coordination has weakened, creating a patchwork of compliance requirements that shift without warning.</w:t>
      </w:r>
    </w:p>
    <w:p>
      <w:pPr>
        <w:pStyle w:val="BodyText"/>
      </w:pPr>
      <w:r>
        <w:rPr>
          <w:b/>
          <w:bCs/>
        </w:rPr>
        <w:t xml:space="preserve">Liquid dynamics</w:t>
      </w:r>
      <w:r>
        <w:t xml:space="preserve"> </w:t>
      </w:r>
      <w:r>
        <w:t xml:space="preserve">mean policies can be announced and reversed within hours. The governance models that traditional risk assessment relied upon—predictable policy cycles, stable regulatory frameworks, consistent market behaviors—have given way to personality-led leadership and social media-driven decisions that defy conventional analysis.</w:t>
      </w:r>
    </w:p>
    <w:p>
      <w:pPr>
        <w:pStyle w:val="BodyText"/>
      </w:pPr>
      <w:r>
        <w:rPr>
          <w:b/>
          <w:bCs/>
        </w:rPr>
        <w:t xml:space="preserve">Unilateralism &amp; Unpredictability</w:t>
      </w:r>
      <w:r>
        <w:t xml:space="preserve"> </w:t>
      </w:r>
      <w:r>
        <w:t xml:space="preserve">have eliminated the advance notice that risk professionals once relied upon. Decisions are made without consulting traditional stakeholders, creating system-wide shocks that businesses can neither anticipate through historical data nor influence through conventional channels.</w:t>
      </w:r>
    </w:p>
    <w:p>
      <w:pPr>
        <w:pStyle w:val="BodyText"/>
      </w:pPr>
      <w:r>
        <w:rPr>
          <w:b/>
          <w:bCs/>
        </w:rPr>
        <w:t xml:space="preserve">eXtreme Polarization</w:t>
      </w:r>
      <w:r>
        <w:t xml:space="preserve"> </w:t>
      </w:r>
      <w:r>
        <w:t xml:space="preserve">has made reputation as fragile as regulation. Issues once considered neutral—climate policy, diversity initiatives, international cooperation—have become flashpoints that can destabilize stakeholder relationships and market positions overnight.</w:t>
      </w:r>
    </w:p>
    <w:bookmarkEnd w:id="22"/>
    <w:bookmarkStart w:id="23" w:name="X51c1d147923b08aa3d95104b866dc973f589589"/>
    <w:p>
      <w:pPr>
        <w:pStyle w:val="Heading2"/>
      </w:pPr>
      <w:r>
        <w:t xml:space="preserve">The Numbers Game: Why Qualitative Risk Is Losing</w:t>
      </w:r>
    </w:p>
    <w:p>
      <w:pPr>
        <w:pStyle w:val="FirstParagraph"/>
      </w:pPr>
      <w:r>
        <w:t xml:space="preserve">In this FLUX environment, the limitations of traditional qualitative risk management become painfully clear. When a CRO walks into the C-suite with a risk dashboard showing "high," "medium," and "low" ratings in red, amber, and green, they're speaking a different language than their peers.</w:t>
      </w:r>
    </w:p>
    <w:p>
      <w:pPr>
        <w:pStyle w:val="BodyText"/>
      </w:pPr>
      <w:r>
        <w:t xml:space="preserve">The CFO presents precise financial projections with confidence intervals and scenario modeling. The COO delivers operational metrics with clear correlation to business outcomes. Meanwhile, the CRO offers subjective assessments based on expert judgment and historical precedent—tools that are increasingly inadequate in a world where yesterday's patterns no longer predict tomorrow's realities.</w:t>
      </w:r>
    </w:p>
    <w:p>
      <w:pPr>
        <w:pStyle w:val="BodyText"/>
      </w:pPr>
      <w:r>
        <w:t xml:space="preserve">This isn't a criticism of risk professionals. It's a recognition that the tools and methodologies we've relied upon were designed for a more stable, predictable world. In the FLUX era, subjective risk ratings and qualitative assessments simply cannot keep pace with the speed and complexity of decision-making requirements.</w:t>
      </w:r>
    </w:p>
    <w:bookmarkEnd w:id="23"/>
    <w:bookmarkStart w:id="24" w:name="the-quantitative-imperative"/>
    <w:p>
      <w:pPr>
        <w:pStyle w:val="Heading2"/>
      </w:pPr>
      <w:r>
        <w:t xml:space="preserve">The Quantitative Imperative</w:t>
      </w:r>
    </w:p>
    <w:p>
      <w:pPr>
        <w:pStyle w:val="FirstParagraph"/>
      </w:pPr>
      <w:r>
        <w:t xml:space="preserve">The solution isn't to abandon risk management—it's to transform it. Just as finance evolved from basic bookkeeping to sophisticated financial modeling, and operations evolved from manual processes to data-driven optimization, risk management must evolve from qualitative assessment to quantitative intelligence.</w:t>
      </w:r>
    </w:p>
    <w:p>
      <w:pPr>
        <w:pStyle w:val="BodyText"/>
      </w:pPr>
      <w:r>
        <w:t xml:space="preserve">This transformation requires three fundamental shifts:</w:t>
      </w:r>
    </w:p>
    <w:p>
      <w:pPr>
        <w:pStyle w:val="BodyText"/>
      </w:pPr>
      <w:r>
        <w:rPr>
          <w:b/>
          <w:bCs/>
        </w:rPr>
        <w:t xml:space="preserve">From Historical to Scenario-Based</w:t>
      </w:r>
      <w:r>
        <w:t xml:space="preserve">: Traditional risk models rely heavily on historical data to predict future outcomes. In the FLUX era, this approach is fundamentally flawed. Instead, organizations need scenario-based modeling that can rapidly adjust to new realities and test multiple potential futures simultaneously.</w:t>
      </w:r>
    </w:p>
    <w:p>
      <w:pPr>
        <w:pStyle w:val="BodyText"/>
      </w:pPr>
      <w:r>
        <w:rPr>
          <w:b/>
          <w:bCs/>
        </w:rPr>
        <w:t xml:space="preserve">From Static to Dynamic</w:t>
      </w:r>
      <w:r>
        <w:t xml:space="preserve">: Quarterly risk reviews and annual assessments are too slow for FLUX dynamics. Risk intelligence must be continuously updated, with real-time data feeds and automated recalculation as conditions change.</w:t>
      </w:r>
    </w:p>
    <w:p>
      <w:pPr>
        <w:pStyle w:val="BodyText"/>
      </w:pPr>
      <w:r>
        <w:rPr>
          <w:b/>
          <w:bCs/>
        </w:rPr>
        <w:t xml:space="preserve">From Siloed to Integrated</w:t>
      </w:r>
      <w:r>
        <w:t xml:space="preserve">: Risk cannot remain a separate function that reports after decisions are made. It must be integrated into strategic planning, operational decision-making, and financial analysis—providing quantitative inputs that directly influence business choices.</w:t>
      </w:r>
    </w:p>
    <w:bookmarkEnd w:id="24"/>
    <w:bookmarkStart w:id="25" w:name="the-24-hour-transformation-challenge"/>
    <w:p>
      <w:pPr>
        <w:pStyle w:val="Heading2"/>
      </w:pPr>
      <w:r>
        <w:t xml:space="preserve">The 24-Hour Transformation Challenge</w:t>
      </w:r>
    </w:p>
    <w:p>
      <w:pPr>
        <w:pStyle w:val="FirstParagraph"/>
      </w:pPr>
      <w:r>
        <w:t xml:space="preserve">The good news is that this transformation doesn't require years of gradual change. Modern technology and proven methodologies can deliver immediate results. At DecideWright, we've developed what we call the QRA (Quantitative Risk Assessment) Playbook—a systematic approach that can transform existing qualitative risk data into quantitative decision intelligence within 24-48 hours.</w:t>
      </w:r>
    </w:p>
    <w:p>
      <w:pPr>
        <w:pStyle w:val="BodyText"/>
      </w:pPr>
      <w:r>
        <w:t xml:space="preserve">This isn't theoretical. We take an organization's current risk register—those spreadsheets full of red, amber, and green ratings—and transform them into quantitative models with numerical probability assessments, impact quantification, and scenario analysis. The same risks that once appeared as subjective colors now appear as precise probability distributions and financial impact ranges.</w:t>
      </w:r>
    </w:p>
    <w:p>
      <w:pPr>
        <w:pStyle w:val="BodyText"/>
      </w:pPr>
      <w:r>
        <w:t xml:space="preserve">The transformation typically follows this pattern:</w:t>
      </w:r>
    </w:p>
    <w:p>
      <w:pPr>
        <w:numPr>
          <w:ilvl w:val="0"/>
          <w:numId w:val="1027"/>
        </w:numPr>
      </w:pPr>
      <w:r>
        <w:rPr>
          <w:b/>
          <w:bCs/>
        </w:rPr>
        <w:t xml:space="preserve">Qualitative Input</w:t>
      </w:r>
      <w:r>
        <w:t xml:space="preserve">: "Cyber security risk is rated as High (Red) with potential impact of Major"</w:t>
      </w:r>
    </w:p>
    <w:p>
      <w:pPr>
        <w:numPr>
          <w:ilvl w:val="0"/>
          <w:numId w:val="1027"/>
        </w:numPr>
      </w:pPr>
      <w:r>
        <w:rPr>
          <w:b/>
          <w:bCs/>
        </w:rPr>
        <w:t xml:space="preserve">Quantitative Output</w:t>
      </w:r>
      <w:r>
        <w:t xml:space="preserve">: "Cyber security incident probability: 15-25% annually, financial impact range: £2.3M-£8.7M, expected annual loss: £1.9M"</w:t>
      </w:r>
    </w:p>
    <w:p>
      <w:pPr>
        <w:pStyle w:val="FirstParagraph"/>
      </w:pPr>
      <w:r>
        <w:t xml:space="preserve">Suddenly, the risk conversation changes. Instead of debating whether something is "high" or "medium," leadership teams can make data-driven decisions about risk tolerance, investment priorities, and strategic trade-offs.</w:t>
      </w:r>
    </w:p>
    <w:bookmarkEnd w:id="25"/>
    <w:bookmarkStart w:id="26" w:name="elevating-the-risk-function"/>
    <w:p>
      <w:pPr>
        <w:pStyle w:val="Heading2"/>
      </w:pPr>
      <w:r>
        <w:t xml:space="preserve">Elevating the Risk Function</w:t>
      </w:r>
    </w:p>
    <w:p>
      <w:pPr>
        <w:pStyle w:val="FirstParagraph"/>
      </w:pPr>
      <w:r>
        <w:t xml:space="preserve">This quantitative transformation does more than improve decision-making—it elevates the entire risk function. When CROs can present numerical analysis with the same precision as financial projections, they gain credibility and influence in strategic discussions.</w:t>
      </w:r>
    </w:p>
    <w:p>
      <w:pPr>
        <w:pStyle w:val="BodyText"/>
      </w:pPr>
      <w:r>
        <w:t xml:space="preserve">Instead of being seen as a compliance cost center, the risk function becomes a strategic value driver. Instead of reactive reporting, risk professionals provide proactive intelligence that shapes business strategy. Instead of colors and subjective ratings, they deliver the hard numbers that modern leadership requires.</w:t>
      </w:r>
    </w:p>
    <w:bookmarkEnd w:id="26"/>
    <w:bookmarkStart w:id="27" w:name="the-path-forward"/>
    <w:p>
      <w:pPr>
        <w:pStyle w:val="Heading2"/>
      </w:pPr>
      <w:r>
        <w:t xml:space="preserve">The Path Forward</w:t>
      </w:r>
    </w:p>
    <w:p>
      <w:pPr>
        <w:pStyle w:val="FirstParagraph"/>
      </w:pPr>
      <w:r>
        <w:t xml:space="preserve">The FLUX era isn't temporary—it's the new normal. Organizations that continue to rely on traditional qualitative risk management will find themselves increasingly disadvantaged, making decisions with incomplete information while competitors leverage quantitative risk intelligence for strategic advantage.</w:t>
      </w:r>
    </w:p>
    <w:p>
      <w:pPr>
        <w:pStyle w:val="BodyText"/>
      </w:pPr>
      <w:r>
        <w:t xml:space="preserve">The question isn't whether to transform risk management—it's how quickly you can make the change. In a world where policies can shift overnight and market conditions can destabilize in hours, the organizations that thrive will be those that can clarify uncertainty through quantitative intelligence.</w:t>
      </w:r>
    </w:p>
    <w:p>
      <w:pPr>
        <w:pStyle w:val="BodyText"/>
      </w:pPr>
      <w:r>
        <w:t xml:space="preserve">The transformation starts with a simple recognition: if finance speaks in numbers and operations speaks in numbers, risk must learn to speak in numbers too. The tools and methodologies exist. The only question is whether risk professionals will embrace them before the FLUX era leaves them behind.</w:t>
      </w:r>
    </w:p>
    <w:p>
      <w:r>
        <w:pict>
          <v:rect style="width:0;height:1.5pt" o:hralign="center" o:hrstd="t" o:hr="t"/>
        </w:pict>
      </w:r>
    </w:p>
    <w:p>
      <w:pPr>
        <w:pStyle w:val="FirstParagraph"/>
      </w:pPr>
      <w:r>
        <w:rPr>
          <w:i/>
          <w:iCs/>
        </w:rPr>
        <w:t xml:space="preserve">Ready to transform your risk function from colors to numbers? Our QRA Playbook can prove the value of quantitative risk intelligence using your existing data—in just 24-48 hours. Because in the FLUX era, clarity isn't a luxury—it's a competitive necessity.</w:t>
      </w:r>
    </w:p>
    <w:p>
      <w:pPr>
        <w:pStyle w:val="BodyText"/>
      </w:pPr>
      <w:r>
        <w:rPr>
          <w:b/>
          <w:bCs/>
        </w:rPr>
        <w:t xml:space="preserve">Contact DecideWright to learn how we help CROs become strategic peers through quantitative risk intelligence. Book your Risk Transformation Discovery call today.</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2025-09-19T10:44:52Z</dcterms:created>
  <dcterms:modified xsi:type="dcterms:W3CDTF">2025-09-19T10:44:52Z</dcterms:modified>
</cp:coreProperties>
</file>

<file path=docProps/custom.xml><?xml version="1.0" encoding="utf-8"?>
<Properties xmlns="http://schemas.openxmlformats.org/officeDocument/2006/custom-properties" xmlns:vt="http://schemas.openxmlformats.org/officeDocument/2006/docPropsVTypes"/>
</file>