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c3c2e8320878b6bef0af057e19402227e3863b"/>
    <w:p>
      <w:pPr>
        <w:pStyle w:val="Heading1"/>
      </w:pPr>
      <w:r>
        <w:t xml:space="preserve">The QRA Playbook: Transform Risk from Colors to Numbers in 24 Hours</w:t>
      </w:r>
    </w:p>
    <w:bookmarkStart w:id="9" w:name="the-core-value-proposition"/>
    <w:p>
      <w:pPr>
        <w:pStyle w:val="Heading2"/>
      </w:pPr>
      <w:r>
        <w:t xml:space="preserve">The Core Value Proposition</w:t>
      </w:r>
    </w:p>
    <w:p>
      <w:pPr>
        <w:pStyle w:val="FirstParagraph"/>
      </w:pPr>
      <w:r>
        <w:rPr>
          <w:b/>
          <w:bCs/>
        </w:rPr>
        <w:t xml:space="preserve">Stop presenting risk in colors while your CFO and COO present numbers.</w:t>
      </w:r>
    </w:p>
    <w:p>
      <w:pPr>
        <w:pStyle w:val="BodyText"/>
      </w:pPr>
      <w:r>
        <w:t xml:space="preserve">The QRA (Quantitative Risk Assessment) Playbook transforms your traditional qualitative risk data into quantitative decision intelligence that gives you equal influence in the C-suite. While other risk transformations take months or years, we prove value in 24-48 hours using your existing data.</w:t>
      </w:r>
    </w:p>
    <w:p>
      <w:r>
        <w:pict>
          <v:rect style="width:0;height:1.5pt" o:hralign="center" o:hrstd="t" o:hr="t"/>
        </w:pict>
      </w:r>
    </w:p>
    <w:bookmarkEnd w:id="9"/>
    <w:bookmarkStart w:id="13" w:name="the-three-stage-transformation"/>
    <w:p>
      <w:pPr>
        <w:pStyle w:val="Heading2"/>
      </w:pPr>
      <w:r>
        <w:t xml:space="preserve">The Three-Stage Transformation</w:t>
      </w:r>
    </w:p>
    <w:bookmarkStart w:id="10" w:name="X19fa24c95255ccfc4a1339148e7a9fc8643ee17"/>
    <w:p>
      <w:pPr>
        <w:pStyle w:val="Heading3"/>
      </w:pPr>
      <w:r>
        <w:t xml:space="preserve">Stage 1: Proof of Concept (£25,000 Fixed Price)</w:t>
      </w:r>
    </w:p>
    <w:p>
      <w:pPr>
        <w:pStyle w:val="FirstParagraph"/>
      </w:pPr>
      <w:r>
        <w:rPr>
          <w:b/>
          <w:bCs/>
        </w:rPr>
        <w:t xml:space="preserve">"Show Me the Numbers" - 24-48 Hour Transformation</w:t>
      </w:r>
    </w:p>
    <w:p>
      <w:pPr>
        <w:pStyle w:val="BodyText"/>
      </w:pPr>
      <w:r>
        <w:rPr>
          <w:b/>
          <w:bCs/>
        </w:rPr>
        <w:t xml:space="preserve">What We Do:</w:t>
      </w:r>
    </w:p>
    <w:p>
      <w:pPr>
        <w:numPr>
          <w:ilvl w:val="0"/>
          <w:numId w:val="1001"/>
        </w:numPr>
      </w:pPr>
      <w:r>
        <w:t xml:space="preserve">Extract your current qualitative risk assessment data (risk registers, spreadsheets, dashboards)</w:t>
      </w:r>
    </w:p>
    <w:p>
      <w:pPr>
        <w:numPr>
          <w:ilvl w:val="0"/>
          <w:numId w:val="1001"/>
        </w:numPr>
      </w:pPr>
      <w:r>
        <w:t xml:space="preserve">Transform subjective ratings (High/Medium/Low, Red/Amber/Green) into quantitative probability distributions</w:t>
      </w:r>
    </w:p>
    <w:p>
      <w:pPr>
        <w:numPr>
          <w:ilvl w:val="0"/>
          <w:numId w:val="1001"/>
        </w:numPr>
      </w:pPr>
      <w:r>
        <w:t xml:space="preserve">Deliver numerical risk assessments with financial impact ranges and expected annual loss calculations</w:t>
      </w:r>
    </w:p>
    <w:p>
      <w:pPr>
        <w:numPr>
          <w:ilvl w:val="0"/>
          <w:numId w:val="1001"/>
        </w:numPr>
      </w:pPr>
      <w:r>
        <w:t xml:space="preserve">Provide side-by-side comparison: your current colors vs. our numbers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numPr>
          <w:ilvl w:val="0"/>
          <w:numId w:val="1002"/>
        </w:numPr>
      </w:pPr>
      <w:r>
        <w:t xml:space="preserve">Immediate proof that quantitative transformation is possible with your data</w:t>
      </w:r>
    </w:p>
    <w:p>
      <w:pPr>
        <w:numPr>
          <w:ilvl w:val="0"/>
          <w:numId w:val="1002"/>
        </w:numPr>
      </w:pPr>
      <w:r>
        <w:t xml:space="preserve">Sample quantitative risk dashboard showing probability percentages and monetary impacts</w:t>
      </w:r>
    </w:p>
    <w:p>
      <w:pPr>
        <w:numPr>
          <w:ilvl w:val="0"/>
          <w:numId w:val="1002"/>
        </w:numPr>
      </w:pPr>
      <w:r>
        <w:t xml:space="preserve">Executive presentation comparing qualitative vs. quantitative approaches</w:t>
      </w:r>
    </w:p>
    <w:p>
      <w:pPr>
        <w:numPr>
          <w:ilvl w:val="0"/>
          <w:numId w:val="1002"/>
        </w:numPr>
      </w:pPr>
      <w:r>
        <w:t xml:space="preserve">Clear roadmap for Stage 2 implementation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24-48 hours from data receipt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£25,000 (Fixed Price)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Minimal - see results before committing to larger investment</w:t>
      </w:r>
    </w:p>
    <w:p>
      <w:r>
        <w:pict>
          <v:rect style="width:0;height:1.5pt" o:hralign="center" o:hrstd="t" o:hr="t"/>
        </w:pict>
      </w:r>
    </w:p>
    <w:bookmarkEnd w:id="10"/>
    <w:bookmarkStart w:id="11" w:name="X38148b93b963e6455cda65cb65be581d5c3a22d"/>
    <w:p>
      <w:pPr>
        <w:pStyle w:val="Heading3"/>
      </w:pPr>
      <w:r>
        <w:t xml:space="preserve">Stage 2: Proof of Value (£105,000 Fixed Price)</w:t>
      </w:r>
    </w:p>
    <w:p>
      <w:pPr>
        <w:pStyle w:val="FirstParagraph"/>
      </w:pPr>
      <w:r>
        <w:rPr>
          <w:b/>
          <w:bCs/>
        </w:rPr>
        <w:t xml:space="preserve">"Department-Level Implementation" - 90-Day Transformation</w:t>
      </w:r>
    </w:p>
    <w:p>
      <w:pPr>
        <w:pStyle w:val="BodyText"/>
      </w:pPr>
      <w:r>
        <w:rPr>
          <w:b/>
          <w:bCs/>
        </w:rPr>
        <w:t xml:space="preserve">What We Do:</w:t>
      </w:r>
    </w:p>
    <w:p>
      <w:pPr>
        <w:numPr>
          <w:ilvl w:val="0"/>
          <w:numId w:val="1003"/>
        </w:numPr>
      </w:pPr>
      <w:r>
        <w:t xml:space="preserve">Implement full QRA methodology within one department/business unit</w:t>
      </w:r>
    </w:p>
    <w:p>
      <w:pPr>
        <w:numPr>
          <w:ilvl w:val="0"/>
          <w:numId w:val="1003"/>
        </w:numPr>
      </w:pPr>
      <w:r>
        <w:t xml:space="preserve">Deploy Predixtive technology platform for automated quantitative analysis</w:t>
      </w:r>
    </w:p>
    <w:p>
      <w:pPr>
        <w:numPr>
          <w:ilvl w:val="0"/>
          <w:numId w:val="1003"/>
        </w:numPr>
      </w:pPr>
      <w:r>
        <w:t xml:space="preserve">Train your team on quantitative risk assessment techniques</w:t>
      </w:r>
    </w:p>
    <w:p>
      <w:pPr>
        <w:numPr>
          <w:ilvl w:val="0"/>
          <w:numId w:val="1003"/>
        </w:numPr>
      </w:pPr>
      <w:r>
        <w:t xml:space="preserve">Establish automated reporting and dashboard capabilities</w:t>
      </w:r>
    </w:p>
    <w:p>
      <w:pPr>
        <w:numPr>
          <w:ilvl w:val="0"/>
          <w:numId w:val="1003"/>
        </w:numPr>
      </w:pPr>
      <w:r>
        <w:t xml:space="preserve">Integrate with existing risk management systems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numPr>
          <w:ilvl w:val="0"/>
          <w:numId w:val="1004"/>
        </w:numPr>
      </w:pPr>
      <w:r>
        <w:t xml:space="preserve">Complete quantitative risk framework operational in 90 days</w:t>
      </w:r>
    </w:p>
    <w:p>
      <w:pPr>
        <w:numPr>
          <w:ilvl w:val="0"/>
          <w:numId w:val="1004"/>
        </w:numPr>
      </w:pPr>
      <w:r>
        <w:t xml:space="preserve">Trained internal team capable of maintaining and expanding the approach</w:t>
      </w:r>
    </w:p>
    <w:p>
      <w:pPr>
        <w:numPr>
          <w:ilvl w:val="0"/>
          <w:numId w:val="1004"/>
        </w:numPr>
      </w:pPr>
      <w:r>
        <w:t xml:space="preserve">Automated quantitative risk reporting replacing manual qualitative processes</w:t>
      </w:r>
    </w:p>
    <w:p>
      <w:pPr>
        <w:numPr>
          <w:ilvl w:val="0"/>
          <w:numId w:val="1004"/>
        </w:numPr>
      </w:pPr>
      <w:r>
        <w:t xml:space="preserve">Measurable improvement in decision-making speed and accuracy</w:t>
      </w:r>
    </w:p>
    <w:p>
      <w:pPr>
        <w:numPr>
          <w:ilvl w:val="0"/>
          <w:numId w:val="1004"/>
        </w:numPr>
      </w:pPr>
      <w:r>
        <w:t xml:space="preserve">Template for organization-wide rollout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90 days from contract signature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£105,000 (Fixed Price)</w:t>
      </w:r>
      <w:r>
        <w:t xml:space="preserve"> </w:t>
      </w:r>
      <w:r>
        <w:rPr>
          <w:b/>
          <w:bCs/>
        </w:rPr>
        <w:t xml:space="preserve">Success Metrics:</w:t>
      </w:r>
      <w:r>
        <w:t xml:space="preserve"> </w:t>
      </w:r>
      <w:r>
        <w:t xml:space="preserve">Defined KPIs for decision-making improvement and process efficiency</w:t>
      </w:r>
    </w:p>
    <w:p>
      <w:r>
        <w:pict>
          <v:rect style="width:0;height:1.5pt" o:hralign="center" o:hrstd="t" o:hr="t"/>
        </w:pict>
      </w:r>
    </w:p>
    <w:bookmarkEnd w:id="11"/>
    <w:bookmarkStart w:id="12" w:name="Xbd9c70876dc86e0f0212d1c886d58162670cc6a"/>
    <w:p>
      <w:pPr>
        <w:pStyle w:val="Heading3"/>
      </w:pPr>
      <w:r>
        <w:t xml:space="preserve">Stage 3: Enterprise Transformation (Custom Pricing)</w:t>
      </w:r>
    </w:p>
    <w:p>
      <w:pPr>
        <w:pStyle w:val="FirstParagraph"/>
      </w:pPr>
      <w:r>
        <w:rPr>
          <w:b/>
          <w:bCs/>
        </w:rPr>
        <w:t xml:space="preserve">"Business Unit or Firm-Wide Implementation"</w:t>
      </w:r>
    </w:p>
    <w:p>
      <w:pPr>
        <w:pStyle w:val="BodyText"/>
      </w:pPr>
      <w:r>
        <w:rPr>
          <w:b/>
          <w:bCs/>
        </w:rPr>
        <w:t xml:space="preserve">What We Do:</w:t>
      </w:r>
    </w:p>
    <w:p>
      <w:pPr>
        <w:numPr>
          <w:ilvl w:val="0"/>
          <w:numId w:val="1005"/>
        </w:numPr>
      </w:pPr>
      <w:r>
        <w:t xml:space="preserve">Scale quantitative risk assessment across multiple business units or entire organization</w:t>
      </w:r>
    </w:p>
    <w:p>
      <w:pPr>
        <w:numPr>
          <w:ilvl w:val="0"/>
          <w:numId w:val="1005"/>
        </w:numPr>
      </w:pPr>
      <w:r>
        <w:t xml:space="preserve">Integrate QRA methodology with strategic planning and capital allocation processes</w:t>
      </w:r>
    </w:p>
    <w:p>
      <w:pPr>
        <w:numPr>
          <w:ilvl w:val="0"/>
          <w:numId w:val="1005"/>
        </w:numPr>
      </w:pPr>
      <w:r>
        <w:t xml:space="preserve">Establish enterprise-wide risk intelligence capabilities</w:t>
      </w:r>
    </w:p>
    <w:p>
      <w:pPr>
        <w:numPr>
          <w:ilvl w:val="0"/>
          <w:numId w:val="1005"/>
        </w:numPr>
      </w:pPr>
      <w:r>
        <w:t xml:space="preserve">Create advanced scenario modeling and stress testing frameworks</w:t>
      </w:r>
    </w:p>
    <w:p>
      <w:pPr>
        <w:numPr>
          <w:ilvl w:val="0"/>
          <w:numId w:val="1005"/>
        </w:numPr>
      </w:pPr>
      <w:r>
        <w:t xml:space="preserve">Develop custom analytics and reporting aligned with business strategy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numPr>
          <w:ilvl w:val="0"/>
          <w:numId w:val="1006"/>
        </w:numPr>
      </w:pPr>
      <w:r>
        <w:t xml:space="preserve">Organization-wide quantitative risk intelligence capability</w:t>
      </w:r>
    </w:p>
    <w:p>
      <w:pPr>
        <w:numPr>
          <w:ilvl w:val="0"/>
          <w:numId w:val="1006"/>
        </w:numPr>
      </w:pPr>
      <w:r>
        <w:t xml:space="preserve">Risk function positioned as strategic peer to finance and operations</w:t>
      </w:r>
    </w:p>
    <w:p>
      <w:pPr>
        <w:numPr>
          <w:ilvl w:val="0"/>
          <w:numId w:val="1006"/>
        </w:numPr>
      </w:pPr>
      <w:r>
        <w:t xml:space="preserve">Data-driven risk culture embedded across all business decisions</w:t>
      </w:r>
    </w:p>
    <w:p>
      <w:pPr>
        <w:numPr>
          <w:ilvl w:val="0"/>
          <w:numId w:val="1006"/>
        </w:numPr>
      </w:pPr>
      <w:r>
        <w:t xml:space="preserve">Advanced analytics supporting competitive advantage</w:t>
      </w:r>
    </w:p>
    <w:p>
      <w:pPr>
        <w:numPr>
          <w:ilvl w:val="0"/>
          <w:numId w:val="1006"/>
        </w:numPr>
      </w:pPr>
      <w:r>
        <w:t xml:space="preserve">Measurable ROI from improved risk-based decision making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Customized based on scope and complexity</w:t>
      </w:r>
      <w:r>
        <w:t xml:space="preserve"> </w:t>
      </w:r>
      <w:r>
        <w:rPr>
          <w:b/>
          <w:bCs/>
        </w:rPr>
        <w:t xml:space="preserve">Investment:</w:t>
      </w:r>
      <w:r>
        <w:t xml:space="preserve"> </w:t>
      </w:r>
      <w:r>
        <w:t xml:space="preserve">Custom pricing based on organization size, scope, and implementation requirements</w:t>
      </w:r>
      <w:r>
        <w:t xml:space="preserve"> </w:t>
      </w:r>
      <w:r>
        <w:rPr>
          <w:b/>
          <w:bCs/>
        </w:rPr>
        <w:t xml:space="preserve">Value:</w:t>
      </w:r>
      <w:r>
        <w:t xml:space="preserve"> </w:t>
      </w:r>
      <w:r>
        <w:t xml:space="preserve">Transformational impact on risk function's strategic influence and business value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why-the-qra-playbook-works"/>
    <w:p>
      <w:pPr>
        <w:pStyle w:val="Heading2"/>
      </w:pPr>
      <w:r>
        <w:t xml:space="preserve">Why The QRA Playbook Works</w:t>
      </w:r>
    </w:p>
    <w:bookmarkStart w:id="14" w:name="immediate-proof-not-promises"/>
    <w:p>
      <w:pPr>
        <w:pStyle w:val="Heading3"/>
      </w:pPr>
      <w:r>
        <w:t xml:space="preserve">Immediate Proof, Not Promises</w:t>
      </w:r>
    </w:p>
    <w:p>
      <w:pPr>
        <w:pStyle w:val="FirstParagraph"/>
      </w:pPr>
      <w:r>
        <w:t xml:space="preserve">Unlike traditional consulting engagements that require months to show results, Stage 1 proves transformation is possible in 24-48 hours using your actual data.</w:t>
      </w:r>
    </w:p>
    <w:bookmarkEnd w:id="14"/>
    <w:bookmarkStart w:id="15" w:name="fixed-price-certainty"/>
    <w:p>
      <w:pPr>
        <w:pStyle w:val="Heading3"/>
      </w:pPr>
      <w:r>
        <w:t xml:space="preserve">Fixed-Price Certainty</w:t>
      </w:r>
    </w:p>
    <w:p>
      <w:pPr>
        <w:pStyle w:val="FirstParagraph"/>
      </w:pPr>
      <w:r>
        <w:t xml:space="preserve">Stages 1 and 2 have transparent, fixed pricing - no scope creep, no surprise fees, no open-ended consulting arrangements.</w:t>
      </w:r>
    </w:p>
    <w:bookmarkEnd w:id="15"/>
    <w:bookmarkStart w:id="16" w:name="proven-methodology"/>
    <w:p>
      <w:pPr>
        <w:pStyle w:val="Heading3"/>
      </w:pPr>
      <w:r>
        <w:t xml:space="preserve">Proven Methodology</w:t>
      </w:r>
    </w:p>
    <w:p>
      <w:pPr>
        <w:pStyle w:val="FirstParagraph"/>
      </w:pPr>
      <w:r>
        <w:t xml:space="preserve">Built on the Risk-Based Performance Management framework with successful implementations across leading financial institutions.</w:t>
      </w:r>
    </w:p>
    <w:bookmarkEnd w:id="16"/>
    <w:bookmarkStart w:id="17" w:name="technology-enabled"/>
    <w:p>
      <w:pPr>
        <w:pStyle w:val="Heading3"/>
      </w:pPr>
      <w:r>
        <w:t xml:space="preserve">Technology-Enabled</w:t>
      </w:r>
    </w:p>
    <w:p>
      <w:pPr>
        <w:pStyle w:val="FirstParagraph"/>
      </w:pPr>
      <w:r>
        <w:t xml:space="preserve">Combines methodology with our Predixtive platform for automated, scalable quantitative analysis.</w:t>
      </w:r>
    </w:p>
    <w:bookmarkEnd w:id="17"/>
    <w:bookmarkStart w:id="18" w:name="practical-implementation"/>
    <w:p>
      <w:pPr>
        <w:pStyle w:val="Heading3"/>
      </w:pPr>
      <w:r>
        <w:t xml:space="preserve">Practical Implementation</w:t>
      </w:r>
    </w:p>
    <w:p>
      <w:pPr>
        <w:pStyle w:val="FirstParagraph"/>
      </w:pPr>
      <w:r>
        <w:t xml:space="preserve">Designed by practitioners for practitioners - not theoretical frameworks but practical tools that work in real business environments.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he-business-case-for-quantitative-risk"/>
    <w:p>
      <w:pPr>
        <w:pStyle w:val="Heading2"/>
      </w:pPr>
      <w:r>
        <w:t xml:space="preserve">The Business Case for Quantitative Risk</w:t>
      </w:r>
    </w:p>
    <w:p>
      <w:pPr>
        <w:pStyle w:val="FirstParagraph"/>
      </w:pPr>
      <w:r>
        <w:rPr>
          <w:b/>
          <w:bCs/>
        </w:rPr>
        <w:t xml:space="preserve">Before QRA Playbook:</w:t>
      </w:r>
    </w:p>
    <w:p>
      <w:pPr>
        <w:numPr>
          <w:ilvl w:val="0"/>
          <w:numId w:val="1007"/>
        </w:numPr>
      </w:pPr>
      <w:r>
        <w:t xml:space="preserve">Risk presented as subjective colors and ratings</w:t>
      </w:r>
    </w:p>
    <w:p>
      <w:pPr>
        <w:numPr>
          <w:ilvl w:val="0"/>
          <w:numId w:val="1007"/>
        </w:numPr>
      </w:pPr>
      <w:r>
        <w:t xml:space="preserve">Limited C-suite engagement and strategic influence</w:t>
      </w:r>
    </w:p>
    <w:p>
      <w:pPr>
        <w:numPr>
          <w:ilvl w:val="0"/>
          <w:numId w:val="1007"/>
        </w:numPr>
      </w:pPr>
      <w:r>
        <w:t xml:space="preserve">Manual, time-consuming risk assessment processes</w:t>
      </w:r>
    </w:p>
    <w:p>
      <w:pPr>
        <w:numPr>
          <w:ilvl w:val="0"/>
          <w:numId w:val="1007"/>
        </w:numPr>
      </w:pPr>
      <w:r>
        <w:t xml:space="preserve">Difficulty integrating risk into business decisions</w:t>
      </w:r>
    </w:p>
    <w:p>
      <w:pPr>
        <w:numPr>
          <w:ilvl w:val="0"/>
          <w:numId w:val="1007"/>
        </w:numPr>
      </w:pPr>
      <w:r>
        <w:t xml:space="preserve">CRO seen as compliance function, not strategic partner</w:t>
      </w:r>
    </w:p>
    <w:p>
      <w:pPr>
        <w:pStyle w:val="FirstParagraph"/>
      </w:pPr>
      <w:r>
        <w:rPr>
          <w:b/>
          <w:bCs/>
        </w:rPr>
        <w:t xml:space="preserve">After QRA Playbook:</w:t>
      </w:r>
    </w:p>
    <w:p>
      <w:pPr>
        <w:numPr>
          <w:ilvl w:val="0"/>
          <w:numId w:val="1008"/>
        </w:numPr>
      </w:pPr>
      <w:r>
        <w:t xml:space="preserve">Risk presented as numerical probabilities and financial impacts</w:t>
      </w:r>
    </w:p>
    <w:p>
      <w:pPr>
        <w:numPr>
          <w:ilvl w:val="0"/>
          <w:numId w:val="1008"/>
        </w:numPr>
      </w:pPr>
      <w:r>
        <w:t xml:space="preserve">Equal influence with CFO/COO through quantitative insights</w:t>
      </w:r>
    </w:p>
    <w:p>
      <w:pPr>
        <w:numPr>
          <w:ilvl w:val="0"/>
          <w:numId w:val="1008"/>
        </w:numPr>
      </w:pPr>
      <w:r>
        <w:t xml:space="preserve">Automated, efficient risk intelligence generation</w:t>
      </w:r>
    </w:p>
    <w:p>
      <w:pPr>
        <w:numPr>
          <w:ilvl w:val="0"/>
          <w:numId w:val="1008"/>
        </w:numPr>
      </w:pPr>
      <w:r>
        <w:t xml:space="preserve">Risk integral to strategic planning and capital allocation</w:t>
      </w:r>
    </w:p>
    <w:p>
      <w:pPr>
        <w:numPr>
          <w:ilvl w:val="0"/>
          <w:numId w:val="1008"/>
        </w:numPr>
      </w:pPr>
      <w:r>
        <w:t xml:space="preserve">CRO positioned as strategic business partner</w:t>
      </w:r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Getting Started</w:t>
      </w:r>
    </w:p>
    <w:bookmarkStart w:id="21" w:name="stage-1-qualification"/>
    <w:p>
      <w:pPr>
        <w:pStyle w:val="Heading3"/>
      </w:pPr>
      <w:r>
        <w:t xml:space="preserve">Stage 1 Qualification</w:t>
      </w:r>
    </w:p>
    <w:p>
      <w:pPr>
        <w:numPr>
          <w:ilvl w:val="0"/>
          <w:numId w:val="1009"/>
        </w:numPr>
      </w:pPr>
      <w:r>
        <w:t xml:space="preserve">You have existing risk registers or qualitative risk assessments</w:t>
      </w:r>
    </w:p>
    <w:p>
      <w:pPr>
        <w:numPr>
          <w:ilvl w:val="0"/>
          <w:numId w:val="1009"/>
        </w:numPr>
      </w:pPr>
      <w:r>
        <w:t xml:space="preserve">Budget authority for £25,000 proof of concept</w:t>
      </w:r>
    </w:p>
    <w:p>
      <w:pPr>
        <w:numPr>
          <w:ilvl w:val="0"/>
          <w:numId w:val="1009"/>
        </w:numPr>
      </w:pPr>
      <w:r>
        <w:t xml:space="preserve">Willingness to provide risk data extract for transformation</w:t>
      </w:r>
    </w:p>
    <w:p>
      <w:pPr>
        <w:numPr>
          <w:ilvl w:val="0"/>
          <w:numId w:val="1009"/>
        </w:numPr>
      </w:pPr>
      <w:r>
        <w:t xml:space="preserve">Commitment to 48-hour turnaround evaluation</w:t>
      </w:r>
    </w:p>
    <w:bookmarkEnd w:id="21"/>
    <w:bookmarkStart w:id="22" w:name="ready-to-transform"/>
    <w:p>
      <w:pPr>
        <w:pStyle w:val="Heading3"/>
      </w:pPr>
      <w:r>
        <w:t xml:space="preserve">Ready to Transform?</w:t>
      </w:r>
    </w:p>
    <w:p>
      <w:pPr>
        <w:pStyle w:val="FirstParagraph"/>
      </w:pPr>
      <w:r>
        <w:rPr>
          <w:b/>
          <w:bCs/>
        </w:rPr>
        <w:t xml:space="preserve">Book Your Risk Transformation Discovery Call</w:t>
      </w:r>
    </w:p>
    <w:p>
      <w:pPr>
        <w:numPr>
          <w:ilvl w:val="0"/>
          <w:numId w:val="1010"/>
        </w:numPr>
      </w:pPr>
      <w:r>
        <w:t xml:space="preserve">30-minute assessment of your current risk approach</w:t>
      </w:r>
    </w:p>
    <w:p>
      <w:pPr>
        <w:numPr>
          <w:ilvl w:val="0"/>
          <w:numId w:val="1010"/>
        </w:numPr>
      </w:pPr>
      <w:r>
        <w:t xml:space="preserve">Evaluation of Stage 1 proof of concept fit</w:t>
      </w:r>
    </w:p>
    <w:p>
      <w:pPr>
        <w:numPr>
          <w:ilvl w:val="0"/>
          <w:numId w:val="1010"/>
        </w:numPr>
      </w:pPr>
      <w:r>
        <w:t xml:space="preserve">Clear next steps and timeline discussion</w:t>
      </w:r>
    </w:p>
    <w:p>
      <w:pPr>
        <w:pStyle w:val="FirstParagraph"/>
      </w:pPr>
      <w:r>
        <w:rPr>
          <w:b/>
          <w:bCs/>
        </w:rPr>
        <w:t xml:space="preserve">The QRA Playbook: Because in today's business environment, presenting risk in colors while your peers present numbers isn't just ineffective—it's career limiting.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Contact DecideWright today to schedule your Stage 1 scoping session. Transform your risk function from cost center to strategic advantage, starting with proof in 24-48 hours.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2025-09-19T10:45:21Z</dcterms:created>
  <dcterms:modified xsi:type="dcterms:W3CDTF">2025-09-19T10:45:21Z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