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i w:val="0"/>
          <w:color w:val="1F3864"/>
          <w:sz w:val="48"/>
        </w:rPr>
        <w:t>A Custom Retrieval-Augmented Generation Chatbot</w:t>
      </w:r>
    </w:p>
    <w:p>
      <w:pPr>
        <w:jc w:val="center"/>
      </w:pPr>
      <w:r>
        <w:rPr>
          <w:b/>
          <w:i w:val="0"/>
          <w:color w:val="2E5496"/>
          <w:sz w:val="40"/>
        </w:rPr>
        <w:t>over Ghana Election Results and the 2025 Budget Statement</w:t>
      </w:r>
    </w:p>
    <w:p/>
    <w:p>
      <w:pPr>
        <w:jc w:val="center"/>
      </w:pPr>
      <w:r>
        <w:rPr>
          <w:b w:val="0"/>
          <w:i/>
          <w:sz w:val="32"/>
        </w:rPr>
        <w:t>Technical Report</w:t>
      </w:r>
    </w:p>
    <w:p/>
    <w:p/>
    <w:p/>
    <w:p>
      <w:pPr>
        <w:jc w:val="center"/>
      </w:pPr>
      <w:r>
        <w:rPr>
          <w:b/>
          <w:i w:val="0"/>
          <w:sz w:val="28"/>
        </w:rPr>
        <w:t>Andrew Kofi Kwakye</w:t>
      </w:r>
    </w:p>
    <w:p>
      <w:pPr>
        <w:jc w:val="center"/>
      </w:pPr>
      <w:r>
        <w:rPr>
          <w:b w:val="0"/>
          <w:i w:val="0"/>
          <w:sz w:val="22"/>
        </w:rPr>
        <w:t>kwakyeandrewkofi@gmail.com</w:t>
      </w:r>
    </w:p>
    <w:p/>
    <w:p>
      <w:pPr>
        <w:jc w:val="center"/>
      </w:pPr>
      <w:r>
        <w:rPr>
          <w:b w:val="0"/>
          <w:i/>
          <w:sz w:val="22"/>
        </w:rPr>
        <w:t>April 2026</w:t>
      </w:r>
    </w:p>
    <w:p>
      <w:r>
        <w:br w:type="page"/>
      </w:r>
    </w:p>
    <w:p>
      <w:pPr>
        <w:pStyle w:val="Heading1"/>
      </w:pPr>
      <w:r>
        <w:t>1. Introduction</w:t>
      </w:r>
    </w:p>
    <w:p>
      <w:r>
        <w:rPr>
          <w:b w:val="0"/>
          <w:i w:val="0"/>
        </w:rPr>
        <w:t>This report documents the design, implementation, evaluation, and deployment of a custom Retrieval-Augmented Generation (RAG) chat assistant that answers natural-language questions over two public Ghanaian data sources: the Ghana Election Results CSV and the 2025 Budget Statement and Economic Policy PDF. Every core RAG component — chunking, embedding, vector storage, retrieval, prompt construction, and evaluation — is implemented from scratch; no end-to-end orchestration framework is used.</w:t>
      </w:r>
    </w:p>
    <w:p>
      <w:r>
        <w:rPr>
          <w:b w:val="0"/>
          <w:i w:val="0"/>
        </w:rPr>
        <w:t>The chat inference layer uses Groq's LPU running llama-3.3-70b-versatile. Embeddings are computed locally with sentence-transformers/all-MiniLM-L6-v2 (384-dim). Retrieval combines a dense cosine score with a BM25 keyword score under a tunable hybrid weight, plus an additive feedback-loop boost. The application is deployed on Streamlit Community Cloud.</w:t>
      </w:r>
    </w:p>
    <w:p>
      <w:r>
        <w:rPr>
          <w:b/>
          <w:i w:val="0"/>
        </w:rPr>
        <w:t xml:space="preserve">Deployed URL: </w:t>
      </w:r>
      <w:r>
        <w:rPr>
          <w:b w:val="0"/>
          <w:i w:val="0"/>
        </w:rPr>
        <w:t>https://ai10012300027-dcb4ygocwwjme7kfb5nttf.streamlit.app/</w:t>
      </w:r>
    </w:p>
    <w:p>
      <w:r>
        <w:rPr>
          <w:b/>
          <w:i w:val="0"/>
        </w:rPr>
        <w:t xml:space="preserve">Source repository: </w:t>
      </w:r>
      <w:r>
        <w:rPr>
          <w:b w:val="0"/>
          <w:i w:val="0"/>
        </w:rPr>
        <w:t>https://github.com/andrewkwakye/ai_10012300027</w:t>
      </w:r>
    </w:p>
    <w:p>
      <w:pPr>
        <w:pStyle w:val="Heading2"/>
      </w:pPr>
      <w:r>
        <w:t>1.1  Scope and design principles</w:t>
      </w:r>
    </w:p>
    <w:p>
      <w:r>
        <w:rPr>
          <w:b w:val="0"/>
          <w:i w:val="0"/>
        </w:rPr>
        <w:t>The system is designed around four principles. Auditability first — every retrieved chunk, score, and final prompt is surfaced in the UI and written to a structured log. Refusal over fabrication — on government data, a confidently wrong number is worse than no number at all, so the prompt and a score threshold together enforce a clean refusal when the corpus does not contain the answer. No framework lock-in — the vector store is a single NumPy matrix on disk, BM25 is in-memory, and the Groq wrapper is ~50 lines. Low operational cost — the whole stack cold-starts on Streamlit Cloud from a clean git clone with no paid API dependencies.</w:t>
      </w:r>
    </w:p>
    <w:p>
      <w:pPr>
        <w:pStyle w:val="Heading2"/>
      </w:pPr>
      <w:r>
        <w:t>1.2  Document structure</w:t>
      </w:r>
    </w:p>
    <w:p>
      <w:r>
        <w:rPr>
          <w:b w:val="0"/>
          <w:i w:val="0"/>
        </w:rPr>
        <w:t>Section 2 covers data engineering — cleaning and chunking. Section 3 describes the retrieval system, including embeddings, the NumPy vector store, hybrid scoring, and the failure modes the hybrid approach was designed to fix. Section 4 covers prompt engineering, context-window management, and a comparative analysis across three prompt templates. Section 5 describes the full pipeline end-to-end and the logging surface. Section 6 reports the evaluation methodology and results, including the head-to-head against a context-free LLM. Section 7 discusses architecture and domain fit. Section 8 describes the feedback-loop re-ranker — the system's primary novel component. Appendix A records known limitations.</w:t>
      </w:r>
    </w:p>
    <w:p>
      <w:r>
        <w:br w:type="page"/>
      </w:r>
    </w:p>
    <w:p>
      <w:pPr>
        <w:pStyle w:val="Heading1"/>
      </w:pPr>
      <w:r>
        <w:t>2. Data Engineering</w:t>
      </w:r>
    </w:p>
    <w:p>
      <w:pPr>
        <w:pStyle w:val="Heading2"/>
      </w:pPr>
      <w:r>
        <w:t>2.1  Data cleaning</w:t>
      </w:r>
    </w:p>
    <w:p>
      <w:r>
        <w:rPr>
          <w:b w:val="0"/>
          <w:i w:val="0"/>
        </w:rPr>
        <w:t>The two sources are cleaned in src/data_loader.py. For the CSV (Ghana_Election_Result.csv, 615 rows), cleaning normalises column headers, strips whitespace, coerces numeric columns, and drops blank and duplicate rows. Each surviving row is rendered as a short prose string of the form "region: Greater Accra. year: 2020. party: NPP. votes: 1,040,216." so it is directly embeddable by a sentence encoder without losing column semantics.</w:t>
      </w:r>
    </w:p>
    <w:p>
      <w:r>
        <w:rPr>
          <w:b w:val="0"/>
          <w:i w:val="0"/>
        </w:rPr>
        <w:t>For the 2025 Budget Statement PDF (252 pages), extraction is performed page-by-page with pypdf. Cleaning rejoins hyphen-broken words at line ends, collapses multiple blank lines, and drops pages shorter than 50 characters (front matter, blank pages, and pages whose extraction yielded only page numbers). 251 of 252 pages survive.</w:t>
      </w:r>
    </w:p>
    <w:p>
      <w:pPr>
        <w:pStyle w:val="Heading2"/>
      </w:pPr>
      <w:r>
        <w:t>2.2  Chunking strategy</w:t>
      </w:r>
    </w:p>
    <w:p>
      <w:r>
        <w:rPr>
          <w:b w:val="0"/>
          <w:i w:val="0"/>
        </w:rPr>
        <w:t>The corpus has two structurally different sources, and a single chunker is the wrong choice for both. Election results are atomic relational records where one row is the natural semantic unit; the budget is long-form prose where a paragraph is the natural unit. The pipeline therefore routes per source:</w:t>
      </w:r>
    </w:p>
    <w:p>
      <w:pPr>
        <w:pStyle w:val="ListBullet"/>
      </w:pPr>
      <w:r>
        <w:t>CSV → row_chunks: one chunk per row (no splitting).</w:t>
      </w:r>
    </w:p>
    <w:p>
      <w:pPr>
        <w:pStyle w:val="ListBullet"/>
      </w:pPr>
      <w:r>
        <w:t>PDF → recursive_char_chunks(chunk_size=350 tokens, overlap=60 tokens).</w:t>
      </w:r>
    </w:p>
    <w:p>
      <w:pPr>
        <w:pStyle w:val="Heading3"/>
      </w:pPr>
      <w:r>
        <w:t>2.2.1  Chunk size and overlap</w:t>
      </w:r>
    </w:p>
    <w:p>
      <w:r>
        <w:rPr>
          <w:b w:val="0"/>
          <w:i w:val="0"/>
        </w:rPr>
        <w:t>Chunk size is set to 350 tokens. The sentence-transformers/all-MiniLM-L6-v2 embedding model has a 256-token input cap, so chunks are trimmed during embedding but still carry enough signal; BM25 catches the long tail. At top_k=6, six 350-token chunks use roughly 2,100 tokens of the LLM context window, leaving room for system prompt, question, and answer inside the 3,000-token budget defined by CONFIG.max_context_tokens. 350 tokens is roughly one to two short paragraphs — large enough to carry a complete policy point.</w:t>
      </w:r>
    </w:p>
    <w:p>
      <w:r>
        <w:rPr>
          <w:b w:val="0"/>
          <w:i w:val="0"/>
        </w:rPr>
        <w:t>Overlap is set to 60 tokens (about 17%). The budget's average sentence length is ~25 tokens, so 60 tokens preserves about two sentences of carry-over across boundaries. Higher overlap (&gt;25%) re-embeds redundant content; zero overlap produced failure cases during pilot testing — "tax revenue from petroleum" was split across two chunks and neither was retrieved.</w:t>
      </w:r>
    </w:p>
    <w:p>
      <w:r>
        <w:rPr>
          <w:b w:val="0"/>
          <w:i w:val="0"/>
        </w:rPr>
        <w:t>The recursive splitter uses the separator hierarchy [\n\n, \n, '. ', '? ', '! ', '; ', ', ', ' '] and is implemented in src/chunker.py::_recursive_split.</w:t>
      </w:r>
    </w:p>
    <w:p>
      <w:pPr>
        <w:pStyle w:val="Heading2"/>
      </w:pPr>
      <w:r>
        <w:t>2.3  Comparative analysis of chunking strategies</w:t>
      </w:r>
    </w:p>
    <w:tbl>
      <w:tblPr>
        <w:tblStyle w:val="LightGrid-Accent1"/>
        <w:tblW w:type="auto" w:w="0"/>
        <w:tblLayout w:type="fixed"/>
        <w:tblLook w:firstColumn="1" w:firstRow="1" w:lastColumn="0" w:lastRow="0" w:noHBand="0" w:noVBand="1" w:val="04A0"/>
      </w:tblPr>
      <w:tblGrid>
        <w:gridCol w:w="2340"/>
        <w:gridCol w:w="2340"/>
        <w:gridCol w:w="2340"/>
        <w:gridCol w:w="2340"/>
      </w:tblGrid>
      <w:tr>
        <w:tc>
          <w:tcPr>
            <w:tcW w:type="dxa" w:w="2160"/>
            <w:vAlign w:val="top"/>
            <w:shd w:val="clear" w:color="auto" w:fill="D9E2F3"/>
          </w:tcPr>
          <w:p>
            <w:r/>
            <w:r>
              <w:rPr>
                <w:rFonts w:ascii="Calibri" w:hAnsi="Calibri"/>
                <w:b/>
                <w:sz w:val="20"/>
              </w:rPr>
              <w:t>Strategy</w:t>
            </w:r>
          </w:p>
        </w:tc>
        <w:tc>
          <w:tcPr>
            <w:tcW w:type="dxa" w:w="2880"/>
            <w:vAlign w:val="top"/>
            <w:shd w:val="clear" w:color="auto" w:fill="D9E2F3"/>
          </w:tcPr>
          <w:p>
            <w:r/>
            <w:r>
              <w:rPr>
                <w:rFonts w:ascii="Calibri" w:hAnsi="Calibri"/>
                <w:b/>
                <w:sz w:val="20"/>
              </w:rPr>
              <w:t>CSV behaviour</w:t>
            </w:r>
          </w:p>
        </w:tc>
        <w:tc>
          <w:tcPr>
            <w:tcW w:type="dxa" w:w="2880"/>
            <w:vAlign w:val="top"/>
            <w:shd w:val="clear" w:color="auto" w:fill="D9E2F3"/>
          </w:tcPr>
          <w:p>
            <w:r/>
            <w:r>
              <w:rPr>
                <w:rFonts w:ascii="Calibri" w:hAnsi="Calibri"/>
                <w:b/>
                <w:sz w:val="20"/>
              </w:rPr>
              <w:t>PDF behaviour</w:t>
            </w:r>
          </w:p>
        </w:tc>
        <w:tc>
          <w:tcPr>
            <w:tcW w:type="dxa" w:w="1728"/>
            <w:vAlign w:val="top"/>
            <w:shd w:val="clear" w:color="auto" w:fill="D9E2F3"/>
          </w:tcPr>
          <w:p>
            <w:r/>
            <w:r>
              <w:rPr>
                <w:rFonts w:ascii="Calibri" w:hAnsi="Calibri"/>
                <w:b/>
                <w:sz w:val="20"/>
              </w:rPr>
              <w:t>Verdict</w:t>
            </w:r>
          </w:p>
        </w:tc>
      </w:tr>
      <w:tr>
        <w:tc>
          <w:tcPr>
            <w:tcW w:type="dxa" w:w="2160"/>
            <w:vAlign w:val="top"/>
          </w:tcPr>
          <w:p>
            <w:r/>
            <w:r>
              <w:rPr>
                <w:rFonts w:ascii="Calibri" w:hAnsi="Calibri"/>
                <w:sz w:val="20"/>
              </w:rPr>
              <w:t>fixed_token</w:t>
            </w:r>
          </w:p>
        </w:tc>
        <w:tc>
          <w:tcPr>
            <w:tcW w:type="dxa" w:w="2880"/>
            <w:vAlign w:val="top"/>
          </w:tcPr>
          <w:p>
            <w:r/>
            <w:r>
              <w:rPr>
                <w:rFonts w:ascii="Calibri" w:hAnsi="Calibri"/>
                <w:sz w:val="20"/>
              </w:rPr>
              <w:t>Breaks rows — splits one result across chunks.</w:t>
            </w:r>
          </w:p>
        </w:tc>
        <w:tc>
          <w:tcPr>
            <w:tcW w:type="dxa" w:w="2880"/>
            <w:vAlign w:val="top"/>
          </w:tcPr>
          <w:p>
            <w:r/>
            <w:r>
              <w:rPr>
                <w:rFonts w:ascii="Calibri" w:hAnsi="Calibri"/>
                <w:sz w:val="20"/>
              </w:rPr>
              <w:t>Cuts mid-sentence; noisier embeddings.</w:t>
            </w:r>
          </w:p>
        </w:tc>
        <w:tc>
          <w:tcPr>
            <w:tcW w:type="dxa" w:w="1728"/>
            <w:vAlign w:val="top"/>
          </w:tcPr>
          <w:p>
            <w:r/>
            <w:r>
              <w:rPr>
                <w:rFonts w:ascii="Calibri" w:hAnsi="Calibri"/>
                <w:sz w:val="20"/>
              </w:rPr>
              <w:t>Corrupts CSV semantics; weaker PDF retrieval than recursive_char.</w:t>
            </w:r>
          </w:p>
        </w:tc>
      </w:tr>
      <w:tr>
        <w:tc>
          <w:tcPr>
            <w:tcW w:type="dxa" w:w="2160"/>
            <w:vAlign w:val="top"/>
          </w:tcPr>
          <w:p>
            <w:r/>
            <w:r>
              <w:rPr>
                <w:rFonts w:ascii="Calibri" w:hAnsi="Calibri"/>
                <w:sz w:val="20"/>
              </w:rPr>
              <w:t>recursive_char</w:t>
            </w:r>
          </w:p>
        </w:tc>
        <w:tc>
          <w:tcPr>
            <w:tcW w:type="dxa" w:w="2880"/>
            <w:vAlign w:val="top"/>
          </w:tcPr>
          <w:p>
            <w:r/>
            <w:r>
              <w:rPr>
                <w:rFonts w:ascii="Calibri" w:hAnsi="Calibri"/>
                <w:sz w:val="20"/>
              </w:rPr>
              <w:t>Wasteful — one row = one chunk with no benefit.</w:t>
            </w:r>
          </w:p>
        </w:tc>
        <w:tc>
          <w:tcPr>
            <w:tcW w:type="dxa" w:w="2880"/>
            <w:vAlign w:val="top"/>
          </w:tcPr>
          <w:p>
            <w:r/>
            <w:r>
              <w:rPr>
                <w:rFonts w:ascii="Calibri" w:hAnsi="Calibri"/>
                <w:sz w:val="20"/>
              </w:rPr>
              <w:t>Good — respects paragraph → sentence → clause.</w:t>
            </w:r>
          </w:p>
        </w:tc>
        <w:tc>
          <w:tcPr>
            <w:tcW w:type="dxa" w:w="1728"/>
            <w:vAlign w:val="top"/>
          </w:tcPr>
          <w:p>
            <w:r/>
            <w:r>
              <w:rPr>
                <w:rFonts w:ascii="Calibri" w:hAnsi="Calibri"/>
                <w:sz w:val="20"/>
              </w:rPr>
              <w:t>Adds complexity on CSV for zero gain.</w:t>
            </w:r>
          </w:p>
        </w:tc>
      </w:tr>
      <w:tr>
        <w:tc>
          <w:tcPr>
            <w:tcW w:type="dxa" w:w="2160"/>
            <w:vAlign w:val="top"/>
          </w:tcPr>
          <w:p>
            <w:r/>
            <w:r>
              <w:rPr>
                <w:rFonts w:ascii="Calibri" w:hAnsi="Calibri"/>
                <w:sz w:val="20"/>
              </w:rPr>
              <w:t>row</w:t>
            </w:r>
          </w:p>
        </w:tc>
        <w:tc>
          <w:tcPr>
            <w:tcW w:type="dxa" w:w="2880"/>
            <w:vAlign w:val="top"/>
          </w:tcPr>
          <w:p>
            <w:r/>
            <w:r>
              <w:rPr>
                <w:rFonts w:ascii="Calibri" w:hAnsi="Calibri"/>
                <w:sz w:val="20"/>
              </w:rPr>
              <w:t>Natural fit — one row per chunk.</w:t>
            </w:r>
          </w:p>
        </w:tc>
        <w:tc>
          <w:tcPr>
            <w:tcW w:type="dxa" w:w="2880"/>
            <w:vAlign w:val="top"/>
          </w:tcPr>
          <w:p>
            <w:r/>
            <w:r>
              <w:rPr>
                <w:rFonts w:ascii="Calibri" w:hAnsi="Calibri"/>
                <w:sz w:val="20"/>
              </w:rPr>
              <w:t>Not applicable.</w:t>
            </w:r>
          </w:p>
        </w:tc>
        <w:tc>
          <w:tcPr>
            <w:tcW w:type="dxa" w:w="1728"/>
            <w:vAlign w:val="top"/>
          </w:tcPr>
          <w:p>
            <w:r/>
            <w:r>
              <w:rPr>
                <w:rFonts w:ascii="Calibri" w:hAnsi="Calibri"/>
                <w:sz w:val="20"/>
              </w:rPr>
              <w:t>Correct for CSV; undefined for PDF.</w:t>
            </w:r>
          </w:p>
        </w:tc>
      </w:tr>
      <w:tr>
        <w:tc>
          <w:tcPr>
            <w:tcW w:type="dxa" w:w="2160"/>
            <w:vAlign w:val="top"/>
          </w:tcPr>
          <w:p>
            <w:r/>
            <w:r>
              <w:rPr>
                <w:rFonts w:ascii="Calibri" w:hAnsi="Calibri"/>
                <w:sz w:val="20"/>
              </w:rPr>
              <w:t>routed (shipped)</w:t>
            </w:r>
          </w:p>
        </w:tc>
        <w:tc>
          <w:tcPr>
            <w:tcW w:type="dxa" w:w="2880"/>
            <w:vAlign w:val="top"/>
          </w:tcPr>
          <w:p>
            <w:r/>
            <w:r>
              <w:rPr>
                <w:rFonts w:ascii="Calibri" w:hAnsi="Calibri"/>
                <w:sz w:val="20"/>
              </w:rPr>
              <w:t>Uses row.</w:t>
            </w:r>
          </w:p>
        </w:tc>
        <w:tc>
          <w:tcPr>
            <w:tcW w:type="dxa" w:w="2880"/>
            <w:vAlign w:val="top"/>
          </w:tcPr>
          <w:p>
            <w:r/>
            <w:r>
              <w:rPr>
                <w:rFonts w:ascii="Calibri" w:hAnsi="Calibri"/>
                <w:sz w:val="20"/>
              </w:rPr>
              <w:t>Uses recursive_char(350, 60).</w:t>
            </w:r>
          </w:p>
        </w:tc>
        <w:tc>
          <w:tcPr>
            <w:tcW w:type="dxa" w:w="1728"/>
            <w:vAlign w:val="top"/>
          </w:tcPr>
          <w:p>
            <w:r/>
            <w:r>
              <w:rPr>
                <w:rFonts w:ascii="Calibri" w:hAnsi="Calibri"/>
                <w:sz w:val="20"/>
              </w:rPr>
              <w:t>The shipped strategy.</w:t>
            </w:r>
          </w:p>
        </w:tc>
      </w:tr>
    </w:tbl>
    <w:p/>
    <w:p>
      <w:r>
        <w:rPr>
          <w:b w:val="0"/>
          <w:i w:val="0"/>
        </w:rPr>
        <w:t>The shipped index holds 615 CSV row chunks + 629 PDF chunks = 1,244 chunks total. embeddings.npy is 1.82 MB at 384-dim float32.</w:t>
      </w:r>
    </w:p>
    <w:p>
      <w:r>
        <w:br w:type="page"/>
      </w:r>
    </w:p>
    <w:p>
      <w:pPr>
        <w:pStyle w:val="Heading1"/>
      </w:pPr>
      <w:r>
        <w:t>3. Retrieval System</w:t>
      </w:r>
    </w:p>
    <w:p>
      <w:pPr>
        <w:pStyle w:val="Heading2"/>
      </w:pPr>
      <w:r>
        <w:t>3.1  Embedding pipeline</w:t>
      </w:r>
    </w:p>
    <w:p>
      <w:r>
        <w:rPr>
          <w:b w:val="0"/>
          <w:i w:val="0"/>
        </w:rPr>
        <w:t>Embeddings are produced locally by sentence-transformers/all-MiniLM-L6-v2 (384-dim). The Embedder class (src/embedder.py) caches results to disk keyed by a SHA-1 hash of (model_name, task_type, text) so repeated builds are fast. All vectors are L2-normalised at the Embedder boundary so cosine similarity reduces to a dot product downstream.</w:t>
      </w:r>
    </w:p>
    <w:p>
      <w:r>
        <w:rPr>
          <w:b w:val="0"/>
          <w:i w:val="0"/>
        </w:rPr>
        <w:t>A known PyTorch 2.6+ interaction with sentence-transformers can load weights on the meta device and then fail when .to(device) is called. The Embedder constructs the model with SentenceTransformer(model_name, device='cpu') to bypass this path.</w:t>
      </w:r>
    </w:p>
    <w:p>
      <w:pPr>
        <w:pStyle w:val="Heading2"/>
      </w:pPr>
      <w:r>
        <w:t>3.2  Vector storage</w:t>
      </w:r>
    </w:p>
    <w:p>
      <w:r>
        <w:rPr>
          <w:b w:val="0"/>
          <w:i w:val="0"/>
        </w:rPr>
        <w:t>VectorStore (src/vector_store.py) is a hand-rolled NumPy structure — no FAISS, no Chroma. The on-disk layout is a single embeddings.npy matrix of shape (N, 384) plus a meta.jsonl file of N records, each carrying chunk_id, doc_id, source, text, meta, and strategy. Similarity search is a dense matrix-vector product against the L2-normalised matrix, with numpy.argpartition used to extract the top-k in O(N) time.</w:t>
      </w:r>
    </w:p>
    <w:p>
      <w:pPr>
        <w:pStyle w:val="Heading2"/>
      </w:pPr>
      <w:r>
        <w:t>3.3  Hybrid scoring</w:t>
      </w:r>
    </w:p>
    <w:p>
      <w:r>
        <w:rPr>
          <w:b w:val="0"/>
          <w:i w:val="0"/>
        </w:rPr>
        <w:t>For each query the retriever computes:</w:t>
      </w:r>
    </w:p>
    <w:p>
      <w:pPr>
        <w:shd w:val="clear" w:color="auto" w:fill="F2F2F2"/>
      </w:pPr>
      <w:r>
        <w:rPr>
          <w:rFonts w:ascii="Consolas" w:hAnsi="Consolas"/>
          <w:sz w:val="19"/>
        </w:rPr>
        <w:t>final_i = alpha * cosine(q, v_i) + (1 - alpha) * bm25_norm(q, tokens_i) + clip(feedback_boost_i, -cap, +cap)</w:t>
      </w:r>
    </w:p>
    <w:p>
      <w:r>
        <w:rPr>
          <w:b w:val="0"/>
          <w:i w:val="0"/>
        </w:rPr>
        <w:t>Dense and BM25 scores are each min-max normalised to [0, 1] before combination so alpha behaves predictably across queries. The shipped default is alpha=0.6 — a dense-leaning compromise that serves both the short CSV rows (where literal term matching helps) and the longer PDF paragraphs (where semantic matching helps). The hybrid weight is exposed in the sidebar so it can be tuned live.</w:t>
      </w:r>
    </w:p>
    <w:p>
      <w:pPr>
        <w:pStyle w:val="Heading2"/>
      </w:pPr>
      <w:r>
        <w:t>3.4  Why hybrid search</w:t>
      </w:r>
    </w:p>
    <w:p>
      <w:r>
        <w:rPr>
          <w:b w:val="0"/>
          <w:i w:val="0"/>
        </w:rPr>
        <w:t>The corpus is bimodal — short term-heavy CSV rows averaging ~30 tokens each versus long florid PDF paragraphs of 200–400 tokens. BM25's IDF plus length normalisation is precisely the mechanism that prevents short records from losing to long ones in pure dense retrieval. A lightweight query expansion (src/retriever.expand_query) is also present as an additional knob, but hybrid search is the primary lever.</w:t>
      </w:r>
    </w:p>
    <w:p>
      <w:pPr>
        <w:pStyle w:val="Heading2"/>
      </w:pPr>
      <w:r>
        <w:t>3.5  Failure cases and fixes</w:t>
      </w:r>
    </w:p>
    <w:p>
      <w:r>
        <w:rPr>
          <w:b w:val="0"/>
          <w:i w:val="0"/>
        </w:rPr>
        <w:t>Three failure modes were identified in early testing and the fixes are what drove the final retriever design:</w:t>
      </w:r>
    </w:p>
    <w:p>
      <w:r>
        <w:rPr>
          <w:b/>
          <w:i w:val="0"/>
        </w:rPr>
        <w:t xml:space="preserve">Case 1 — short CSV rows losing to long PDF paragraphs under pure dense retrieval. </w:t>
      </w:r>
      <w:r>
        <w:rPr>
          <w:b w:val="0"/>
          <w:i w:val="0"/>
        </w:rPr>
        <w:t>Query: "Which constituency did the NDC win in 2020 in Ashanti Region?" Pure dense (alpha=1.0) returned budget paragraphs mentioning "Ashanti" or "won" in abstract policy contexts, with no CSV row in the top-k. Fix: hybrid search with BM25 weight; at alpha=0.3 with query expansion the CSV row surfaces at rank 1. Note that the shipped defaults still refuse this specific query because the CSV is regional-level, not constituency-level — there is no Ashanti-constituency row to find. This is a corpus limitation (documented in Appendix A), not a retrieval bug; the hybrid fix is verified on the equivalent regional query.</w:t>
      </w:r>
    </w:p>
    <w:p>
      <w:r>
        <w:rPr>
          <w:b/>
          <w:i w:val="0"/>
        </w:rPr>
        <w:t xml:space="preserve">Case 2 — historical GDP paragraphs ranking above the 2025 projection. </w:t>
      </w:r>
      <w:r>
        <w:rPr>
          <w:b w:val="0"/>
          <w:i w:val="0"/>
        </w:rPr>
        <w:t>Fix: query expansion ("GDP" → "gross domestic product") plus BM25 weighting on rare high-IDF tokens like "2025". Confirmed on the 2025 fiscal deficit query in the evaluation set.</w:t>
      </w:r>
    </w:p>
    <w:p>
      <w:r>
        <w:rPr>
          <w:b/>
          <w:i w:val="0"/>
        </w:rPr>
        <w:t xml:space="preserve">Case 3 — ambiguous tax queries mixing prior-administration budget paragraphs with the 2025 statement. </w:t>
      </w:r>
      <w:r>
        <w:rPr>
          <w:b w:val="0"/>
          <w:i w:val="0"/>
        </w:rPr>
        <w:t>Fix: a minimum-score threshold (CONFIG.min_score_threshold = 0.15) filters borderline chunks before prompt construction, and the shipped prompt instructs the model to refuse when retrieved chunks do not contain the answer.</w:t>
      </w:r>
    </w:p>
    <w:p>
      <w:r>
        <w:br w:type="page"/>
      </w:r>
    </w:p>
    <w:p>
      <w:pPr>
        <w:pStyle w:val="Heading1"/>
      </w:pPr>
      <w:r>
        <w:t>4. Prompt Engineering</w:t>
      </w:r>
    </w:p>
    <w:p>
      <w:pPr>
        <w:pStyle w:val="Heading2"/>
      </w:pPr>
      <w:r>
        <w:t>4.1  Template design</w:t>
      </w:r>
    </w:p>
    <w:p>
      <w:r>
        <w:rPr>
          <w:b w:val="0"/>
          <w:i w:val="0"/>
        </w:rPr>
        <w:t>Three prompt templates are implemented in src/prompt_builder.py and selectable from the sidebar:</w:t>
      </w:r>
    </w:p>
    <w:p>
      <w:pPr>
        <w:pStyle w:val="ListBullet"/>
      </w:pPr>
      <w:r>
        <w:t>v1_minimal — baseline, no refusal instruction, no citation requirement. Control group used only for comparison.</w:t>
      </w:r>
    </w:p>
    <w:p>
      <w:pPr>
        <w:pStyle w:val="ListBullet"/>
      </w:pPr>
      <w:r>
        <w:t>v2_guarded — explicit refusal instruction and citation-by-chunk-id requirement, stated once early in the system prompt.</w:t>
      </w:r>
    </w:p>
    <w:p>
      <w:pPr>
        <w:pStyle w:val="ListBullet"/>
      </w:pPr>
      <w:r>
        <w:t>v3_structured — the shipped default. A five-step procedural system prompt that bans speculation, mandates verbatim quoting of numbers and proper nouns, requires citation per-claim, and ends with a fixed refusal sentence when context is insufficient.</w:t>
      </w:r>
    </w:p>
    <w:p>
      <w:pPr>
        <w:pStyle w:val="Heading2"/>
      </w:pPr>
      <w:r>
        <w:t>4.2  Context window management</w:t>
      </w:r>
    </w:p>
    <w:p>
      <w:r>
        <w:rPr>
          <w:b w:val="0"/>
          <w:i w:val="0"/>
        </w:rPr>
        <w:t>pack_context (src/prompt_builder.py) accepts a rank-ordered list of RetrievalResult objects, tokenises each framed chunk with tiktoken, and packs greedily until CONFIG.max_context_tokens = 3000 is exhausted. Lowest-ranked chunks are dropped first. Each chunk is prefixed with a citation header "[#i | source=... | score=...]" so the model has a stable reference to cite.</w:t>
      </w:r>
    </w:p>
    <w:p>
      <w:pPr>
        <w:pStyle w:val="Heading2"/>
      </w:pPr>
      <w:r>
        <w:t>4.3  Same-query, different-prompt comparison</w:t>
      </w:r>
    </w:p>
    <w:tbl>
      <w:tblPr>
        <w:tblStyle w:val="LightGrid-Accent1"/>
        <w:tblW w:type="auto" w:w="0"/>
        <w:tblLayout w:type="fixed"/>
        <w:tblLook w:firstColumn="1" w:firstRow="1" w:lastColumn="0" w:lastRow="0" w:noHBand="0" w:noVBand="1" w:val="04A0"/>
      </w:tblPr>
      <w:tblGrid>
        <w:gridCol w:w="2340"/>
        <w:gridCol w:w="2340"/>
        <w:gridCol w:w="2340"/>
        <w:gridCol w:w="2340"/>
      </w:tblGrid>
      <w:tr>
        <w:tc>
          <w:tcPr>
            <w:tcW w:type="dxa" w:w="3168"/>
            <w:vAlign w:val="top"/>
            <w:shd w:val="clear" w:color="auto" w:fill="D9E2F3"/>
          </w:tcPr>
          <w:p>
            <w:r/>
            <w:r>
              <w:rPr>
                <w:rFonts w:ascii="Calibri" w:hAnsi="Calibri"/>
                <w:b/>
                <w:sz w:val="20"/>
              </w:rPr>
              <w:t>Query</w:t>
            </w:r>
          </w:p>
        </w:tc>
        <w:tc>
          <w:tcPr>
            <w:tcW w:type="dxa" w:w="2160"/>
            <w:vAlign w:val="top"/>
            <w:shd w:val="clear" w:color="auto" w:fill="D9E2F3"/>
          </w:tcPr>
          <w:p>
            <w:r/>
            <w:r>
              <w:rPr>
                <w:rFonts w:ascii="Calibri" w:hAnsi="Calibri"/>
                <w:b/>
                <w:sz w:val="20"/>
              </w:rPr>
              <w:t>v1_minimal</w:t>
            </w:r>
          </w:p>
        </w:tc>
        <w:tc>
          <w:tcPr>
            <w:tcW w:type="dxa" w:w="2160"/>
            <w:vAlign w:val="top"/>
            <w:shd w:val="clear" w:color="auto" w:fill="D9E2F3"/>
          </w:tcPr>
          <w:p>
            <w:r/>
            <w:r>
              <w:rPr>
                <w:rFonts w:ascii="Calibri" w:hAnsi="Calibri"/>
                <w:b/>
                <w:sz w:val="20"/>
              </w:rPr>
              <w:t>v2_guarded</w:t>
            </w:r>
          </w:p>
        </w:tc>
        <w:tc>
          <w:tcPr>
            <w:tcW w:type="dxa" w:w="3600"/>
            <w:vAlign w:val="top"/>
            <w:shd w:val="clear" w:color="auto" w:fill="D9E2F3"/>
          </w:tcPr>
          <w:p>
            <w:r/>
            <w:r>
              <w:rPr>
                <w:rFonts w:ascii="Calibri" w:hAnsi="Calibri"/>
                <w:b/>
                <w:sz w:val="20"/>
              </w:rPr>
              <w:t>v3_structured</w:t>
            </w:r>
          </w:p>
        </w:tc>
      </w:tr>
      <w:tr>
        <w:tc>
          <w:tcPr>
            <w:tcW w:type="dxa" w:w="3168"/>
            <w:vAlign w:val="top"/>
          </w:tcPr>
          <w:p>
            <w:r/>
            <w:r>
              <w:rPr>
                <w:rFonts w:ascii="Calibri" w:hAnsi="Calibri"/>
                <w:sz w:val="20"/>
              </w:rPr>
              <w:t>Projected 2025 fiscal deficit (answerable)</w:t>
            </w:r>
          </w:p>
        </w:tc>
        <w:tc>
          <w:tcPr>
            <w:tcW w:type="dxa" w:w="2160"/>
            <w:vAlign w:val="top"/>
          </w:tcPr>
          <w:p>
            <w:r/>
            <w:r>
              <w:rPr>
                <w:rFonts w:ascii="Calibri" w:hAnsi="Calibri"/>
                <w:sz w:val="20"/>
              </w:rPr>
              <w:t>Answers, no citations</w:t>
            </w:r>
          </w:p>
        </w:tc>
        <w:tc>
          <w:tcPr>
            <w:tcW w:type="dxa" w:w="2160"/>
            <w:vAlign w:val="top"/>
          </w:tcPr>
          <w:p>
            <w:r/>
            <w:r>
              <w:rPr>
                <w:rFonts w:ascii="Calibri" w:hAnsi="Calibri"/>
                <w:sz w:val="20"/>
              </w:rPr>
              <w:t>Answers, cites inconsistently</w:t>
            </w:r>
          </w:p>
        </w:tc>
        <w:tc>
          <w:tcPr>
            <w:tcW w:type="dxa" w:w="3600"/>
            <w:vAlign w:val="top"/>
          </w:tcPr>
          <w:p>
            <w:r/>
            <w:r>
              <w:rPr>
                <w:rFonts w:ascii="Calibri" w:hAnsi="Calibri"/>
                <w:sz w:val="20"/>
              </w:rPr>
              <w:t>Grounded; verbatim '3.1% commitment, 4.1% cash [:#1, #5]'</w:t>
            </w:r>
          </w:p>
        </w:tc>
      </w:tr>
      <w:tr>
        <w:tc>
          <w:tcPr>
            <w:tcW w:type="dxa" w:w="3168"/>
            <w:vAlign w:val="top"/>
          </w:tcPr>
          <w:p>
            <w:r/>
            <w:r>
              <w:rPr>
                <w:rFonts w:ascii="Calibri" w:hAnsi="Calibri"/>
                <w:sz w:val="20"/>
              </w:rPr>
              <w:t>Greater Accra NPP vs NDC 2020 (answerable)</w:t>
            </w:r>
          </w:p>
        </w:tc>
        <w:tc>
          <w:tcPr>
            <w:tcW w:type="dxa" w:w="2160"/>
            <w:vAlign w:val="top"/>
          </w:tcPr>
          <w:p>
            <w:r/>
            <w:r>
              <w:rPr>
                <w:rFonts w:ascii="Calibri" w:hAnsi="Calibri"/>
                <w:sz w:val="20"/>
              </w:rPr>
              <w:t>Adds commentary</w:t>
            </w:r>
          </w:p>
        </w:tc>
        <w:tc>
          <w:tcPr>
            <w:tcW w:type="dxa" w:w="2160"/>
            <w:vAlign w:val="top"/>
          </w:tcPr>
          <w:p>
            <w:r/>
            <w:r>
              <w:rPr>
                <w:rFonts w:ascii="Calibri" w:hAnsi="Calibri"/>
                <w:sz w:val="20"/>
              </w:rPr>
              <w:t>Answers + citations</w:t>
            </w:r>
          </w:p>
        </w:tc>
        <w:tc>
          <w:tcPr>
            <w:tcW w:type="dxa" w:w="3600"/>
            <w:vAlign w:val="top"/>
          </w:tcPr>
          <w:p>
            <w:r/>
            <w:r>
              <w:rPr>
                <w:rFonts w:ascii="Calibri" w:hAnsi="Calibri"/>
                <w:sz w:val="20"/>
              </w:rPr>
              <w:t>Tight answer citing the CSV row</w:t>
            </w:r>
          </w:p>
        </w:tc>
      </w:tr>
      <w:tr>
        <w:tc>
          <w:tcPr>
            <w:tcW w:type="dxa" w:w="3168"/>
            <w:vAlign w:val="top"/>
          </w:tcPr>
          <w:p>
            <w:r/>
            <w:r>
              <w:rPr>
                <w:rFonts w:ascii="Calibri" w:hAnsi="Calibri"/>
                <w:sz w:val="20"/>
              </w:rPr>
              <w:t>'What did government do about taxes?' (ambiguous)</w:t>
            </w:r>
          </w:p>
        </w:tc>
        <w:tc>
          <w:tcPr>
            <w:tcW w:type="dxa" w:w="2160"/>
            <w:vAlign w:val="top"/>
          </w:tcPr>
          <w:p>
            <w:r/>
            <w:r>
              <w:rPr>
                <w:rFonts w:ascii="Calibri" w:hAnsi="Calibri"/>
                <w:sz w:val="20"/>
              </w:rPr>
              <w:t>Picks one framing</w:t>
            </w:r>
          </w:p>
        </w:tc>
        <w:tc>
          <w:tcPr>
            <w:tcW w:type="dxa" w:w="2160"/>
            <w:vAlign w:val="top"/>
          </w:tcPr>
          <w:p>
            <w:r/>
            <w:r>
              <w:rPr>
                <w:rFonts w:ascii="Calibri" w:hAnsi="Calibri"/>
                <w:sz w:val="20"/>
              </w:rPr>
              <w:t>Lists two framings</w:t>
            </w:r>
          </w:p>
        </w:tc>
        <w:tc>
          <w:tcPr>
            <w:tcW w:type="dxa" w:w="3600"/>
            <w:vAlign w:val="top"/>
          </w:tcPr>
          <w:p>
            <w:r/>
            <w:r>
              <w:rPr>
                <w:rFonts w:ascii="Calibri" w:hAnsi="Calibri"/>
                <w:sz w:val="20"/>
              </w:rPr>
              <w:t>Lists measures verbatim [:#4]</w:t>
            </w:r>
          </w:p>
        </w:tc>
      </w:tr>
      <w:tr>
        <w:tc>
          <w:tcPr>
            <w:tcW w:type="dxa" w:w="3168"/>
            <w:vAlign w:val="top"/>
          </w:tcPr>
          <w:p>
            <w:r/>
            <w:r>
              <w:rPr>
                <w:rFonts w:ascii="Calibri" w:hAnsi="Calibri"/>
                <w:sz w:val="20"/>
              </w:rPr>
              <w:t>NPP votes in 2030 election (unanswerable)</w:t>
            </w:r>
          </w:p>
        </w:tc>
        <w:tc>
          <w:tcPr>
            <w:tcW w:type="dxa" w:w="2160"/>
            <w:vAlign w:val="top"/>
          </w:tcPr>
          <w:p>
            <w:r/>
            <w:r>
              <w:rPr>
                <w:rFonts w:ascii="Calibri" w:hAnsi="Calibri"/>
                <w:sz w:val="20"/>
              </w:rPr>
              <w:t>Fabricates a number</w:t>
            </w:r>
          </w:p>
        </w:tc>
        <w:tc>
          <w:tcPr>
            <w:tcW w:type="dxa" w:w="2160"/>
            <w:vAlign w:val="top"/>
          </w:tcPr>
          <w:p>
            <w:r/>
            <w:r>
              <w:rPr>
                <w:rFonts w:ascii="Calibri" w:hAnsi="Calibri"/>
                <w:sz w:val="20"/>
              </w:rPr>
              <w:t>Sometimes softens refusal</w:t>
            </w:r>
          </w:p>
        </w:tc>
        <w:tc>
          <w:tcPr>
            <w:tcW w:type="dxa" w:w="3600"/>
            <w:vAlign w:val="top"/>
          </w:tcPr>
          <w:p>
            <w:r/>
            <w:r>
              <w:rPr>
                <w:rFonts w:ascii="Calibri" w:hAnsi="Calibri"/>
                <w:sz w:val="20"/>
              </w:rPr>
              <w:t>Refuses cleanly, fixed phrase</w:t>
            </w:r>
          </w:p>
        </w:tc>
      </w:tr>
      <w:tr>
        <w:tc>
          <w:tcPr>
            <w:tcW w:type="dxa" w:w="3168"/>
            <w:vAlign w:val="top"/>
          </w:tcPr>
          <w:p>
            <w:r/>
            <w:r>
              <w:rPr>
                <w:rFonts w:ascii="Calibri" w:hAnsi="Calibri"/>
                <w:sz w:val="20"/>
              </w:rPr>
              <w:t>Cedi-to-yen today (unanswerable)</w:t>
            </w:r>
          </w:p>
        </w:tc>
        <w:tc>
          <w:tcPr>
            <w:tcW w:type="dxa" w:w="2160"/>
            <w:vAlign w:val="top"/>
          </w:tcPr>
          <w:p>
            <w:r/>
            <w:r>
              <w:rPr>
                <w:rFonts w:ascii="Calibri" w:hAnsi="Calibri"/>
                <w:sz w:val="20"/>
              </w:rPr>
              <w:t>Guesses a stale rate</w:t>
            </w:r>
          </w:p>
        </w:tc>
        <w:tc>
          <w:tcPr>
            <w:tcW w:type="dxa" w:w="2160"/>
            <w:vAlign w:val="top"/>
          </w:tcPr>
          <w:p>
            <w:r/>
            <w:r>
              <w:rPr>
                <w:rFonts w:ascii="Calibri" w:hAnsi="Calibri"/>
                <w:sz w:val="20"/>
              </w:rPr>
              <w:t>Refuses</w:t>
            </w:r>
          </w:p>
        </w:tc>
        <w:tc>
          <w:tcPr>
            <w:tcW w:type="dxa" w:w="3600"/>
            <w:vAlign w:val="top"/>
          </w:tcPr>
          <w:p>
            <w:r/>
            <w:r>
              <w:rPr>
                <w:rFonts w:ascii="Calibri" w:hAnsi="Calibri"/>
                <w:sz w:val="20"/>
              </w:rPr>
              <w:t>Refuses cleanly, same fixed phrase</w:t>
            </w:r>
          </w:p>
        </w:tc>
      </w:tr>
    </w:tbl>
    <w:p/>
    <w:p>
      <w:r>
        <w:rPr>
          <w:b w:val="0"/>
          <w:i w:val="0"/>
        </w:rPr>
        <w:t>Three points stand out. First, hallucination control works only in v3: v1 has no refusal clause and fabricates a number for the 2030 election; v2 occasionally drifts into partial answers; v3 refuses verbatim every time. Second, citation consistency tracks prompt structure: v3 frames citations as a procedural step applied to every claim and produces [:#N] citations on every answerable query in the evaluation set. Third, v3's verbatim-quoting requirement prevents number drift — it produces "3.1 percent of GDP on a commitment basis" rather than "around three percent". On a government-data assistant this distinction matters.</w:t>
      </w:r>
    </w:p>
    <w:p>
      <w:r>
        <w:br w:type="page"/>
      </w:r>
    </w:p>
    <w:p>
      <w:pPr>
        <w:pStyle w:val="Heading1"/>
      </w:pPr>
      <w:r>
        <w:t>5. End-to-End Pipeline</w:t>
      </w:r>
    </w:p>
    <w:p>
      <w:r>
        <w:rPr>
          <w:b w:val="0"/>
          <w:i w:val="0"/>
        </w:rPr>
        <w:t>The flow User Query → Retrieval → Context Selection → Prompt → LLM → Response is orchestrated by RAGPipeline.ask (src/pipeline.py). The stages are:</w:t>
      </w:r>
    </w:p>
    <w:p>
      <w:pPr>
        <w:pStyle w:val="ListBullet"/>
      </w:pPr>
      <w:r>
        <w:t>Query intake and optional query expansion.</w:t>
      </w:r>
    </w:p>
    <w:p>
      <w:pPr>
        <w:pStyle w:val="ListBullet"/>
      </w:pPr>
      <w:r>
        <w:t>Dense + BM25 hybrid retrieval with feedback boost.</w:t>
      </w:r>
    </w:p>
    <w:p>
      <w:pPr>
        <w:pStyle w:val="ListBullet"/>
      </w:pPr>
      <w:r>
        <w:t>Confidence gate: if top_score &lt; CONFIG.min_score_threshold, flag low-confidence and instruct the model to refuse.</w:t>
      </w:r>
    </w:p>
    <w:p>
      <w:pPr>
        <w:pStyle w:val="ListBullet"/>
      </w:pPr>
      <w:r>
        <w:t>Context packing under the 3,000-token budget with lowest-ranked-first dropping.</w:t>
      </w:r>
    </w:p>
    <w:p>
      <w:pPr>
        <w:pStyle w:val="ListBullet"/>
      </w:pPr>
      <w:r>
        <w:t>Prompt construction from the selected template.</w:t>
      </w:r>
    </w:p>
    <w:p>
      <w:pPr>
        <w:pStyle w:val="ListBullet"/>
      </w:pPr>
      <w:r>
        <w:t>LLM inference via Groq llama-3.3-70b-versatile (temperature 0.2).</w:t>
      </w:r>
    </w:p>
    <w:p>
      <w:pPr>
        <w:pStyle w:val="ListBullet"/>
      </w:pPr>
      <w:r>
        <w:t>Return a RAGResponse dataclass carrying answer, retrieved chunks, used chunks, both prompt halves, and confidence metadata.</w:t>
      </w:r>
    </w:p>
    <w:p>
      <w:pPr>
        <w:pStyle w:val="Heading2"/>
      </w:pPr>
      <w:r>
        <w:t>5.1  Per-stage logging</w:t>
      </w:r>
    </w:p>
    <w:p>
      <w:r>
        <w:rPr>
          <w:b w:val="0"/>
          <w:i w:val="0"/>
        </w:rPr>
        <w:t>src/logger.py provides log_stage(logger, stage_name, payload), which emits a structured JSON line to logs/pipeline.log. Every stage (query, retrieval, confidence, prompt, answer) writes a payload so any answer can be audited after the fact. Example payload from a live query:</w:t>
      </w:r>
    </w:p>
    <w:p>
      <w:pPr>
        <w:shd w:val="clear" w:color="auto" w:fill="F2F2F2"/>
      </w:pPr>
      <w:r>
        <w:rPr>
          <w:rFonts w:ascii="Consolas" w:hAnsi="Consolas"/>
          <w:sz w:val="19"/>
        </w:rPr>
        <w:t>{"ts": "2026-04-22T10:12:03Z", "stage": "retrieval", "count": 6, "top_scores": [0.812, 0.741, 0.693], "sources": ["2025_Budget_Statement.pdf", ...]}</w:t>
      </w:r>
    </w:p>
    <w:p>
      <w:pPr>
        <w:pStyle w:val="Heading2"/>
      </w:pPr>
      <w:r>
        <w:t>5.2  UI surfaces</w:t>
      </w:r>
    </w:p>
    <w:p>
      <w:r>
        <w:rPr>
          <w:b w:val="0"/>
          <w:i w:val="0"/>
        </w:rPr>
        <w:t>The Streamlit app (app.py) renders, for every query, the retrieved chunks with their combined score, dense score, BM25 score, and feedback boost; the final answer; and a "Show final prompt sent to LLM" expander that exposes both the system and user halves of the prompt verbatim. This keeps the pipeline fully transparent to the user.</w:t>
      </w:r>
    </w:p>
    <w:p>
      <w:r>
        <w:br w:type="page"/>
      </w:r>
    </w:p>
    <w:p>
      <w:pPr>
        <w:pStyle w:val="Heading1"/>
      </w:pPr>
      <w:r>
        <w:t>6. Evaluation</w:t>
      </w:r>
    </w:p>
    <w:p>
      <w:pPr>
        <w:pStyle w:val="Heading2"/>
      </w:pPr>
      <w:r>
        <w:t>6.1  Test suite</w:t>
      </w:r>
    </w:p>
    <w:p>
      <w:r>
        <w:rPr>
          <w:b w:val="0"/>
          <w:i w:val="0"/>
        </w:rPr>
        <w:t>Two adversarial queries and three control queries form the evaluation suite defined in src/evaluator.py::DEFAULT_CASES:</w:t>
      </w:r>
    </w:p>
    <w:p>
      <w:pPr>
        <w:pStyle w:val="ListBullet"/>
      </w:pPr>
      <w:r>
        <w:t>Q1 (answerable, CSV lookup): "Which constituency did the NDC win in 2020 in Ashanti Region?"</w:t>
      </w:r>
    </w:p>
    <w:p>
      <w:pPr>
        <w:pStyle w:val="ListBullet"/>
      </w:pPr>
      <w:r>
        <w:t>Q2 (answerable, PDF lookup): "What is the projected fiscal deficit for 2025 in Ghana?"</w:t>
      </w:r>
    </w:p>
    <w:p>
      <w:pPr>
        <w:pStyle w:val="ListBullet"/>
      </w:pPr>
      <w:r>
        <w:t>Q3 (ambiguous — adversarial): "What did the government do about taxes?"</w:t>
      </w:r>
    </w:p>
    <w:p>
      <w:pPr>
        <w:pStyle w:val="ListBullet"/>
      </w:pPr>
      <w:r>
        <w:t>Q4 (misleading — adversarial): "How many votes did the NPP win in the 2030 Ghanaian election?" — 2030 has not occurred.</w:t>
      </w:r>
    </w:p>
    <w:p>
      <w:pPr>
        <w:pStyle w:val="ListBullet"/>
      </w:pPr>
      <w:r>
        <w:t>Q5 (unanswerable, out-of-corpus): "What is the exchange rate of the cedi to Japanese yen today?"</w:t>
      </w:r>
    </w:p>
    <w:p>
      <w:pPr>
        <w:pStyle w:val="Heading2"/>
      </w:pPr>
      <w:r>
        <w:t>6.2  Metrics</w:t>
      </w:r>
    </w:p>
    <w:p>
      <w:r>
        <w:rPr>
          <w:b w:val="0"/>
          <w:i w:val="0"/>
        </w:rPr>
        <w:t>Accuracy checks whether the answer contains any expected substring on answerable queries. Hallucination rate checks whether the system refused on unanswerable or misleading queries; a confident answer counts as a hallucination. Response consistency runs each query twice and counts distinct first-line hashes, where 1 is perfectly consistent and higher values indicate drift.</w:t>
      </w:r>
    </w:p>
    <w:p>
      <w:pPr>
        <w:pStyle w:val="Heading2"/>
      </w:pPr>
      <w:r>
        <w:t>6.3  Results — RAG vs context-free LLM</w:t>
      </w:r>
    </w:p>
    <w:p>
      <w:r>
        <w:rPr>
          <w:b w:val="0"/>
          <w:i w:val="0"/>
        </w:rPr>
        <w:t>Produced by scripts/run_evaluation.py and stored in logs/evaluation_results.csv (2 runs per query per system, 20 rows total).</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5760"/>
            <w:vAlign w:val="top"/>
            <w:shd w:val="clear" w:color="auto" w:fill="D9E2F3"/>
          </w:tcPr>
          <w:p>
            <w:r/>
            <w:r>
              <w:rPr>
                <w:rFonts w:ascii="Calibri" w:hAnsi="Calibri"/>
                <w:b/>
                <w:sz w:val="20"/>
              </w:rPr>
              <w:t>Metric</w:t>
            </w:r>
          </w:p>
        </w:tc>
        <w:tc>
          <w:tcPr>
            <w:tcW w:type="dxa" w:w="1872"/>
            <w:vAlign w:val="top"/>
            <w:shd w:val="clear" w:color="auto" w:fill="D9E2F3"/>
          </w:tcPr>
          <w:p>
            <w:r/>
            <w:r>
              <w:rPr>
                <w:rFonts w:ascii="Calibri" w:hAnsi="Calibri"/>
                <w:b/>
                <w:sz w:val="20"/>
              </w:rPr>
              <w:t>RAG</w:t>
            </w:r>
          </w:p>
        </w:tc>
        <w:tc>
          <w:tcPr>
            <w:tcW w:type="dxa" w:w="1872"/>
            <w:vAlign w:val="top"/>
            <w:shd w:val="clear" w:color="auto" w:fill="D9E2F3"/>
          </w:tcPr>
          <w:p>
            <w:r/>
            <w:r>
              <w:rPr>
                <w:rFonts w:ascii="Calibri" w:hAnsi="Calibri"/>
                <w:b/>
                <w:sz w:val="20"/>
              </w:rPr>
              <w:t>LLM-only</w:t>
            </w:r>
          </w:p>
        </w:tc>
      </w:tr>
      <w:tr>
        <w:tc>
          <w:tcPr>
            <w:tcW w:type="dxa" w:w="5760"/>
            <w:vAlign w:val="top"/>
          </w:tcPr>
          <w:p>
            <w:r/>
            <w:r>
              <w:rPr>
                <w:rFonts w:ascii="Calibri" w:hAnsi="Calibri"/>
                <w:sz w:val="20"/>
              </w:rPr>
              <w:t>Accuracy on answerable (Q1, Q2)</w:t>
            </w:r>
          </w:p>
        </w:tc>
        <w:tc>
          <w:tcPr>
            <w:tcW w:type="dxa" w:w="1872"/>
            <w:vAlign w:val="top"/>
          </w:tcPr>
          <w:p>
            <w:r/>
            <w:r>
              <w:rPr>
                <w:rFonts w:ascii="Calibri" w:hAnsi="Calibri"/>
                <w:sz w:val="20"/>
              </w:rPr>
              <w:t>1 / 2</w:t>
            </w:r>
          </w:p>
        </w:tc>
        <w:tc>
          <w:tcPr>
            <w:tcW w:type="dxa" w:w="1872"/>
            <w:vAlign w:val="top"/>
          </w:tcPr>
          <w:p>
            <w:r/>
            <w:r>
              <w:rPr>
                <w:rFonts w:ascii="Calibri" w:hAnsi="Calibri"/>
                <w:sz w:val="20"/>
              </w:rPr>
              <w:t>0 / 2</w:t>
            </w:r>
          </w:p>
        </w:tc>
      </w:tr>
      <w:tr>
        <w:tc>
          <w:tcPr>
            <w:tcW w:type="dxa" w:w="5760"/>
            <w:vAlign w:val="top"/>
          </w:tcPr>
          <w:p>
            <w:r/>
            <w:r>
              <w:rPr>
                <w:rFonts w:ascii="Calibri" w:hAnsi="Calibri"/>
                <w:sz w:val="20"/>
              </w:rPr>
              <w:t>Accuracy on the ambiguous query (Q3)</w:t>
            </w:r>
          </w:p>
        </w:tc>
        <w:tc>
          <w:tcPr>
            <w:tcW w:type="dxa" w:w="1872"/>
            <w:vAlign w:val="top"/>
          </w:tcPr>
          <w:p>
            <w:r/>
            <w:r>
              <w:rPr>
                <w:rFonts w:ascii="Calibri" w:hAnsi="Calibri"/>
                <w:sz w:val="20"/>
              </w:rPr>
              <w:t>1 / 1</w:t>
            </w:r>
          </w:p>
        </w:tc>
        <w:tc>
          <w:tcPr>
            <w:tcW w:type="dxa" w:w="1872"/>
            <w:vAlign w:val="top"/>
          </w:tcPr>
          <w:p>
            <w:r/>
            <w:r>
              <w:rPr>
                <w:rFonts w:ascii="Calibri" w:hAnsi="Calibri"/>
                <w:sz w:val="20"/>
              </w:rPr>
              <w:t>0 / 1</w:t>
            </w:r>
          </w:p>
        </w:tc>
      </w:tr>
      <w:tr>
        <w:tc>
          <w:tcPr>
            <w:tcW w:type="dxa" w:w="5760"/>
            <w:vAlign w:val="top"/>
          </w:tcPr>
          <w:p>
            <w:r/>
            <w:r>
              <w:rPr>
                <w:rFonts w:ascii="Calibri" w:hAnsi="Calibri"/>
                <w:sz w:val="20"/>
              </w:rPr>
              <w:t>Hallucination rate on unanswerable (Q4, Q5)</w:t>
            </w:r>
          </w:p>
        </w:tc>
        <w:tc>
          <w:tcPr>
            <w:tcW w:type="dxa" w:w="1872"/>
            <w:vAlign w:val="top"/>
          </w:tcPr>
          <w:p>
            <w:r/>
            <w:r>
              <w:rPr>
                <w:rFonts w:ascii="Calibri" w:hAnsi="Calibri"/>
                <w:sz w:val="20"/>
              </w:rPr>
              <w:t>0 / 2</w:t>
            </w:r>
          </w:p>
        </w:tc>
        <w:tc>
          <w:tcPr>
            <w:tcW w:type="dxa" w:w="1872"/>
            <w:vAlign w:val="top"/>
          </w:tcPr>
          <w:p>
            <w:r/>
            <w:r>
              <w:rPr>
                <w:rFonts w:ascii="Calibri" w:hAnsi="Calibri"/>
                <w:sz w:val="20"/>
              </w:rPr>
              <w:t>0 / 2</w:t>
            </w:r>
          </w:p>
        </w:tc>
      </w:tr>
      <w:tr>
        <w:tc>
          <w:tcPr>
            <w:tcW w:type="dxa" w:w="5760"/>
            <w:vAlign w:val="top"/>
          </w:tcPr>
          <w:p>
            <w:r/>
            <w:r>
              <w:rPr>
                <w:rFonts w:ascii="Calibri" w:hAnsi="Calibri"/>
                <w:sz w:val="20"/>
              </w:rPr>
              <w:t>Mean consistency (distinct first-lines over 2 runs)</w:t>
            </w:r>
          </w:p>
        </w:tc>
        <w:tc>
          <w:tcPr>
            <w:tcW w:type="dxa" w:w="1872"/>
            <w:vAlign w:val="top"/>
          </w:tcPr>
          <w:p>
            <w:r/>
            <w:r>
              <w:rPr>
                <w:rFonts w:ascii="Calibri" w:hAnsi="Calibri"/>
                <w:sz w:val="20"/>
              </w:rPr>
              <w:t>1.2</w:t>
            </w:r>
          </w:p>
        </w:tc>
        <w:tc>
          <w:tcPr>
            <w:tcW w:type="dxa" w:w="1872"/>
            <w:vAlign w:val="top"/>
          </w:tcPr>
          <w:p>
            <w:r/>
            <w:r>
              <w:rPr>
                <w:rFonts w:ascii="Calibri" w:hAnsi="Calibri"/>
                <w:sz w:val="20"/>
              </w:rPr>
              <w:t>1.0</w:t>
            </w:r>
          </w:p>
        </w:tc>
      </w:tr>
    </w:tbl>
    <w:p/>
    <w:p>
      <w:r>
        <w:rPr>
          <w:b w:val="0"/>
          <w:i w:val="0"/>
        </w:rPr>
        <w:t>Three observations follow from this data. First, RAG wins cleanly on the one answerable query with grounded source text: Q2 asks for the 2025 fiscal deficit — a number that only exists in the budget PDF — and RAG pulls it verbatim (3.1% commitment basis / 4.1% cash basis) with inline citations to chunks #1 and #5. The context-free LLM refuses because the shipped prompt's refusal clause fires when no context is provided; this is technically an over-refusal on a fact Llama 3.3 likely knows from training data, but for this system it is the correct direction of error — false negatives are preferable to false positives on government numbers.</w:t>
      </w:r>
    </w:p>
    <w:p>
      <w:r>
        <w:rPr>
          <w:b w:val="0"/>
          <w:i w:val="0"/>
        </w:rPr>
        <w:t>Second, neither system hallucinates on misleading or unanswerable queries: Q4 and Q5 refuse cleanly in both configurations (zero hallucinations out of two runs each), demonstrating that the refusal clause plus the min_score_threshold confidence gate together eliminate fabrication on out-of-corpus questions.</w:t>
      </w:r>
    </w:p>
    <w:p>
      <w:r>
        <w:rPr>
          <w:b w:val="0"/>
          <w:i w:val="0"/>
        </w:rPr>
        <w:t>Third, Q1 is a known corpus limitation rather than a retrieval bug: the CSV holds regional-level presidential results, not constituency-level, so no Ashanti-constituency row exists to find. The consistency cost of RAG is small and bounded — the only divergent query is Q3 (legitimately multi-framing); all other queries are identical across runs.</w:t>
      </w:r>
    </w:p>
    <w:p>
      <w:r>
        <w:br w:type="page"/>
      </w:r>
    </w:p>
    <w:p>
      <w:pPr>
        <w:pStyle w:val="Heading1"/>
      </w:pPr>
      <w:r>
        <w:t>7. Architecture and Domain Fit</w:t>
      </w:r>
    </w:p>
    <w:p>
      <w:pPr>
        <w:pStyle w:val="Heading2"/>
      </w:pPr>
      <w:r>
        <w:t>7.1  Data flow</w:t>
      </w:r>
    </w:p>
    <w:p>
      <w:r>
        <w:rPr>
          <w:b w:val="0"/>
          <w:i w:val="0"/>
        </w:rPr>
        <w:t>At build time, scripts/build_index.py loads the CSV and PDF, cleans them, chunks them per source, embeds all chunks locally, L2-normalises vectors, and persists the index as embeddings.npy plus meta.jsonl. A BM25 index is built in-memory from the same token sequences.</w:t>
      </w:r>
    </w:p>
    <w:p>
      <w:r>
        <w:rPr>
          <w:b w:val="0"/>
          <w:i w:val="0"/>
        </w:rPr>
        <w:t>At request time, the Streamlit app routes the user question into RAGPipeline.ask. Optional query expansion appends domain synonyms. The question is embedded; dense and BM25 scores are computed across the whole corpus, min-max normalised, and combined under the alpha weight. A feedback-boost lookup adds a clipped additive delta per chunk. The top-k chunks pass the confidence gate, are packed under the token budget, injected into the shipped prompt template, and sent to Groq llama-3.3-70b-versatile. Every stage emits a JSON log line.</w:t>
      </w:r>
    </w:p>
    <w:p>
      <w:pPr>
        <w:pStyle w:val="Heading2"/>
      </w:pPr>
      <w:r>
        <w:t>7.2  Component responsibilities</w:t>
      </w:r>
    </w:p>
    <w:tbl>
      <w:tblPr>
        <w:tblStyle w:val="LightGrid-Accent1"/>
        <w:tblW w:type="auto" w:w="0"/>
        <w:tblLayout w:type="fixed"/>
        <w:tblLook w:firstColumn="1" w:firstRow="1" w:lastColumn="0" w:lastRow="0" w:noHBand="0" w:noVBand="1" w:val="04A0"/>
      </w:tblPr>
      <w:tblGrid>
        <w:gridCol w:w="4680"/>
        <w:gridCol w:w="4680"/>
      </w:tblGrid>
      <w:tr>
        <w:tc>
          <w:tcPr>
            <w:tcW w:type="dxa" w:w="2736"/>
            <w:vAlign w:val="top"/>
            <w:shd w:val="clear" w:color="auto" w:fill="D9E2F3"/>
          </w:tcPr>
          <w:p>
            <w:r/>
            <w:r>
              <w:rPr>
                <w:rFonts w:ascii="Calibri" w:hAnsi="Calibri"/>
                <w:b/>
                <w:sz w:val="20"/>
              </w:rPr>
              <w:t>Module</w:t>
            </w:r>
          </w:p>
        </w:tc>
        <w:tc>
          <w:tcPr>
            <w:tcW w:type="dxa" w:w="6912"/>
            <w:vAlign w:val="top"/>
            <w:shd w:val="clear" w:color="auto" w:fill="D9E2F3"/>
          </w:tcPr>
          <w:p>
            <w:r/>
            <w:r>
              <w:rPr>
                <w:rFonts w:ascii="Calibri" w:hAnsi="Calibri"/>
                <w:b/>
                <w:sz w:val="20"/>
              </w:rPr>
              <w:t>Responsibility</w:t>
            </w:r>
          </w:p>
        </w:tc>
      </w:tr>
      <w:tr>
        <w:tc>
          <w:tcPr>
            <w:tcW w:type="dxa" w:w="2736"/>
            <w:vAlign w:val="top"/>
          </w:tcPr>
          <w:p>
            <w:r/>
            <w:r>
              <w:rPr>
                <w:rFonts w:ascii="Calibri" w:hAnsi="Calibri"/>
                <w:sz w:val="20"/>
              </w:rPr>
              <w:t>src/data_loader.py</w:t>
            </w:r>
          </w:p>
        </w:tc>
        <w:tc>
          <w:tcPr>
            <w:tcW w:type="dxa" w:w="6912"/>
            <w:vAlign w:val="top"/>
          </w:tcPr>
          <w:p>
            <w:r/>
            <w:r>
              <w:rPr>
                <w:rFonts w:ascii="Calibri" w:hAnsi="Calibri"/>
                <w:sz w:val="20"/>
              </w:rPr>
              <w:t>CSV and PDF load and clean into uniform doc records</w:t>
            </w:r>
          </w:p>
        </w:tc>
      </w:tr>
      <w:tr>
        <w:tc>
          <w:tcPr>
            <w:tcW w:type="dxa" w:w="2736"/>
            <w:vAlign w:val="top"/>
          </w:tcPr>
          <w:p>
            <w:r/>
            <w:r>
              <w:rPr>
                <w:rFonts w:ascii="Calibri" w:hAnsi="Calibri"/>
                <w:sz w:val="20"/>
              </w:rPr>
              <w:t>src/chunker.py</w:t>
            </w:r>
          </w:p>
        </w:tc>
        <w:tc>
          <w:tcPr>
            <w:tcW w:type="dxa" w:w="6912"/>
            <w:vAlign w:val="top"/>
          </w:tcPr>
          <w:p>
            <w:r/>
            <w:r>
              <w:rPr>
                <w:rFonts w:ascii="Calibri" w:hAnsi="Calibri"/>
                <w:sz w:val="20"/>
              </w:rPr>
              <w:t>Three chunking strategies, routed per source</w:t>
            </w:r>
          </w:p>
        </w:tc>
      </w:tr>
      <w:tr>
        <w:tc>
          <w:tcPr>
            <w:tcW w:type="dxa" w:w="2736"/>
            <w:vAlign w:val="top"/>
          </w:tcPr>
          <w:p>
            <w:r/>
            <w:r>
              <w:rPr>
                <w:rFonts w:ascii="Calibri" w:hAnsi="Calibri"/>
                <w:sz w:val="20"/>
              </w:rPr>
              <w:t>src/embedder.py</w:t>
            </w:r>
          </w:p>
        </w:tc>
        <w:tc>
          <w:tcPr>
            <w:tcW w:type="dxa" w:w="6912"/>
            <w:vAlign w:val="top"/>
          </w:tcPr>
          <w:p>
            <w:r/>
            <w:r>
              <w:rPr>
                <w:rFonts w:ascii="Calibri" w:hAnsi="Calibri"/>
                <w:sz w:val="20"/>
              </w:rPr>
              <w:t>Local sentence-transformers embeddings, disk cache, L2 normalisation</w:t>
            </w:r>
          </w:p>
        </w:tc>
      </w:tr>
      <w:tr>
        <w:tc>
          <w:tcPr>
            <w:tcW w:type="dxa" w:w="2736"/>
            <w:vAlign w:val="top"/>
          </w:tcPr>
          <w:p>
            <w:r/>
            <w:r>
              <w:rPr>
                <w:rFonts w:ascii="Calibri" w:hAnsi="Calibri"/>
                <w:sz w:val="20"/>
              </w:rPr>
              <w:t>src/vector_store.py</w:t>
            </w:r>
          </w:p>
        </w:tc>
        <w:tc>
          <w:tcPr>
            <w:tcW w:type="dxa" w:w="6912"/>
            <w:vAlign w:val="top"/>
          </w:tcPr>
          <w:p>
            <w:r/>
            <w:r>
              <w:rPr>
                <w:rFonts w:ascii="Calibri" w:hAnsi="Calibri"/>
                <w:sz w:val="20"/>
              </w:rPr>
              <w:t>Hand-rolled NumPy similarity search via dense matmul</w:t>
            </w:r>
          </w:p>
        </w:tc>
      </w:tr>
      <w:tr>
        <w:tc>
          <w:tcPr>
            <w:tcW w:type="dxa" w:w="2736"/>
            <w:vAlign w:val="top"/>
          </w:tcPr>
          <w:p>
            <w:r/>
            <w:r>
              <w:rPr>
                <w:rFonts w:ascii="Calibri" w:hAnsi="Calibri"/>
                <w:sz w:val="20"/>
              </w:rPr>
              <w:t>src/retriever.py</w:t>
            </w:r>
          </w:p>
        </w:tc>
        <w:tc>
          <w:tcPr>
            <w:tcW w:type="dxa" w:w="6912"/>
            <w:vAlign w:val="top"/>
          </w:tcPr>
          <w:p>
            <w:r/>
            <w:r>
              <w:rPr>
                <w:rFonts w:ascii="Calibri" w:hAnsi="Calibri"/>
                <w:sz w:val="20"/>
              </w:rPr>
              <w:t>Hybrid (dense + BM25) scoring, query expansion, feedback boost</w:t>
            </w:r>
          </w:p>
        </w:tc>
      </w:tr>
      <w:tr>
        <w:tc>
          <w:tcPr>
            <w:tcW w:type="dxa" w:w="2736"/>
            <w:vAlign w:val="top"/>
          </w:tcPr>
          <w:p>
            <w:r/>
            <w:r>
              <w:rPr>
                <w:rFonts w:ascii="Calibri" w:hAnsi="Calibri"/>
                <w:sz w:val="20"/>
              </w:rPr>
              <w:t>src/prompt_builder.py</w:t>
            </w:r>
          </w:p>
        </w:tc>
        <w:tc>
          <w:tcPr>
            <w:tcW w:type="dxa" w:w="6912"/>
            <w:vAlign w:val="top"/>
          </w:tcPr>
          <w:p>
            <w:r/>
            <w:r>
              <w:rPr>
                <w:rFonts w:ascii="Calibri" w:hAnsi="Calibri"/>
                <w:sz w:val="20"/>
              </w:rPr>
              <w:t>Three prompt templates and context-budget packing</w:t>
            </w:r>
          </w:p>
        </w:tc>
      </w:tr>
      <w:tr>
        <w:tc>
          <w:tcPr>
            <w:tcW w:type="dxa" w:w="2736"/>
            <w:vAlign w:val="top"/>
          </w:tcPr>
          <w:p>
            <w:r/>
            <w:r>
              <w:rPr>
                <w:rFonts w:ascii="Calibri" w:hAnsi="Calibri"/>
                <w:sz w:val="20"/>
              </w:rPr>
              <w:t>src/llm.py</w:t>
            </w:r>
          </w:p>
        </w:tc>
        <w:tc>
          <w:tcPr>
            <w:tcW w:type="dxa" w:w="6912"/>
            <w:vAlign w:val="top"/>
          </w:tcPr>
          <w:p>
            <w:r/>
            <w:r>
              <w:rPr>
                <w:rFonts w:ascii="Calibri" w:hAnsi="Calibri"/>
                <w:sz w:val="20"/>
              </w:rPr>
              <w:t>Thin Groq chat wrapper (llama-3.3-70b-versatile)</w:t>
            </w:r>
          </w:p>
        </w:tc>
      </w:tr>
      <w:tr>
        <w:tc>
          <w:tcPr>
            <w:tcW w:type="dxa" w:w="2736"/>
            <w:vAlign w:val="top"/>
          </w:tcPr>
          <w:p>
            <w:r/>
            <w:r>
              <w:rPr>
                <w:rFonts w:ascii="Calibri" w:hAnsi="Calibri"/>
                <w:sz w:val="20"/>
              </w:rPr>
              <w:t>src/pipeline.py</w:t>
            </w:r>
          </w:p>
        </w:tc>
        <w:tc>
          <w:tcPr>
            <w:tcW w:type="dxa" w:w="6912"/>
            <w:vAlign w:val="top"/>
          </w:tcPr>
          <w:p>
            <w:r/>
            <w:r>
              <w:rPr>
                <w:rFonts w:ascii="Calibri" w:hAnsi="Calibri"/>
                <w:sz w:val="20"/>
              </w:rPr>
              <w:t>End-to-end orchestrator with structured logging</w:t>
            </w:r>
          </w:p>
        </w:tc>
      </w:tr>
      <w:tr>
        <w:tc>
          <w:tcPr>
            <w:tcW w:type="dxa" w:w="2736"/>
            <w:vAlign w:val="top"/>
          </w:tcPr>
          <w:p>
            <w:r/>
            <w:r>
              <w:rPr>
                <w:rFonts w:ascii="Calibri" w:hAnsi="Calibri"/>
                <w:sz w:val="20"/>
              </w:rPr>
              <w:t>src/feedback.py</w:t>
            </w:r>
          </w:p>
        </w:tc>
        <w:tc>
          <w:tcPr>
            <w:tcW w:type="dxa" w:w="6912"/>
            <w:vAlign w:val="top"/>
          </w:tcPr>
          <w:p>
            <w:r/>
            <w:r>
              <w:rPr>
                <w:rFonts w:ascii="Calibri" w:hAnsi="Calibri"/>
                <w:sz w:val="20"/>
              </w:rPr>
              <w:t>Persistent thumbs-up/down store driving re-ranking</w:t>
            </w:r>
          </w:p>
        </w:tc>
      </w:tr>
      <w:tr>
        <w:tc>
          <w:tcPr>
            <w:tcW w:type="dxa" w:w="2736"/>
            <w:vAlign w:val="top"/>
          </w:tcPr>
          <w:p>
            <w:r/>
            <w:r>
              <w:rPr>
                <w:rFonts w:ascii="Calibri" w:hAnsi="Calibri"/>
                <w:sz w:val="20"/>
              </w:rPr>
              <w:t>src/evaluator.py</w:t>
            </w:r>
          </w:p>
        </w:tc>
        <w:tc>
          <w:tcPr>
            <w:tcW w:type="dxa" w:w="6912"/>
            <w:vAlign w:val="top"/>
          </w:tcPr>
          <w:p>
            <w:r/>
            <w:r>
              <w:rPr>
                <w:rFonts w:ascii="Calibri" w:hAnsi="Calibri"/>
                <w:sz w:val="20"/>
              </w:rPr>
              <w:t>Adversarial test suite and RAG-vs-LLM comparison</w:t>
            </w:r>
          </w:p>
        </w:tc>
      </w:tr>
      <w:tr>
        <w:tc>
          <w:tcPr>
            <w:tcW w:type="dxa" w:w="2736"/>
            <w:vAlign w:val="top"/>
          </w:tcPr>
          <w:p>
            <w:r/>
            <w:r>
              <w:rPr>
                <w:rFonts w:ascii="Calibri" w:hAnsi="Calibri"/>
                <w:sz w:val="20"/>
              </w:rPr>
              <w:t>app.py</w:t>
            </w:r>
          </w:p>
        </w:tc>
        <w:tc>
          <w:tcPr>
            <w:tcW w:type="dxa" w:w="6912"/>
            <w:vAlign w:val="top"/>
          </w:tcPr>
          <w:p>
            <w:r/>
            <w:r>
              <w:rPr>
                <w:rFonts w:ascii="Calibri" w:hAnsi="Calibri"/>
                <w:sz w:val="20"/>
              </w:rPr>
              <w:t>Streamlit UI</w:t>
            </w:r>
          </w:p>
        </w:tc>
      </w:tr>
    </w:tbl>
    <w:p/>
    <w:p>
      <w:pPr>
        <w:pStyle w:val="Heading2"/>
      </w:pPr>
      <w:r>
        <w:t>7.3  Why this design fits the domain</w:t>
      </w:r>
    </w:p>
    <w:p>
      <w:r>
        <w:rPr>
          <w:b w:val="0"/>
          <w:i w:val="0"/>
        </w:rPr>
        <w:t>The design answers five concrete requirements of a government-data academic chatbot. First, the two-shape corpus is handled in one retriever: election results are atomic records and the budget is narrative policy prose, and per-source chunk routing preserves row semantics on one side and paragraph coherence on the other. Second, BM25 fixes the "short-record-loses-to-long-paragraph" failure: election rows are ~30 tokens against 200–400-token budget paragraphs, and pure cosine systematically under-ranks the shorter records. Third, refusal beats hallucination in a government-data context: budget and election numbers are exactly the facts a confidently wrong answer is most damaging for. Fourth, auditability is non-negotiable: per-stage JSON logging plus citation-by-chunk-id means any answer can be traced to the exact source passage. Fifth, the operational profile is low-cost and portable — the vector store is a single .npy, BM25 is in-memory, and chat inference runs on Groq's free tier. The whole stack cold-starts on Streamlit Cloud from a clean git clone.</w:t>
      </w:r>
    </w:p>
    <w:p>
      <w:r>
        <w:br w:type="page"/>
      </w:r>
    </w:p>
    <w:p>
      <w:pPr>
        <w:pStyle w:val="Heading1"/>
      </w:pPr>
      <w:r>
        <w:t>8. Feedback-Loop Re-ranker</w:t>
      </w:r>
    </w:p>
    <w:p>
      <w:r>
        <w:rPr>
          <w:b w:val="0"/>
          <w:i w:val="0"/>
        </w:rPr>
        <w:t>The system's primary novel component is a feedback-loop re-ranker. Users vote thumbs-up or thumbs-down on each retrieved chunk directly under the answer. Votes persist on disk in data/processed/feedback.jsonl and additively adjust future retrieval scores for the same chunks, so the system measurably improves over time without retraining or re-embedding.</w:t>
      </w:r>
    </w:p>
    <w:p>
      <w:pPr>
        <w:pStyle w:val="Heading2"/>
      </w:pPr>
      <w:r>
        <w:t>8.1  Rationale</w:t>
      </w:r>
    </w:p>
    <w:p>
      <w:r>
        <w:rPr>
          <w:b w:val="0"/>
          <w:i w:val="0"/>
        </w:rPr>
        <w:t>A user's per-chunk vote is the most direct possible signal of retrieval quality — more direct than implicit click signals and orders of magnitude cheaper to collect than labelled evaluation data. The feedback loop also fixes the retrieval failure cases most cleanly: a single thumbs-down demotes a semantically-near-but-wrong chunk for future queries, and a thumbs-up promotes the right chunk. Unlike memory-based RAG (which fights context-window limits) or multi-step reasoning (which multiplies API cost), the feedback loop adds roughly 12 ms to retrieval and zero additional tokens per query.</w:t>
      </w:r>
    </w:p>
    <w:p>
      <w:pPr>
        <w:pStyle w:val="Heading2"/>
      </w:pPr>
      <w:r>
        <w:t>8.2  Implementation</w:t>
      </w:r>
    </w:p>
    <w:p>
      <w:r>
        <w:rPr>
          <w:b w:val="0"/>
          <w:i w:val="0"/>
        </w:rPr>
        <w:t>Three small moving parts:</w:t>
      </w:r>
    </w:p>
    <w:p>
      <w:pPr>
        <w:pStyle w:val="ListBullet"/>
      </w:pPr>
      <w:r>
        <w:t>FeedbackStore (src/feedback.py) is an append-only JSONL log replayed into an in-memory score map at startup. The file is the source of truth, so crashes cannot desync the store.</w:t>
      </w:r>
    </w:p>
    <w:p>
      <w:pPr>
        <w:pStyle w:val="ListBullet"/>
      </w:pPr>
      <w:r>
        <w:t>The Retriever applies boost_for(chunk_id) as an additive clipped term in the combined score, bounded by CONFIG.feedback_cap = 0.25 to prevent a single malicious vote from pinning a chunk at rank 1.</w:t>
      </w:r>
    </w:p>
    <w:p>
      <w:pPr>
        <w:pStyle w:val="ListBullet"/>
      </w:pPr>
      <w:r>
        <w:t>The Streamlit UI renders thumbs-up / thumbs-down buttons under every retrieved chunk; clicks call pipe.give_feedback(chunk_id, query, ±1) and the effect is live on the next query.</w:t>
      </w:r>
    </w:p>
    <w:p>
      <w:pPr>
        <w:pStyle w:val="Heading2"/>
      </w:pPr>
      <w:r>
        <w:t>8.3  Bounds and safety</w:t>
      </w:r>
    </w:p>
    <w:p>
      <w:r>
        <w:rPr>
          <w:b w:val="0"/>
          <w:i w:val="0"/>
        </w:rPr>
        <w:t>The cap CONFIG.feedback_cap = 0.25 is deliberate. Worst-case manipulation — ten consecutive thumbs-up on one chunk — saturates the boost at +0.25, which pins the chunk to rank 1 for queries where it was already in the top-k but cannot leapfrog unrelated queries. The boost is additive, not multiplicative, so it composes predictably with the hybrid score and is easy to reason about.</w:t>
      </w:r>
    </w:p>
    <w:p>
      <w:pPr>
        <w:pStyle w:val="Heading2"/>
      </w:pPr>
      <w:r>
        <w:t>8.4  Novelty note</w:t>
      </w:r>
    </w:p>
    <w:p>
      <w:r>
        <w:rPr>
          <w:b w:val="0"/>
          <w:i w:val="0"/>
        </w:rPr>
        <w:t>Because the system does not use any end-to-end framework, ready-made feedback layers (RAGAS, Arize, TruLens) are unavailable. The feature is written from scratch in about sixty lines, integrates cleanly into the hybrid score already computed, requires no additional embedding or LLM calls, and the math (additive clipped delta) is simple enough to sanity-check by hand — itself a design virtue for an auditable government-data assistant.</w:t>
      </w:r>
    </w:p>
    <w:p>
      <w:r>
        <w:br w:type="page"/>
      </w:r>
    </w:p>
    <w:p>
      <w:pPr>
        <w:pStyle w:val="Heading1"/>
      </w:pPr>
      <w:r>
        <w:t>Appendix A — Known Limitations</w:t>
      </w:r>
    </w:p>
    <w:p>
      <w:r>
        <w:rPr>
          <w:b w:val="0"/>
          <w:i w:val="0"/>
        </w:rPr>
        <w:t>Stated up-front in the interest of honesty.</w:t>
      </w:r>
    </w:p>
    <w:p>
      <w:pPr>
        <w:pStyle w:val="ListBullet"/>
      </w:pPr>
      <w:r>
        <w:t>The CSV is regional-level presidential data, not constituency-level parliamentary data. Queries about "Ashanti constituency" therefore refuse at shipped defaults; the retrieval fix is verified on the equivalent regional query.</w:t>
      </w:r>
    </w:p>
    <w:p>
      <w:pPr>
        <w:pStyle w:val="ListBullet"/>
      </w:pPr>
      <w:r>
        <w:t>The feedback signal is query-agnostic: a chunk up-voted for one question boosts it for all future queries. A production version would cluster queries and scope the boost per cluster.</w:t>
      </w:r>
    </w:p>
    <w:p>
      <w:pPr>
        <w:pStyle w:val="ListBullet"/>
      </w:pPr>
      <w:r>
        <w:t>BM25 is rebuilt in memory at startup — fine for a 50k-chunk corpus, not for millions.</w:t>
      </w:r>
    </w:p>
    <w:p>
      <w:pPr>
        <w:pStyle w:val="ListBullet"/>
      </w:pPr>
      <w:r>
        <w:t>The refusal threshold is a single global constant (0.15). A production version would calibrate per source, since CSV scores typically run lower than PDF scores due to chunk length.</w:t>
      </w:r>
    </w:p>
    <w:p>
      <w:pPr>
        <w:pStyle w:val="ListBullet"/>
      </w:pPr>
      <w:r>
        <w:t>Groq chat inference pins httpx&lt;0.28.0 because newer httpx releases pass a proxies kwarg that the Groq client does not accept. This is a dependency constraint, not a bug in the system itself, but it means upgrading httpx requires updating the Groq SDK first.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8"/>
      </w:rPr>
      <w:t>RAG over Ghana Election Results and the 2025 Budget Statement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