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1F3864"/>
          <w:sz w:val="52"/>
        </w:rPr>
        <w:t>System Architecture</w:t>
      </w:r>
    </w:p>
    <w:p>
      <w:pPr>
        <w:jc w:val="center"/>
      </w:pPr>
      <w:r>
        <w:rPr>
          <w:b w:val="0"/>
          <w:i/>
          <w:sz w:val="26"/>
        </w:rPr>
        <w:t>RAG Chatbot over Ghana Election Results and the 2025 Budget Statement</w:t>
      </w:r>
    </w:p>
    <w:p/>
    <w:p/>
    <w:p/>
    <w:p>
      <w:pPr>
        <w:jc w:val="center"/>
      </w:pPr>
      <w:r>
        <w:rPr>
          <w:b/>
          <w:i w:val="0"/>
          <w:sz w:val="28"/>
        </w:rPr>
        <w:t>Andrew Kofi Kwakye</w:t>
      </w:r>
    </w:p>
    <w:p>
      <w:pPr>
        <w:jc w:val="center"/>
      </w:pPr>
      <w:r>
        <w:rPr>
          <w:b w:val="0"/>
          <w:i w:val="0"/>
          <w:sz w:val="22"/>
        </w:rPr>
        <w:t>Index: 10012300027</w:t>
      </w:r>
    </w:p>
    <w:p>
      <w:pPr>
        <w:jc w:val="center"/>
      </w:pPr>
      <w:r>
        <w:rPr>
          <w:b w:val="0"/>
          <w:i w:val="0"/>
          <w:sz w:val="22"/>
        </w:rPr>
        <w:t>kwakyeandrewkofi@gmail.com</w:t>
      </w:r>
    </w:p>
    <w:p/>
    <w:p>
      <w:pPr>
        <w:jc w:val="center"/>
      </w:pPr>
      <w:r>
        <w:rPr>
          <w:b w:val="0"/>
          <w:i/>
          <w:sz w:val="22"/>
        </w:rPr>
        <w:t>April 2026</w:t>
      </w:r>
    </w:p>
    <w:p>
      <w:r>
        <w:br w:type="page"/>
      </w:r>
    </w:p>
    <w:p>
      <w:pPr>
        <w:pStyle w:val="Heading1"/>
      </w:pPr>
      <w:r>
        <w:t>1. Overview</w:t>
      </w:r>
    </w:p>
    <w:p>
      <w:r>
        <w:rPr>
          <w:b w:val="0"/>
          <w:i w:val="0"/>
        </w:rPr>
        <w:t>This document describes the architecture of a custom Retrieval-Augmented Generation (RAG) chatbot that answers natural-language questions over two public Ghanaian data sources: the Ghana Election Results CSV and the 2025 Budget Statement and Economic Policy PDF. The system is implemented without any end-to-end RAG framework; every core component — chunking, embedding, vector storage, retrieval, prompt construction, and evaluation — is written by hand.</w:t>
      </w:r>
    </w:p>
    <w:p>
      <w:r>
        <w:rPr>
          <w:b w:val="0"/>
          <w:i w:val="0"/>
        </w:rPr>
        <w:t>The architecture has two phases. An offline indexing phase runs once at build time to produce the on-disk index. An online request phase runs every time a user submits a query. A Streamlit UI surrounds both and exposes a feedback loop that updates retrieval rankings in real time.</w:t>
      </w:r>
    </w:p>
    <w:p>
      <w:pPr>
        <w:pStyle w:val="Heading1"/>
      </w:pPr>
      <w:r>
        <w:t>2. Architecture Diagram</w:t>
      </w:r>
    </w:p>
    <w:p>
      <w:r>
        <w:rPr>
          <w:b w:val="0"/>
          <w:i w:val="0"/>
        </w:rPr>
        <w:t>The diagram below is expressed in Mermaid syntax. To view it rendered, paste the block into https://mermaid.live or view docs/architecture.md on GitHub. A textual walkthrough follows in Section 4.</w:t>
      </w:r>
    </w:p>
    <w:p>
      <w:pPr>
        <w:shd w:val="clear" w:color="auto" w:fill="F2F2F2"/>
      </w:pPr>
      <w:r>
        <w:rPr>
          <w:rFonts w:ascii="Consolas" w:hAnsi="Consolas"/>
          <w:sz w:val="18"/>
        </w:rPr>
        <w:t>flowchart TB</w:t>
        <w:br/>
        <w:t xml:space="preserve">    subgraph ING["Offline indexing (one-time)"]</w:t>
        <w:br/>
        <w:t xml:space="preserve">        A1[Ghana_Election_Result.csv] --&gt; B1[data_loader: row-per-doc]</w:t>
        <w:br/>
        <w:t xml:space="preserve">        A2[2025 Budget Statement PDF] --&gt; B2[data_loader: page-per-doc + clean]</w:t>
        <w:br/>
        <w:t xml:space="preserve">        B1 --&gt; C[chunker.chunk_documents — CSV: row / PDF: recursive]</w:t>
        <w:br/>
        <w:t xml:space="preserve">        B2 --&gt; C</w:t>
        <w:br/>
        <w:t xml:space="preserve">        C --&gt; D[embedder — sentence-transformers all-MiniLM-L6-v2, 384-dim, disk cache]</w:t>
        <w:br/>
        <w:t xml:space="preserve">        D --&gt; E[VectorStore — NumPy matrix + meta.jsonl]</w:t>
        <w:br/>
        <w:t xml:space="preserve">        C --&gt; F[BM25Okapi — token index]</w:t>
        <w:br/>
        <w:t xml:space="preserve">    end</w:t>
        <w:br/>
        <w:br/>
        <w:t xml:space="preserve">    subgraph QUERY["Query time (per request)"]</w:t>
        <w:br/>
        <w:t xml:space="preserve">        U[User question] --&gt; QE{Query expansion?}</w:t>
        <w:br/>
        <w:t xml:space="preserve">        QE --&gt;|yes| Q1[expand_query — domain synonyms]</w:t>
        <w:br/>
        <w:t xml:space="preserve">        QE --&gt;|no| Q1</w:t>
        <w:br/>
        <w:t xml:space="preserve">        Q1 --&gt; EMB[embed_one — local forward pass]</w:t>
        <w:br/>
        <w:t xml:space="preserve">        EMB --&gt; RET[Retriever — alpha*cosine + (1-alpha)*BM25 + feedback boost]</w:t>
        <w:br/>
        <w:t xml:space="preserve">        F -.-&gt; RET</w:t>
        <w:br/>
        <w:t xml:space="preserve">        E -.-&gt; RET</w:t>
        <w:br/>
        <w:t xml:space="preserve">        RET --&gt; GATE{Top score &gt; threshold?}</w:t>
        <w:br/>
        <w:t xml:space="preserve">        GATE --&gt;|no| REFUSE[Prompt tells LLM to refuse]</w:t>
        <w:br/>
        <w:t xml:space="preserve">        GATE --&gt;|yes| PACK[pack_context — rank-ordered, token-budgeted]</w:t>
        <w:br/>
        <w:t xml:space="preserve">        REFUSE --&gt; PACK</w:t>
        <w:br/>
        <w:t xml:space="preserve">        PACK --&gt; PT[prompt_builder — v3_structured]</w:t>
        <w:br/>
        <w:t xml:space="preserve">        PT --&gt; LLM[ChatLLM — Groq llama-3.3-70b-versatile]</w:t>
        <w:br/>
        <w:t xml:space="preserve">        LLM --&gt; ANS[Answer + chunk citations]</w:t>
        <w:br/>
        <w:t xml:space="preserve">    end</w:t>
        <w:br/>
        <w:br/>
        <w:t xml:space="preserve">    subgraph UI["Streamlit app"]</w:t>
        <w:br/>
        <w:t xml:space="preserve">        INPUT[query box] --&gt; U</w:t>
        <w:br/>
        <w:t xml:space="preserve">        ANS --&gt; OUT[render answer]</w:t>
        <w:br/>
        <w:t xml:space="preserve">        RET --&gt; CHUNKS[chunk inspector panel with thumbs up/down]</w:t>
        <w:br/>
        <w:t xml:space="preserve">        CHUNKS --&gt; FB[FeedbackStore — append-only JSONL]</w:t>
        <w:br/>
        <w:t xml:space="preserve">        FB -.-&gt; RET</w:t>
        <w:br/>
        <w:t xml:space="preserve">    end</w:t>
        <w:br/>
        <w:br/>
        <w:t xml:space="preserve">    subgraph LOG["Per-stage logging (pipeline.log)"]</w:t>
        <w:br/>
        <w:t xml:space="preserve">        RET -.-&gt; LG[log_stage]</w:t>
        <w:br/>
        <w:t xml:space="preserve">        PACK -.-&gt; LG</w:t>
        <w:br/>
        <w:t xml:space="preserve">        PT -.-&gt; LG</w:t>
        <w:br/>
        <w:t xml:space="preserve">        LLM -.-&gt; LG</w:t>
        <w:br/>
        <w:t xml:space="preserve">    end</w:t>
      </w:r>
    </w:p>
    <w:p>
      <w:pPr>
        <w:pStyle w:val="Heading1"/>
      </w:pPr>
      <w:r>
        <w:t>3. Components and Responsibilities</w:t>
      </w:r>
    </w:p>
    <w:tbl>
      <w:tblPr>
        <w:tblStyle w:val="LightGrid-Accent1"/>
        <w:tblW w:type="auto" w:w="0"/>
        <w:tblLayout w:type="fixed"/>
        <w:tblLook w:firstColumn="1" w:firstRow="1" w:lastColumn="0" w:lastRow="0" w:noHBand="0" w:noVBand="1" w:val="04A0"/>
      </w:tblPr>
      <w:tblGrid>
        <w:gridCol w:w="4680"/>
        <w:gridCol w:w="4680"/>
      </w:tblGrid>
      <w:tr>
        <w:tc>
          <w:tcPr>
            <w:tcW w:type="dxa" w:w="2736"/>
            <w:vAlign w:val="top"/>
            <w:shd w:val="clear" w:color="auto" w:fill="D9E2F3"/>
          </w:tcPr>
          <w:p>
            <w:r/>
            <w:r>
              <w:rPr>
                <w:rFonts w:ascii="Calibri" w:hAnsi="Calibri"/>
                <w:b/>
                <w:sz w:val="20"/>
              </w:rPr>
              <w:t>Module</w:t>
            </w:r>
          </w:p>
        </w:tc>
        <w:tc>
          <w:tcPr>
            <w:tcW w:type="dxa" w:w="6912"/>
            <w:vAlign w:val="top"/>
            <w:shd w:val="clear" w:color="auto" w:fill="D9E2F3"/>
          </w:tcPr>
          <w:p>
            <w:r/>
            <w:r>
              <w:rPr>
                <w:rFonts w:ascii="Calibri" w:hAnsi="Calibri"/>
                <w:b/>
                <w:sz w:val="20"/>
              </w:rPr>
              <w:t>Responsibility</w:t>
            </w:r>
          </w:p>
        </w:tc>
      </w:tr>
      <w:tr>
        <w:tc>
          <w:tcPr>
            <w:tcW w:type="dxa" w:w="2736"/>
            <w:vAlign w:val="top"/>
          </w:tcPr>
          <w:p>
            <w:r/>
            <w:r>
              <w:rPr>
                <w:rFonts w:ascii="Calibri" w:hAnsi="Calibri"/>
                <w:sz w:val="20"/>
              </w:rPr>
              <w:t>src/data_loader.py</w:t>
            </w:r>
          </w:p>
        </w:tc>
        <w:tc>
          <w:tcPr>
            <w:tcW w:type="dxa" w:w="6912"/>
            <w:vAlign w:val="top"/>
          </w:tcPr>
          <w:p>
            <w:r/>
            <w:r>
              <w:rPr>
                <w:rFonts w:ascii="Calibri" w:hAnsi="Calibri"/>
                <w:sz w:val="20"/>
              </w:rPr>
              <w:t>Load and clean CSV and PDF into uniform doc records</w:t>
            </w:r>
          </w:p>
        </w:tc>
      </w:tr>
      <w:tr>
        <w:tc>
          <w:tcPr>
            <w:tcW w:type="dxa" w:w="2736"/>
            <w:vAlign w:val="top"/>
          </w:tcPr>
          <w:p>
            <w:r/>
            <w:r>
              <w:rPr>
                <w:rFonts w:ascii="Calibri" w:hAnsi="Calibri"/>
                <w:sz w:val="20"/>
              </w:rPr>
              <w:t>src/chunker.py</w:t>
            </w:r>
          </w:p>
        </w:tc>
        <w:tc>
          <w:tcPr>
            <w:tcW w:type="dxa" w:w="6912"/>
            <w:vAlign w:val="top"/>
          </w:tcPr>
          <w:p>
            <w:r/>
            <w:r>
              <w:rPr>
                <w:rFonts w:ascii="Calibri" w:hAnsi="Calibri"/>
                <w:sz w:val="20"/>
              </w:rPr>
              <w:t>Three chunking strategies; chunk_documents routes per source</w:t>
            </w:r>
          </w:p>
        </w:tc>
      </w:tr>
      <w:tr>
        <w:tc>
          <w:tcPr>
            <w:tcW w:type="dxa" w:w="2736"/>
            <w:vAlign w:val="top"/>
          </w:tcPr>
          <w:p>
            <w:r/>
            <w:r>
              <w:rPr>
                <w:rFonts w:ascii="Calibri" w:hAnsi="Calibri"/>
                <w:sz w:val="20"/>
              </w:rPr>
              <w:t>src/embedder.py</w:t>
            </w:r>
          </w:p>
        </w:tc>
        <w:tc>
          <w:tcPr>
            <w:tcW w:type="dxa" w:w="6912"/>
            <w:vAlign w:val="top"/>
          </w:tcPr>
          <w:p>
            <w:r/>
            <w:r>
              <w:rPr>
                <w:rFonts w:ascii="Calibri" w:hAnsi="Calibri"/>
                <w:sz w:val="20"/>
              </w:rPr>
              <w:t>Local sentence-transformers embeddings, disk cache, L2 normalisation</w:t>
            </w:r>
          </w:p>
        </w:tc>
      </w:tr>
      <w:tr>
        <w:tc>
          <w:tcPr>
            <w:tcW w:type="dxa" w:w="2736"/>
            <w:vAlign w:val="top"/>
          </w:tcPr>
          <w:p>
            <w:r/>
            <w:r>
              <w:rPr>
                <w:rFonts w:ascii="Calibri" w:hAnsi="Calibri"/>
                <w:sz w:val="20"/>
              </w:rPr>
              <w:t>src/vector_store.py</w:t>
            </w:r>
          </w:p>
        </w:tc>
        <w:tc>
          <w:tcPr>
            <w:tcW w:type="dxa" w:w="6912"/>
            <w:vAlign w:val="top"/>
          </w:tcPr>
          <w:p>
            <w:r/>
            <w:r>
              <w:rPr>
                <w:rFonts w:ascii="Calibri" w:hAnsi="Calibri"/>
                <w:sz w:val="20"/>
              </w:rPr>
              <w:t>Hand-rolled NumPy similarity search via dense matmul</w:t>
            </w:r>
          </w:p>
        </w:tc>
      </w:tr>
      <w:tr>
        <w:tc>
          <w:tcPr>
            <w:tcW w:type="dxa" w:w="2736"/>
            <w:vAlign w:val="top"/>
          </w:tcPr>
          <w:p>
            <w:r/>
            <w:r>
              <w:rPr>
                <w:rFonts w:ascii="Calibri" w:hAnsi="Calibri"/>
                <w:sz w:val="20"/>
              </w:rPr>
              <w:t>src/retriever.py</w:t>
            </w:r>
          </w:p>
        </w:tc>
        <w:tc>
          <w:tcPr>
            <w:tcW w:type="dxa" w:w="6912"/>
            <w:vAlign w:val="top"/>
          </w:tcPr>
          <w:p>
            <w:r/>
            <w:r>
              <w:rPr>
                <w:rFonts w:ascii="Calibri" w:hAnsi="Calibri"/>
                <w:sz w:val="20"/>
              </w:rPr>
              <w:t>Hybrid dense + BM25 scoring, feedback boost, query expansion</w:t>
            </w:r>
          </w:p>
        </w:tc>
      </w:tr>
      <w:tr>
        <w:tc>
          <w:tcPr>
            <w:tcW w:type="dxa" w:w="2736"/>
            <w:vAlign w:val="top"/>
          </w:tcPr>
          <w:p>
            <w:r/>
            <w:r>
              <w:rPr>
                <w:rFonts w:ascii="Calibri" w:hAnsi="Calibri"/>
                <w:sz w:val="20"/>
              </w:rPr>
              <w:t>src/prompt_builder.py</w:t>
            </w:r>
          </w:p>
        </w:tc>
        <w:tc>
          <w:tcPr>
            <w:tcW w:type="dxa" w:w="6912"/>
            <w:vAlign w:val="top"/>
          </w:tcPr>
          <w:p>
            <w:r/>
            <w:r>
              <w:rPr>
                <w:rFonts w:ascii="Calibri" w:hAnsi="Calibri"/>
                <w:sz w:val="20"/>
              </w:rPr>
              <w:t>Three prompt templates, context-budget packing</w:t>
            </w:r>
          </w:p>
        </w:tc>
      </w:tr>
      <w:tr>
        <w:tc>
          <w:tcPr>
            <w:tcW w:type="dxa" w:w="2736"/>
            <w:vAlign w:val="top"/>
          </w:tcPr>
          <w:p>
            <w:r/>
            <w:r>
              <w:rPr>
                <w:rFonts w:ascii="Calibri" w:hAnsi="Calibri"/>
                <w:sz w:val="20"/>
              </w:rPr>
              <w:t>src/llm.py</w:t>
            </w:r>
          </w:p>
        </w:tc>
        <w:tc>
          <w:tcPr>
            <w:tcW w:type="dxa" w:w="6912"/>
            <w:vAlign w:val="top"/>
          </w:tcPr>
          <w:p>
            <w:r/>
            <w:r>
              <w:rPr>
                <w:rFonts w:ascii="Calibri" w:hAnsi="Calibri"/>
                <w:sz w:val="20"/>
              </w:rPr>
              <w:t>Thin Groq chat wrapper (llama-3.3-70b-versatile)</w:t>
            </w:r>
          </w:p>
        </w:tc>
      </w:tr>
      <w:tr>
        <w:tc>
          <w:tcPr>
            <w:tcW w:type="dxa" w:w="2736"/>
            <w:vAlign w:val="top"/>
          </w:tcPr>
          <w:p>
            <w:r/>
            <w:r>
              <w:rPr>
                <w:rFonts w:ascii="Calibri" w:hAnsi="Calibri"/>
                <w:sz w:val="20"/>
              </w:rPr>
              <w:t>src/pipeline.py</w:t>
            </w:r>
          </w:p>
        </w:tc>
        <w:tc>
          <w:tcPr>
            <w:tcW w:type="dxa" w:w="6912"/>
            <w:vAlign w:val="top"/>
          </w:tcPr>
          <w:p>
            <w:r/>
            <w:r>
              <w:rPr>
                <w:rFonts w:ascii="Calibri" w:hAnsi="Calibri"/>
                <w:sz w:val="20"/>
              </w:rPr>
              <w:t>End-to-end orchestrator with structured logging</w:t>
            </w:r>
          </w:p>
        </w:tc>
      </w:tr>
      <w:tr>
        <w:tc>
          <w:tcPr>
            <w:tcW w:type="dxa" w:w="2736"/>
            <w:vAlign w:val="top"/>
          </w:tcPr>
          <w:p>
            <w:r/>
            <w:r>
              <w:rPr>
                <w:rFonts w:ascii="Calibri" w:hAnsi="Calibri"/>
                <w:sz w:val="20"/>
              </w:rPr>
              <w:t>src/feedback.py</w:t>
            </w:r>
          </w:p>
        </w:tc>
        <w:tc>
          <w:tcPr>
            <w:tcW w:type="dxa" w:w="6912"/>
            <w:vAlign w:val="top"/>
          </w:tcPr>
          <w:p>
            <w:r/>
            <w:r>
              <w:rPr>
                <w:rFonts w:ascii="Calibri" w:hAnsi="Calibri"/>
                <w:sz w:val="20"/>
              </w:rPr>
              <w:t>Persistent thumbs-up/down store driving re-ranking</w:t>
            </w:r>
          </w:p>
        </w:tc>
      </w:tr>
      <w:tr>
        <w:tc>
          <w:tcPr>
            <w:tcW w:type="dxa" w:w="2736"/>
            <w:vAlign w:val="top"/>
          </w:tcPr>
          <w:p>
            <w:r/>
            <w:r>
              <w:rPr>
                <w:rFonts w:ascii="Calibri" w:hAnsi="Calibri"/>
                <w:sz w:val="20"/>
              </w:rPr>
              <w:t>src/evaluator.py</w:t>
            </w:r>
          </w:p>
        </w:tc>
        <w:tc>
          <w:tcPr>
            <w:tcW w:type="dxa" w:w="6912"/>
            <w:vAlign w:val="top"/>
          </w:tcPr>
          <w:p>
            <w:r/>
            <w:r>
              <w:rPr>
                <w:rFonts w:ascii="Calibri" w:hAnsi="Calibri"/>
                <w:sz w:val="20"/>
              </w:rPr>
              <w:t>Adversarial test suite and RAG-vs-LLM comparison</w:t>
            </w:r>
          </w:p>
        </w:tc>
      </w:tr>
      <w:tr>
        <w:tc>
          <w:tcPr>
            <w:tcW w:type="dxa" w:w="2736"/>
            <w:vAlign w:val="top"/>
          </w:tcPr>
          <w:p>
            <w:r/>
            <w:r>
              <w:rPr>
                <w:rFonts w:ascii="Calibri" w:hAnsi="Calibri"/>
                <w:sz w:val="20"/>
              </w:rPr>
              <w:t>app.py</w:t>
            </w:r>
          </w:p>
        </w:tc>
        <w:tc>
          <w:tcPr>
            <w:tcW w:type="dxa" w:w="6912"/>
            <w:vAlign w:val="top"/>
          </w:tcPr>
          <w:p>
            <w:r/>
            <w:r>
              <w:rPr>
                <w:rFonts w:ascii="Calibri" w:hAnsi="Calibri"/>
                <w:sz w:val="20"/>
              </w:rPr>
              <w:t>Streamlit user interface</w:t>
            </w:r>
          </w:p>
        </w:tc>
      </w:tr>
    </w:tbl>
    <w:p/>
    <w:p>
      <w:pPr>
        <w:pStyle w:val="Heading1"/>
      </w:pPr>
      <w:r>
        <w:t>4. Data Flow</w:t>
      </w:r>
    </w:p>
    <w:p>
      <w:pPr>
        <w:pStyle w:val="Heading2"/>
      </w:pPr>
      <w:r>
        <w:t>4.1  Offline indexing</w:t>
      </w:r>
    </w:p>
    <w:p>
      <w:r>
        <w:rPr>
          <w:b w:val="0"/>
          <w:i w:val="0"/>
        </w:rPr>
        <w:t>scripts/build_index.py loads the CSV and PDF, cleans them, chunks them using a strategy picked per source — one-row-per-chunk for the CSV, recursive character split on paragraph then sentence then word boundaries for the PDF, with a 350-token target and about 17 percent overlap. Each chunk is embedded locally with sentence-transformers/all-MiniLM-L6-v2 (384-dim). All vectors are L2-normalised and concatenated into an (N, 384) float32 matrix saved to data/processed/embeddings.npy. Metadata travels alongside in meta.jsonl. In parallel, a BM25 index is built in memory over the same token sequences.</w:t>
      </w:r>
    </w:p>
    <w:p>
      <w:pPr>
        <w:pStyle w:val="Heading2"/>
      </w:pPr>
      <w:r>
        <w:t>4.2  Request-time flow</w:t>
      </w:r>
    </w:p>
    <w:p>
      <w:r>
        <w:rPr>
          <w:b w:val="0"/>
          <w:i w:val="0"/>
        </w:rPr>
        <w:t>The user's question enters through Streamlit and is passed into RAGPipeline.ask(). Optional query expansion appends domain synonyms (e.g. "GDP" becomes "GDP gross domestic product"). The question is embedded with the same sentence-transformers model. The retriever computes a dense cosine score and a BM25 score over the whole corpus, min-max normalises each into [0, 1], and combines them with the hybrid weight alpha. A feedback-boost lookup adds a small clipped delta per chunk based on prior user votes. The top-k chunks are selected.</w:t>
      </w:r>
    </w:p>
    <w:p>
      <w:r>
        <w:rPr>
          <w:b w:val="0"/>
          <w:i w:val="0"/>
        </w:rPr>
        <w:t>If the top combined score is below CONFIG.min_score_threshold = 0.15, the pipeline flags the request as low-confidence — the prompt then instructs the model to refuse rather than guess. Chunks are framed with a citation header and packed greedily until the CONFIG.max_context_tokens = 3000 budget is exhausted. The v3_structured prompt combines this context with the question and a procedural system prompt that mandates evidence-grounding, refusal when uncovered, and verbatim quoting of numbers and proper nouns.</w:t>
      </w:r>
    </w:p>
    <w:p>
      <w:r>
        <w:rPr>
          <w:b w:val="0"/>
          <w:i w:val="0"/>
        </w:rPr>
        <w:t>The LLM (Groq's llama-3.3-70b-versatile at temperature 0.2) returns the answer. Every stage writes a structured JSON line to logs/pipeline.log so a reviewer can see the retrieved docs, their scores, and the exact prompt that was sent to the LLM.</w:t>
      </w:r>
    </w:p>
    <w:p>
      <w:pPr>
        <w:pStyle w:val="Heading2"/>
      </w:pPr>
      <w:r>
        <w:t>4.3  Feedback loop</w:t>
      </w:r>
    </w:p>
    <w:p>
      <w:r>
        <w:rPr>
          <w:b w:val="0"/>
          <w:i w:val="0"/>
        </w:rPr>
        <w:t>The Streamlit app renders the answer and each retrieved chunk with a thumbs-up / thumbs-down button. Clicks append a row to data/processed/feedback.jsonl and update an in-memory score map. Because the retriever reads this map on every request, feedback takes effect immediately for subsequent queries — no re-indexing required. The boost is clipped at CONFIG.feedback_cap = 0.25 so that no single vote or small group of votes can override semantic similarity.</w:t>
      </w:r>
    </w:p>
    <w:p>
      <w:pPr>
        <w:pStyle w:val="Heading1"/>
      </w:pPr>
      <w:r>
        <w:t>5. Why This Design Fits the Domain</w:t>
      </w:r>
    </w:p>
    <w:p>
      <w:r>
        <w:rPr>
          <w:b w:val="0"/>
          <w:i w:val="0"/>
        </w:rPr>
        <w:t>The architecture answers five concrete requirements of a government-data academic chatbot.</w:t>
      </w:r>
    </w:p>
    <w:p>
      <w:pPr>
        <w:pStyle w:val="Heading2"/>
      </w:pPr>
      <w:r>
        <w:t>5.1  Two document shapes, one retriever</w:t>
      </w:r>
    </w:p>
    <w:p>
      <w:r>
        <w:rPr>
          <w:b w:val="0"/>
          <w:i w:val="0"/>
        </w:rPr>
        <w:t>Ghana election results are atomic relational records; the 2025 Budget is narrative policy prose. A source-routed chunker preserves row semantics on one side and paragraph coherence on the other. A unified embedding and hybrid retriever then treats both in one similarity space.</w:t>
      </w:r>
    </w:p>
    <w:p>
      <w:pPr>
        <w:pStyle w:val="Heading2"/>
      </w:pPr>
      <w:r>
        <w:t>5.2  BM25 protects against the "short-record-loses-to-long-paragraph" failure</w:t>
      </w:r>
    </w:p>
    <w:p>
      <w:r>
        <w:rPr>
          <w:b w:val="0"/>
          <w:i w:val="0"/>
        </w:rPr>
        <w:t>Election rows average ~30 tokens; PDF paragraphs are 200–400 tokens. Pure cosine systematically under-ranks the shorter, information-denser rows because their vectors compete with long-form prose. BM25's IDF and length normalisation flips that for term-heavy queries like constituency names and party acronyms. This is the primary motivation for the hybrid retriever.</w:t>
      </w:r>
    </w:p>
    <w:p>
      <w:pPr>
        <w:pStyle w:val="Heading2"/>
      </w:pPr>
      <w:r>
        <w:t>5.3  Refusal beats hallucination in a government-data context</w:t>
      </w:r>
    </w:p>
    <w:p>
      <w:r>
        <w:rPr>
          <w:b w:val="0"/>
          <w:i w:val="0"/>
        </w:rPr>
        <w:t>Budget and election numbers are the kind of facts a confidently wrong answer is most damaging for — they get quoted in essays, news, and social media. The confidence gate plus v3 prompt pushes the system toward refusal when uncertain; this is measured in the evaluation as a reduction in hallucination rate versus the pure-LLM baseline.</w:t>
      </w:r>
    </w:p>
    <w:p>
      <w:pPr>
        <w:pStyle w:val="Heading2"/>
      </w:pPr>
      <w:r>
        <w:t>5.4  Auditability is required for academic use</w:t>
      </w:r>
    </w:p>
    <w:p>
      <w:r>
        <w:rPr>
          <w:b w:val="0"/>
          <w:i w:val="0"/>
        </w:rPr>
        <w:t>Per-stage logging and citation-by-chunk-id means anyone reviewing an answer can trace it back to the exact budget paragraph or CSV row. This matters when the tool is used by students writing essays or faculty preparing lectures.</w:t>
      </w:r>
    </w:p>
    <w:p>
      <w:pPr>
        <w:pStyle w:val="Heading2"/>
      </w:pPr>
      <w:r>
        <w:t>5.5  No framework lock-in, low operational cost</w:t>
      </w:r>
    </w:p>
    <w:p>
      <w:r>
        <w:rPr>
          <w:b w:val="0"/>
          <w:i w:val="0"/>
        </w:rPr>
        <w:t>The vector store is a single .npy file; metadata is .jsonl. Streamlit Cloud can cold-start the whole stack from a GitHub clone, load embeddings.npy into RAM, and serve queries with one Groq chat call per question. Embeddings run locally on CPU via sentence-transformers, so there is no embedding-provider rate limit or cost. Groq's free tier covers chat inference. The operational complexity is negligible and there is no vendor coupling — swapping to a different embedding or chat provider would require changing only src/embedder.py and src/llm.py.</w:t>
      </w:r>
    </w:p>
    <w:p>
      <w:pPr>
        <w:pStyle w:val="Heading1"/>
      </w:pPr>
      <w:r>
        <w:t>6. Failure Modes and Mitigations</w:t>
      </w:r>
    </w:p>
    <w:tbl>
      <w:tblPr>
        <w:tblStyle w:val="LightGrid-Accent1"/>
        <w:tblW w:type="auto" w:w="0"/>
        <w:tblLayout w:type="fixed"/>
        <w:tblLook w:firstColumn="1" w:firstRow="1" w:lastColumn="0" w:lastRow="0" w:noHBand="0" w:noVBand="1" w:val="04A0"/>
      </w:tblPr>
      <w:tblGrid>
        <w:gridCol w:w="4680"/>
        <w:gridCol w:w="4680"/>
      </w:tblGrid>
      <w:tr>
        <w:tc>
          <w:tcPr>
            <w:tcW w:type="dxa" w:w="4320"/>
            <w:vAlign w:val="top"/>
            <w:shd w:val="clear" w:color="auto" w:fill="D9E2F3"/>
          </w:tcPr>
          <w:p>
            <w:r/>
            <w:r>
              <w:rPr>
                <w:rFonts w:ascii="Calibri" w:hAnsi="Calibri"/>
                <w:b/>
                <w:sz w:val="20"/>
              </w:rPr>
              <w:t>Failure</w:t>
            </w:r>
          </w:p>
        </w:tc>
        <w:tc>
          <w:tcPr>
            <w:tcW w:type="dxa" w:w="5328"/>
            <w:vAlign w:val="top"/>
            <w:shd w:val="clear" w:color="auto" w:fill="D9E2F3"/>
          </w:tcPr>
          <w:p>
            <w:r/>
            <w:r>
              <w:rPr>
                <w:rFonts w:ascii="Calibri" w:hAnsi="Calibri"/>
                <w:b/>
                <w:sz w:val="20"/>
              </w:rPr>
              <w:t>Mitigation</w:t>
            </w:r>
          </w:p>
        </w:tc>
      </w:tr>
      <w:tr>
        <w:tc>
          <w:tcPr>
            <w:tcW w:type="dxa" w:w="4320"/>
            <w:vAlign w:val="top"/>
          </w:tcPr>
          <w:p>
            <w:r/>
            <w:r>
              <w:rPr>
                <w:rFonts w:ascii="Calibri" w:hAnsi="Calibri"/>
                <w:sz w:val="20"/>
              </w:rPr>
              <w:t>Topically-related but wrong chunks ranked top</w:t>
            </w:r>
          </w:p>
        </w:tc>
        <w:tc>
          <w:tcPr>
            <w:tcW w:type="dxa" w:w="5328"/>
            <w:vAlign w:val="top"/>
          </w:tcPr>
          <w:p>
            <w:r/>
            <w:r>
              <w:rPr>
                <w:rFonts w:ascii="Calibri" w:hAnsi="Calibri"/>
                <w:sz w:val="20"/>
              </w:rPr>
              <w:t>Hybrid BM25 component rewards term co-occurrence; feedback loop pushes them down.</w:t>
            </w:r>
          </w:p>
        </w:tc>
      </w:tr>
      <w:tr>
        <w:tc>
          <w:tcPr>
            <w:tcW w:type="dxa" w:w="4320"/>
            <w:vAlign w:val="top"/>
          </w:tcPr>
          <w:p>
            <w:r/>
            <w:r>
              <w:rPr>
                <w:rFonts w:ascii="Calibri" w:hAnsi="Calibri"/>
                <w:sz w:val="20"/>
              </w:rPr>
              <w:t>PDF text extraction produces gibberish on a page</w:t>
            </w:r>
          </w:p>
        </w:tc>
        <w:tc>
          <w:tcPr>
            <w:tcW w:type="dxa" w:w="5328"/>
            <w:vAlign w:val="top"/>
          </w:tcPr>
          <w:p>
            <w:r/>
            <w:r>
              <w:rPr>
                <w:rFonts w:ascii="Calibri" w:hAnsi="Calibri"/>
                <w:sz w:val="20"/>
              </w:rPr>
              <w:t>data_loader._clean_page_text fixes hyphen breaks and drops pages under 50 chars.</w:t>
            </w:r>
          </w:p>
        </w:tc>
      </w:tr>
      <w:tr>
        <w:tc>
          <w:tcPr>
            <w:tcW w:type="dxa" w:w="4320"/>
            <w:vAlign w:val="top"/>
          </w:tcPr>
          <w:p>
            <w:r/>
            <w:r>
              <w:rPr>
                <w:rFonts w:ascii="Calibri" w:hAnsi="Calibri"/>
                <w:sz w:val="20"/>
              </w:rPr>
              <w:t>Model invents numbers when context is thin</w:t>
            </w:r>
          </w:p>
        </w:tc>
        <w:tc>
          <w:tcPr>
            <w:tcW w:type="dxa" w:w="5328"/>
            <w:vAlign w:val="top"/>
          </w:tcPr>
          <w:p>
            <w:r/>
            <w:r>
              <w:rPr>
                <w:rFonts w:ascii="Calibri" w:hAnsi="Calibri"/>
                <w:sz w:val="20"/>
              </w:rPr>
              <w:t>v3 prompt bans non-verbatim numbers; confidence gate tells model to refuse.</w:t>
            </w:r>
          </w:p>
        </w:tc>
      </w:tr>
      <w:tr>
        <w:tc>
          <w:tcPr>
            <w:tcW w:type="dxa" w:w="4320"/>
            <w:vAlign w:val="top"/>
          </w:tcPr>
          <w:p>
            <w:r/>
            <w:r>
              <w:rPr>
                <w:rFonts w:ascii="Calibri" w:hAnsi="Calibri"/>
                <w:sz w:val="20"/>
              </w:rPr>
              <w:t>Feedback signal abused to pin an irrelevant chunk</w:t>
            </w:r>
          </w:p>
        </w:tc>
        <w:tc>
          <w:tcPr>
            <w:tcW w:type="dxa" w:w="5328"/>
            <w:vAlign w:val="top"/>
          </w:tcPr>
          <w:p>
            <w:r/>
            <w:r>
              <w:rPr>
                <w:rFonts w:ascii="Calibri" w:hAnsi="Calibri"/>
                <w:sz w:val="20"/>
              </w:rPr>
              <w:t>feedback_cap clamps total contribution so it cannot outweigh semantic score.</w:t>
            </w:r>
          </w:p>
        </w:tc>
      </w:tr>
      <w:tr>
        <w:tc>
          <w:tcPr>
            <w:tcW w:type="dxa" w:w="4320"/>
            <w:vAlign w:val="top"/>
          </w:tcPr>
          <w:p>
            <w:r/>
            <w:r>
              <w:rPr>
                <w:rFonts w:ascii="Calibri" w:hAnsi="Calibri"/>
                <w:sz w:val="20"/>
              </w:rPr>
              <w:t>Slow first-query embedder load</w:t>
            </w:r>
          </w:p>
        </w:tc>
        <w:tc>
          <w:tcPr>
            <w:tcW w:type="dxa" w:w="5328"/>
            <w:vAlign w:val="top"/>
          </w:tcPr>
          <w:p>
            <w:r/>
            <w:r>
              <w:rPr>
                <w:rFonts w:ascii="Calibri" w:hAnsi="Calibri"/>
                <w:sz w:val="20"/>
              </w:rPr>
              <w:t>First call lazy-loads the sentence-transformers model (~80 MB); disk cache avoids re-embedding anything after that.</w:t>
            </w:r>
          </w:p>
        </w:tc>
      </w:tr>
    </w:tbl>
    <w:p/>
    <w:p>
      <w:pPr>
        <w:pStyle w:val="Heading1"/>
      </w:pPr>
      <w:r>
        <w:t>7. Known Limitations</w:t>
      </w:r>
    </w:p>
    <w:p>
      <w:pPr>
        <w:pStyle w:val="ListBullet"/>
      </w:pPr>
      <w:r>
        <w:t>The feedback store is query-agnostic: a chunk that is up-voted for one question boosts it for all future queries. A production version would cluster queries and scope the boost to similar clusters.</w:t>
      </w:r>
    </w:p>
    <w:p>
      <w:pPr>
        <w:pStyle w:val="ListBullet"/>
      </w:pPr>
      <w:r>
        <w:t>BM25 is rebuilt in memory at startup — fine for a 50,000-chunk corpus, not for millions.</w:t>
      </w:r>
    </w:p>
    <w:p>
      <w:pPr>
        <w:pStyle w:val="ListBullet"/>
      </w:pPr>
      <w:r>
        <w:t>The current refusal threshold is a single global constant (0.15); ideally it would be calibrated per source, since CSV scores typically run lower than PDF scores because CSV rows are short.</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7F7F"/>
        <w:sz w:val="18"/>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7F7F"/>
        <w:sz w:val="18"/>
      </w:rPr>
      <w:t>Architecture — Andrew Kofi Kwakye (10012300027)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5496"/>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