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504374">
      <w:pPr>
        <w:spacing w:line="480" w:lineRule="auto"/>
        <w:jc w:val="both"/>
        <w:rPr>
          <w:rFonts w:asciiTheme="majorHAnsi" w:hAnsiTheme="majorHAnsi" w:cstheme="majorHAnsi"/>
          <w:b/>
        </w:rPr>
      </w:pPr>
    </w:p>
    <w:p w:rsidR="008C67B8" w:rsidRPr="00C06710" w:rsidRDefault="004D0AE6" w:rsidP="00504374">
      <w:pPr>
        <w:spacing w:line="480" w:lineRule="auto"/>
        <w:jc w:val="both"/>
        <w:rPr>
          <w:rFonts w:asciiTheme="majorHAnsi" w:hAnsiTheme="majorHAnsi" w:cstheme="majorHAnsi"/>
          <w:b/>
        </w:rPr>
      </w:pPr>
      <w:r>
        <w:rPr>
          <w:rFonts w:asciiTheme="majorHAnsi" w:hAnsiTheme="majorHAnsi" w:cstheme="majorHAnsi"/>
          <w:b/>
        </w:rPr>
        <w:t>Ac-227 Dose of Accelerator Generated</w:t>
      </w:r>
      <w:r w:rsidR="00C91C83">
        <w:rPr>
          <w:rFonts w:asciiTheme="majorHAnsi" w:hAnsiTheme="majorHAnsi" w:cstheme="majorHAnsi"/>
          <w:b/>
        </w:rPr>
        <w:t xml:space="preserve"> Ac-225 in Mice</w:t>
      </w:r>
    </w:p>
    <w:p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1,2</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504374">
      <w:pPr>
        <w:spacing w:line="480" w:lineRule="auto"/>
        <w:jc w:val="both"/>
        <w:rPr>
          <w:rFonts w:asciiTheme="majorHAnsi" w:hAnsiTheme="majorHAnsi" w:cstheme="majorHAnsi"/>
        </w:rPr>
      </w:pPr>
    </w:p>
    <w:p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6"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7"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504374">
      <w:pPr>
        <w:spacing w:line="480" w:lineRule="auto"/>
        <w:jc w:val="both"/>
        <w:rPr>
          <w:rFonts w:asciiTheme="majorHAnsi" w:hAnsiTheme="majorHAnsi" w:cstheme="majorHAnsi"/>
          <w:b/>
        </w:rPr>
      </w:pPr>
    </w:p>
    <w:p w:rsidR="00C12BBB" w:rsidRDefault="00C12BBB" w:rsidP="00504374">
      <w:pPr>
        <w:spacing w:line="480" w:lineRule="auto"/>
        <w:jc w:val="both"/>
        <w:rPr>
          <w:rFonts w:asciiTheme="majorHAnsi" w:hAnsiTheme="majorHAnsi" w:cstheme="majorHAnsi"/>
          <w:b/>
        </w:rPr>
      </w:pPr>
    </w:p>
    <w:p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r w:rsidR="00C91C83">
        <w:rPr>
          <w:rFonts w:asciiTheme="majorHAnsi" w:hAnsiTheme="majorHAnsi" w:cstheme="majorHAnsi"/>
        </w:rPr>
        <w:t>xxxx</w:t>
      </w:r>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xxxx</w:t>
      </w:r>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r w:rsidR="00C91C83">
        <w:rPr>
          <w:rFonts w:asciiTheme="majorHAnsi" w:hAnsiTheme="majorHAnsi" w:cstheme="majorHAnsi"/>
        </w:rPr>
        <w:t>xxxx.</w:t>
      </w:r>
      <w:r w:rsidR="00BE3D23">
        <w:rPr>
          <w:rFonts w:asciiTheme="majorHAnsi" w:hAnsiTheme="majorHAnsi" w:cstheme="majorHAnsi"/>
        </w:rPr>
        <w:t xml:space="preserve"> </w:t>
      </w:r>
      <w:r w:rsidR="00BE3D23">
        <w:rPr>
          <w:rFonts w:asciiTheme="majorHAnsi" w:hAnsiTheme="majorHAnsi" w:cstheme="majorHAnsi"/>
          <w:b/>
        </w:rPr>
        <w:t xml:space="preserve">References: </w:t>
      </w:r>
      <w:r w:rsidR="00C91C83">
        <w:rPr>
          <w:rFonts w:asciiTheme="majorHAnsi" w:hAnsiTheme="majorHAnsi" w:cstheme="majorHAnsi"/>
        </w:rPr>
        <w:t>xxxx</w:t>
      </w:r>
    </w:p>
    <w:p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Production something</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 xml:space="preserve"> </w:t>
      </w:r>
    </w:p>
    <w:p w:rsidR="0029181E" w:rsidRDefault="0029181E" w:rsidP="0029181E">
      <w:pPr>
        <w:spacing w:line="480" w:lineRule="auto"/>
        <w:jc w:val="both"/>
        <w:rPr>
          <w:rFonts w:asciiTheme="majorHAnsi" w:hAnsiTheme="majorHAnsi" w:cstheme="majorHAnsi"/>
        </w:rPr>
      </w:pPr>
      <w:r>
        <w:rPr>
          <w:rFonts w:asciiTheme="majorHAnsi" w:hAnsiTheme="majorHAnsi" w:cstheme="majorHAnsi"/>
        </w:rPr>
        <w:t>With three different Ac-225 constructs, we model the worst case scenario future dose rate for Ac-227 contamination in Ac-225 doses in mice out to one Ac-227 half life, 21.77 years.</w:t>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504374">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(plotoutpower) –Activity maximum</w:t>
      </w:r>
      <w:r w:rsidRPr="009E5B8D">
        <w:rPr>
          <w:rFonts w:asciiTheme="majorHAnsi" w:hAnsiTheme="majorHAnsi" w:cstheme="majorHAnsi"/>
        </w:rPr>
        <w:t xml:space="preserve"> is 13.68 hours (plotout) Ac-225- 200 uCi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504374">
      <w:pPr>
        <w:spacing w:line="480" w:lineRule="auto"/>
        <w:jc w:val="both"/>
        <w:rPr>
          <w:rFonts w:asciiTheme="majorHAnsi" w:hAnsiTheme="majorHAnsi" w:cstheme="majorHAnsi"/>
        </w:rPr>
      </w:pPr>
    </w:p>
    <w:p w:rsidR="009E5B8D" w:rsidRPr="00C06710" w:rsidRDefault="009E5B8D" w:rsidP="00504374">
      <w:pPr>
        <w:spacing w:line="480" w:lineRule="auto"/>
        <w:jc w:val="both"/>
        <w:rPr>
          <w:rFonts w:asciiTheme="majorHAnsi" w:hAnsiTheme="majorHAnsi" w:cstheme="majorHAnsi"/>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w:t>
      </w:r>
      <w:r w:rsidR="00C351F1">
        <w:rPr>
          <w:rFonts w:asciiTheme="majorHAnsi" w:hAnsiTheme="majorHAnsi" w:cstheme="majorHAnsi"/>
          <w:highlight w:val="yellow"/>
        </w:rPr>
        <w:t>purchased or synthesized?</w:t>
      </w:r>
      <w:r w:rsidRPr="00270D54">
        <w:rPr>
          <w:rFonts w:asciiTheme="majorHAnsi" w:hAnsiTheme="majorHAnsi" w:cstheme="majorHAnsi"/>
          <w:highlight w:val="yellow"/>
        </w:rPr>
        <w:t>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w:t>
      </w:r>
      <w:r w:rsidR="008E4DE5" w:rsidRPr="008E4DE5">
        <w:rPr>
          <w:rFonts w:asciiTheme="majorHAnsi" w:hAnsiTheme="majorHAnsi" w:cstheme="majorHAnsi"/>
          <w:highlight w:val="yellow"/>
        </w:rPr>
        <w:t>XXX</w:t>
      </w:r>
      <w:r w:rsidR="00C351F1">
        <w:rPr>
          <w:rFonts w:asciiTheme="majorHAnsi" w:hAnsiTheme="majorHAnsi" w:cstheme="majorHAnsi"/>
          <w:highlight w:val="yellow"/>
        </w:rPr>
        <w:t>donated or purchased?</w:t>
      </w:r>
      <w:r w:rsidR="008E4DE5" w:rsidRPr="008E4DE5">
        <w:rPr>
          <w:rFonts w:asciiTheme="majorHAnsi" w:hAnsiTheme="majorHAnsi" w:cstheme="majorHAnsi"/>
          <w:highlight w:val="yellow"/>
        </w:rPr>
        <w:t>XXXXXXX</w:t>
      </w:r>
      <w:r w:rsidR="008E4DE5">
        <w:rPr>
          <w:rFonts w:asciiTheme="majorHAnsi" w:hAnsiTheme="majorHAnsi" w:cstheme="majorHAnsi"/>
        </w:rPr>
        <w:t xml:space="preserve">. </w:t>
      </w:r>
      <w:r w:rsidR="008E4DE5" w:rsidRPr="008E4DE5">
        <w:rPr>
          <w:rFonts w:asciiTheme="majorHAnsi" w:hAnsiTheme="majorHAnsi" w:cstheme="majorHAnsi"/>
        </w:rPr>
        <w:t>1,4,7,10-Tetraazacyclododecane-1,4,7-tris-acetic acid-10-maleimidoethylacetamide (DOTA-MMA) was purchased from Macrocyclics, Bradford reagent was purchased from Bio-rad, and tris(2-carboxyethyl)phosphine hydrochloride (TCEP HCl), L-glutathione reduced, and all other chemicals were purchased from Sigma-Aldrich.</w:t>
      </w:r>
    </w:p>
    <w:p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10 mL of Ultima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ashed in a furnace, dissolved in nitric acid, and diluted into 10 mL Ultima Gold LLT scintillation cocktail.</w:t>
      </w:r>
    </w:p>
    <w:p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at 200:1 excess Ligand:Metal.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HCl was added at </w:t>
      </w:r>
      <w:r>
        <w:rPr>
          <w:rFonts w:asciiTheme="majorHAnsi" w:hAnsiTheme="majorHAnsi" w:cstheme="majorHAnsi"/>
        </w:rPr>
        <w:t>200</w:t>
      </w:r>
      <w:r w:rsidR="00677A09" w:rsidRPr="00C06710">
        <w:rPr>
          <w:rFonts w:asciiTheme="majorHAnsi" w:hAnsiTheme="majorHAnsi" w:cstheme="majorHAnsi"/>
        </w:rPr>
        <w:t xml:space="preserve">x excess </w:t>
      </w:r>
      <w:r>
        <w:rPr>
          <w:rFonts w:asciiTheme="majorHAnsi" w:hAnsiTheme="majorHAnsi" w:cstheme="majorHAnsi"/>
        </w:rPr>
        <w:t>Ligand:Metal</w:t>
      </w:r>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retentate were taken for final activity and yield verification. </w:t>
      </w:r>
    </w:p>
    <w:p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lastRenderedPageBreak/>
        <w:t>Animal Handling</w:t>
      </w:r>
    </w:p>
    <w:p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r w:rsidR="00C74806">
        <w:rPr>
          <w:rFonts w:asciiTheme="majorHAnsi" w:hAnsiTheme="majorHAnsi" w:cstheme="majorHAnsi"/>
        </w:rPr>
        <w:t xml:space="preserve"> </w:t>
      </w:r>
      <w:r w:rsidR="00C74806" w:rsidRPr="00C74806">
        <w:rPr>
          <w:rFonts w:asciiTheme="majorHAnsi" w:hAnsiTheme="majorHAnsi" w:cstheme="majorHAnsi"/>
          <w:highlight w:val="yellow"/>
        </w:rPr>
        <w:t>xxxxxxxxxxxxxxxxxx</w:t>
      </w:r>
    </w:p>
    <w:p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The input dose bolus was 200 nCi for Ac-225 and 1 nCi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 xml:space="preserve">een real recorded time </w:t>
      </w:r>
      <w:r w:rsidR="00C769C3">
        <w:rPr>
          <w:rFonts w:asciiTheme="majorHAnsi" w:hAnsiTheme="majorHAnsi" w:cstheme="majorHAnsi"/>
        </w:rPr>
        <w:lastRenderedPageBreak/>
        <w:t>point values of 1 hr, 4 hr, 24 hr, 4 days, 6 days (and 10 days for Trastuzumab-DOTA only)</w:t>
      </w:r>
      <w:r w:rsidR="005720C6">
        <w:rPr>
          <w:rFonts w:asciiTheme="majorHAnsi" w:hAnsiTheme="majorHAnsi" w:cstheme="majorHAnsi"/>
        </w:rPr>
        <w:t xml:space="preserve">, small step changes 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Figure Sxxx</w:t>
      </w:r>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nCi/g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w:t>
      </w:r>
      <w:r w:rsidR="00C74806">
        <w:rPr>
          <w:rFonts w:asciiTheme="majorHAnsi" w:hAnsiTheme="majorHAnsi" w:cstheme="majorHAnsi"/>
        </w:rPr>
        <w:t xml:space="preserve">DOTA was used as the ligand for actinium due to its </w:t>
      </w:r>
      <w:r w:rsidR="00C74806" w:rsidRPr="00C74806">
        <w:rPr>
          <w:rFonts w:asciiTheme="majorHAnsi" w:hAnsiTheme="majorHAnsi" w:cstheme="majorHAnsi"/>
          <w:i/>
        </w:rPr>
        <w:t>in vivo</w:t>
      </w:r>
      <w:r w:rsidR="00C74806">
        <w:rPr>
          <w:rFonts w:asciiTheme="majorHAnsi" w:hAnsiTheme="majorHAnsi" w:cstheme="majorHAnsi"/>
        </w:rPr>
        <w:t xml:space="preserve"> stability and commercial availability as a bifunctional chelator (</w:t>
      </w:r>
      <w:r w:rsidR="00C74806" w:rsidRPr="00F66D21">
        <w:rPr>
          <w:rFonts w:asciiTheme="majorHAnsi" w:hAnsiTheme="majorHAnsi" w:cstheme="majorHAnsi"/>
          <w:highlight w:val="yellow"/>
        </w:rPr>
        <w:t>cite Robertsom curr radiopharm 2015 - Development of 225Ac Radiopharmaceuticals: TRIUMF Perspectives and Experiences</w:t>
      </w:r>
      <w:r w:rsidR="00C74806">
        <w:rPr>
          <w:rFonts w:asciiTheme="majorHAnsi" w:hAnsiTheme="majorHAnsi" w:cstheme="majorHAnsi"/>
        </w:rPr>
        <w:t>).</w:t>
      </w:r>
      <w:r w:rsidR="00C74806">
        <w:rPr>
          <w:rFonts w:asciiTheme="majorHAnsi" w:hAnsiTheme="majorHAnsi" w:cstheme="majorHAnsi"/>
        </w:rPr>
        <w:t xml:space="preserve"> </w:t>
      </w:r>
      <w:r w:rsidR="00143FE0">
        <w:rPr>
          <w:rFonts w:asciiTheme="majorHAnsi" w:hAnsiTheme="majorHAnsi" w:cstheme="majorHAnsi"/>
        </w:rPr>
        <w:t>Biodistribution was compared via recovered dose per gram (RD/g) or localization ratio (LR)</w:t>
      </w:r>
      <w:r w:rsidR="00C74806">
        <w:rPr>
          <w:rFonts w:asciiTheme="majorHAnsi" w:hAnsiTheme="majorHAnsi" w:cstheme="majorHAnsi"/>
        </w:rPr>
        <w:t xml:space="preserve"> of Ac-225/Ac-227 RD/g values to determine any distribution effects.</w:t>
      </w:r>
    </w:p>
    <w:p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lastRenderedPageBreak/>
        <w:t>B</w:t>
      </w:r>
      <w:r w:rsidR="00C91C83">
        <w:rPr>
          <w:rFonts w:asciiTheme="majorHAnsi" w:hAnsiTheme="majorHAnsi" w:cstheme="majorHAnsi"/>
          <w:b/>
        </w:rPr>
        <w:t>iodistribution</w:t>
      </w:r>
    </w:p>
    <w:p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504374">
      <w:pPr>
        <w:spacing w:line="480" w:lineRule="auto"/>
        <w:jc w:val="both"/>
        <w:rPr>
          <w:rFonts w:asciiTheme="majorHAnsi" w:hAnsiTheme="majorHAnsi" w:cstheme="majorHAnsi"/>
        </w:rPr>
      </w:pPr>
      <w:r>
        <w:rPr>
          <w:rFonts w:asciiTheme="majorHAnsi" w:hAnsiTheme="majorHAnsi" w:cstheme="majorHAnsi"/>
        </w:rPr>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29181E">
        <w:rPr>
          <w:rFonts w:asciiTheme="majorHAnsi" w:hAnsiTheme="majorHAnsi" w:cstheme="majorHAnsi"/>
        </w:rPr>
        <w:t>HER2-</w:t>
      </w:r>
      <w:r w:rsidR="008C03B5">
        <w:rPr>
          <w:rFonts w:asciiTheme="majorHAnsi" w:hAnsiTheme="majorHAnsi" w:cstheme="majorHAnsi"/>
        </w:rPr>
        <w:t xml:space="preserve">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r w:rsidR="00065026">
        <w:rPr>
          <w:rFonts w:asciiTheme="majorHAnsi" w:hAnsiTheme="majorHAnsi" w:cstheme="majorHAnsi"/>
        </w:rPr>
        <w:t>T</w:t>
      </w:r>
      <w:r w:rsidR="00143FE0">
        <w:rPr>
          <w:rFonts w:asciiTheme="majorHAnsi" w:hAnsiTheme="majorHAnsi" w:cstheme="majorHAnsi"/>
        </w:rPr>
        <w:t>rastuzumab-DOTA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ing spleen uptake as the largest %RD/g (likely due to immune opsonization)</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ashed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r>
        <w:rPr>
          <w:rFonts w:asciiTheme="majorHAnsi" w:hAnsiTheme="majorHAnsi" w:cstheme="majorHAnsi"/>
        </w:rPr>
        <w:t>Trastuzumab-DOTA-Ac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Trastuzumab-DOTA-Ac LR is beyond the scale due to extremely low activity in the Ac-227 </w:t>
      </w:r>
      <w:r w:rsidR="004B408E">
        <w:rPr>
          <w:rFonts w:asciiTheme="majorHAnsi" w:hAnsiTheme="majorHAnsi" w:cstheme="majorHAnsi"/>
        </w:rPr>
        <w:lastRenderedPageBreak/>
        <w:t>biodistribution sample, and standard deviation error bars cross the abscissa indicating no significance.</w:t>
      </w:r>
      <w:r w:rsidR="00C6542C">
        <w:rPr>
          <w:rFonts w:asciiTheme="majorHAnsi" w:hAnsiTheme="majorHAnsi" w:cstheme="majorHAnsi"/>
        </w:rPr>
        <w:t xml:space="preserve"> </w:t>
      </w:r>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and ART. For the organ with greatest localized uptake with both isotopes, the liver, the LR at the final time point at 6 days was not statistically significant from unity.</w:t>
      </w:r>
    </w:p>
    <w:p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04374">
      <w:pPr>
        <w:spacing w:line="480" w:lineRule="auto"/>
        <w:jc w:val="both"/>
        <w:rPr>
          <w:rFonts w:asciiTheme="majorHAnsi" w:hAnsiTheme="majorHAnsi" w:cstheme="majorHAnsi"/>
        </w:rPr>
      </w:pPr>
      <w:r>
        <w:rPr>
          <w:rFonts w:asciiTheme="majorHAnsi" w:hAnsiTheme="majorHAnsi" w:cstheme="majorHAnsi"/>
        </w:rPr>
        <w:t>After dose interpolation and extrapolation of each organ’s RD/g assuming an equal 200 nCi Ac-225 and 1 nCi Ac-227 (0.5%), output measurements of dose vs time, dose ratio (Ac-227/Ac-225) vs time, and dose/day vs time were calculated.</w:t>
      </w:r>
    </w:p>
    <w:p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0.0167 Gy</w:t>
      </w:r>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Gy)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Gy (95% CI </w:t>
      </w:r>
      <w:r w:rsidR="00E15D12">
        <w:rPr>
          <w:rFonts w:asciiTheme="majorHAnsi" w:hAnsiTheme="majorHAnsi" w:cstheme="majorHAnsi"/>
        </w:rPr>
        <w:t>0.00315-0.00347</w:t>
      </w:r>
      <w:r w:rsidR="00DC66B7">
        <w:rPr>
          <w:rFonts w:asciiTheme="majorHAnsi" w:hAnsiTheme="majorHAnsi" w:cstheme="majorHAnsi"/>
        </w:rPr>
        <w:t xml:space="preserve"> Gy)</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However, the estimated Ac-227 cumulative dose continued to increase to 0.311 Gy (95% CI 0.296-0.326 Gy)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Gy/day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Gy/day)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Gy/day (95% CI 5.09E-5 – 5.60E-5 Gy/day)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rsidR="00C74806" w:rsidRDefault="00B241CF" w:rsidP="00C74806">
      <w:pPr>
        <w:spacing w:line="480" w:lineRule="auto"/>
        <w:jc w:val="both"/>
        <w:rPr>
          <w:rFonts w:asciiTheme="majorHAnsi" w:hAnsiTheme="majorHAnsi" w:cstheme="majorHAnsi"/>
          <w:b/>
          <w:sz w:val="24"/>
        </w:rPr>
      </w:pPr>
      <w:r>
        <w:rPr>
          <w:rFonts w:asciiTheme="majorHAnsi" w:hAnsiTheme="majorHAnsi" w:cstheme="majorHAnsi"/>
        </w:rPr>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20.4 Gy (95% CI 17.0-23.8 Gy)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xml:space="preserve">, and after 7946 days Ac-227 showed a slowing cumulative </w:t>
      </w:r>
      <w:r w:rsidR="00F053C3">
        <w:rPr>
          <w:rFonts w:asciiTheme="majorHAnsi" w:hAnsiTheme="majorHAnsi" w:cstheme="majorHAnsi"/>
        </w:rPr>
        <w:lastRenderedPageBreak/>
        <w:t>dose of 33.7 Gy (95% CI 29.6-37.7 Gy)</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The dose per day, however, showed a lower peak dose rate for the spleen of 0.879 Gy/day (95% CI 0.708-1.05 Gy/day) for Trastuzumab-DOTA-Ac-225 (</w:t>
      </w:r>
      <w:r w:rsidR="00CF2B00">
        <w:rPr>
          <w:rFonts w:asciiTheme="majorHAnsi" w:hAnsiTheme="majorHAnsi" w:cstheme="majorHAnsi"/>
          <w:b/>
        </w:rPr>
        <w:t>Figure 3E</w:t>
      </w:r>
      <w:r w:rsidR="00CF2B00">
        <w:rPr>
          <w:rFonts w:asciiTheme="majorHAnsi" w:hAnsiTheme="majorHAnsi" w:cstheme="majorHAnsi"/>
        </w:rPr>
        <w:t>), and at 200 days 0.0579 Gy/day (95% CI 0.0509-0.0649 Gy/day) for Trastuzumab-DOTA-Ac-227 (</w:t>
      </w:r>
      <w:r w:rsidR="00CF2B00">
        <w:rPr>
          <w:rFonts w:asciiTheme="majorHAnsi" w:hAnsiTheme="majorHAnsi" w:cstheme="majorHAnsi"/>
          <w:b/>
        </w:rPr>
        <w:t>Figure 3F</w:t>
      </w:r>
      <w:r w:rsidR="00CF2B00">
        <w:rPr>
          <w:rFonts w:asciiTheme="majorHAnsi" w:hAnsiTheme="majorHAnsi" w:cstheme="majorHAnsi"/>
        </w:rPr>
        <w:t>).</w:t>
      </w:r>
    </w:p>
    <w:p w:rsidR="00C74806" w:rsidRDefault="00C74806" w:rsidP="00504374">
      <w:pPr>
        <w:jc w:val="both"/>
        <w:rPr>
          <w:rFonts w:asciiTheme="majorHAnsi" w:hAnsiTheme="majorHAnsi" w:cstheme="majorHAnsi"/>
          <w:b/>
          <w:sz w:val="24"/>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DISCUSSION</w:t>
      </w:r>
    </w:p>
    <w:p w:rsidR="00E2330E" w:rsidRDefault="0029181E" w:rsidP="00504374">
      <w:pPr>
        <w:spacing w:line="480" w:lineRule="auto"/>
        <w:jc w:val="both"/>
        <w:rPr>
          <w:rFonts w:asciiTheme="majorHAnsi" w:hAnsiTheme="majorHAnsi" w:cstheme="majorHAnsi"/>
        </w:rPr>
      </w:pPr>
      <w:r>
        <w:rPr>
          <w:rFonts w:asciiTheme="majorHAnsi" w:hAnsiTheme="majorHAnsi" w:cstheme="majorHAnsi"/>
        </w:rPr>
        <w:t xml:space="preserve">This study was set up as an initial estimate of the long term toxicity for </w:t>
      </w:r>
      <w:r w:rsidR="008806D1">
        <w:rPr>
          <w:rFonts w:asciiTheme="majorHAnsi" w:hAnsiTheme="majorHAnsi" w:cstheme="majorHAnsi"/>
        </w:rPr>
        <w:t xml:space="preserve">trace </w:t>
      </w:r>
      <w:r>
        <w:rPr>
          <w:rFonts w:asciiTheme="majorHAnsi" w:hAnsiTheme="majorHAnsi" w:cstheme="majorHAnsi"/>
        </w:rPr>
        <w:t xml:space="preserve">Ac-227 </w:t>
      </w:r>
      <w:r w:rsidR="008806D1">
        <w:rPr>
          <w:rFonts w:asciiTheme="majorHAnsi" w:hAnsiTheme="majorHAnsi" w:cstheme="majorHAnsi"/>
        </w:rPr>
        <w:t>present</w:t>
      </w:r>
      <w:r>
        <w:rPr>
          <w:rFonts w:asciiTheme="majorHAnsi" w:hAnsiTheme="majorHAnsi" w:cstheme="majorHAnsi"/>
        </w:rPr>
        <w:t xml:space="preserve"> in</w:t>
      </w:r>
      <w:r w:rsidR="008806D1">
        <w:rPr>
          <w:rFonts w:asciiTheme="majorHAnsi" w:hAnsiTheme="majorHAnsi" w:cstheme="majorHAnsi"/>
        </w:rPr>
        <w:t xml:space="preserve"> radiopharmaceuticals utilizing accelerator-produced</w:t>
      </w:r>
      <w:r>
        <w:rPr>
          <w:rFonts w:asciiTheme="majorHAnsi" w:hAnsiTheme="majorHAnsi" w:cstheme="majorHAnsi"/>
        </w:rPr>
        <w:t xml:space="preserve"> Ac-225. </w:t>
      </w:r>
      <w:r w:rsidR="003720E2">
        <w:rPr>
          <w:rFonts w:asciiTheme="majorHAnsi" w:hAnsiTheme="majorHAnsi" w:cstheme="majorHAnsi"/>
        </w:rPr>
        <w:t xml:space="preserve">Mice in each group were given a target dose of </w:t>
      </w:r>
      <w:r w:rsidR="008B1A72">
        <w:rPr>
          <w:rFonts w:asciiTheme="majorHAnsi" w:hAnsiTheme="majorHAnsi" w:cstheme="majorHAnsi"/>
        </w:rPr>
        <w:t>2</w:t>
      </w:r>
      <w:r w:rsidR="003720E2">
        <w:rPr>
          <w:rFonts w:asciiTheme="majorHAnsi" w:hAnsiTheme="majorHAnsi" w:cstheme="majorHAnsi"/>
        </w:rPr>
        <w:t xml:space="preserve"> nCi</w:t>
      </w:r>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w:t>
      </w:r>
      <w:r w:rsidR="008806D1">
        <w:rPr>
          <w:rFonts w:asciiTheme="majorHAnsi" w:hAnsiTheme="majorHAnsi" w:cstheme="majorHAnsi"/>
        </w:rPr>
        <w:t xml:space="preserve">in time </w:t>
      </w:r>
      <w:r w:rsidR="005F772F">
        <w:rPr>
          <w:rFonts w:asciiTheme="majorHAnsi" w:hAnsiTheme="majorHAnsi" w:cstheme="majorHAnsi"/>
        </w:rPr>
        <w:t>as a worst case scenario estimate</w:t>
      </w:r>
      <w:r w:rsidR="00B9671C">
        <w:rPr>
          <w:rFonts w:asciiTheme="majorHAnsi" w:hAnsiTheme="majorHAnsi" w:cstheme="majorHAnsi"/>
        </w:rPr>
        <w:t xml:space="preserve"> (with </w:t>
      </w:r>
      <w:r w:rsidR="008806D1">
        <w:rPr>
          <w:rFonts w:asciiTheme="majorHAnsi" w:hAnsiTheme="majorHAnsi" w:cstheme="majorHAnsi"/>
        </w:rPr>
        <w:t xml:space="preserve">only </w:t>
      </w:r>
      <w:r w:rsidR="00B9671C">
        <w:rPr>
          <w:rFonts w:asciiTheme="majorHAnsi" w:hAnsiTheme="majorHAnsi" w:cstheme="majorHAnsi"/>
        </w:rPr>
        <w:t xml:space="preserve">decay </w:t>
      </w:r>
      <w:r w:rsidR="008806D1">
        <w:rPr>
          <w:rFonts w:asciiTheme="majorHAnsi" w:hAnsiTheme="majorHAnsi" w:cstheme="majorHAnsi"/>
        </w:rPr>
        <w:t>o</w:t>
      </w:r>
      <w:r w:rsidR="00B9671C">
        <w:rPr>
          <w:rFonts w:asciiTheme="majorHAnsi" w:hAnsiTheme="majorHAnsi" w:cstheme="majorHAnsi"/>
        </w:rPr>
        <w:t>ccurring)</w:t>
      </w:r>
      <w:r w:rsidR="005F772F">
        <w:rPr>
          <w:rFonts w:asciiTheme="majorHAnsi" w:hAnsiTheme="majorHAnsi" w:cstheme="majorHAnsi"/>
        </w:rPr>
        <w:t xml:space="preserve">. </w:t>
      </w:r>
      <w:r w:rsidR="008806D1">
        <w:rPr>
          <w:rFonts w:asciiTheme="majorHAnsi" w:hAnsiTheme="majorHAnsi" w:cstheme="majorHAnsi"/>
        </w:rPr>
        <w:t>E</w:t>
      </w:r>
      <w:r w:rsidR="00044576">
        <w:rPr>
          <w:rFonts w:asciiTheme="majorHAnsi" w:hAnsiTheme="majorHAnsi" w:cstheme="majorHAnsi"/>
        </w:rPr>
        <w:t>stimate</w:t>
      </w:r>
      <w:r w:rsidR="008806D1">
        <w:rPr>
          <w:rFonts w:asciiTheme="majorHAnsi" w:hAnsiTheme="majorHAnsi" w:cstheme="majorHAnsi"/>
        </w:rPr>
        <w:t>s of</w:t>
      </w:r>
      <w:r w:rsidR="008B1A72">
        <w:rPr>
          <w:rFonts w:asciiTheme="majorHAnsi" w:hAnsiTheme="majorHAnsi" w:cstheme="majorHAnsi"/>
        </w:rPr>
        <w:t xml:space="preserve"> </w:t>
      </w:r>
      <w:r w:rsidR="008806D1">
        <w:rPr>
          <w:rFonts w:asciiTheme="majorHAnsi" w:hAnsiTheme="majorHAnsi" w:cstheme="majorHAnsi"/>
        </w:rPr>
        <w:t xml:space="preserve">future cumulative and </w:t>
      </w:r>
      <w:r w:rsidR="00DF21AC">
        <w:rPr>
          <w:rFonts w:asciiTheme="majorHAnsi" w:hAnsiTheme="majorHAnsi" w:cstheme="majorHAnsi"/>
        </w:rPr>
        <w:t>dose</w:t>
      </w:r>
      <w:r w:rsidR="008806D1">
        <w:rPr>
          <w:rFonts w:asciiTheme="majorHAnsi" w:hAnsiTheme="majorHAnsi" w:cstheme="majorHAnsi"/>
        </w:rPr>
        <w:t xml:space="preserve"> per day were based on a real injection into mice of</w:t>
      </w:r>
      <w:r w:rsidR="003720E2">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nCi</w:t>
      </w:r>
      <w:r w:rsidR="008B1A72">
        <w:rPr>
          <w:rFonts w:asciiTheme="majorHAnsi" w:hAnsiTheme="majorHAnsi" w:cstheme="majorHAnsi"/>
        </w:rPr>
        <w:t>/g Ac-225</w:t>
      </w:r>
      <w:r w:rsidR="00E2330E">
        <w:rPr>
          <w:rFonts w:asciiTheme="majorHAnsi" w:hAnsiTheme="majorHAnsi" w:cstheme="majorHAnsi"/>
        </w:rPr>
        <w:t xml:space="preserve"> constructs</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{"citationItems":[{"id":"ITEM-1","itemData":{"DOI":"10.1126/science.1064126","ISBN":"0036-8075","ISSN":"00368075","PMID":"11711678","author":[{"dropping-particle":"","family":"McDevitt","given":"M. R.","non-dropping-particle":"","parse-names":false,"suffix":""},{"dropping-particle":"","family":"Ma","given":"D","non-dropping-particle":"","parse-names":false,"suffix":""},{"dropping-particle":"","family":"Lai","given":"L","non-dropping-particle":"","parse-names":false,"suffix":""},{"dropping-particle":"","family":"Simon","given":"J","non-dropping-particle":"","parse-names":false,"suffix":""},{"dropping-particle":"","family":"P","given":"Borchardt","non-dropping-particle":"","parse-names":false,"suffix":""},{"dropping-particle":"","family":"Frank","given":"R","non-dropping-particle":"","parse-names":false,"suffix":""},{"dropping-particle":"","family":"Wu","given":"K","non-dropping-particle":"","parse-names":false,"suffix":""},{"dropping-particle":"","family":"Pellegrini","given":"V","non-dropping-particle":"","parse-names":false,"suffix":""},{"dropping-particle":"","family":"Curcio","given":"M","non-dropping-particle":"","parse-names":false,"suffix":""},{"dropping-particle":"","family":"Miederer","given":"M","non-dropping-particle":"","parse-names":false,"suffix":""},{"dropping-particle":"","family":"Bander","given":"N","non-dropping-particle":"","parse-names":false,"suffix":""},{"dropping-particle":"","family":"Scheinberg","given":"D","non-dropping-particle":"","parse-names":false,"suffix":""}],"container-title":"Science","id":"ITEM-1","issue":"5546","issued":{"date-parts":[["2001"]]},"page":"1537-1540","title":"Tumor Therapy with Targeted Atomic Nanogenerators","type":"article-journal","volume":"294"},"uris":["http://www.mendeley.com/documents/?uuid=36542395-423f-46e8-be45-67aacfc4195c"]}],"mendeley":{"formattedCitation":"&lt;sup&gt;1&lt;/sup&gt;","plainTextFormattedCitation":"1"},"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1</w:t>
      </w:r>
      <w:r w:rsidR="00047FA0">
        <w:rPr>
          <w:rFonts w:asciiTheme="majorHAnsi" w:hAnsiTheme="majorHAnsi" w:cstheme="majorHAnsi"/>
        </w:rPr>
        <w:fldChar w:fldCharType="end"/>
      </w:r>
      <w:r w:rsidR="005F772F">
        <w:rPr>
          <w:rFonts w:asciiTheme="majorHAnsi" w:hAnsiTheme="majorHAnsi" w:cstheme="majorHAnsi"/>
        </w:rPr>
        <w:t xml:space="preserve"> (</w:t>
      </w:r>
      <w:r w:rsidR="005F772F" w:rsidRPr="00304F19">
        <w:rPr>
          <w:rFonts w:asciiTheme="majorHAnsi" w:hAnsiTheme="majorHAnsi" w:cstheme="majorHAnsi"/>
          <w:highlight w:val="yellow"/>
        </w:rPr>
        <w:t>Lakes 2019 Ac-225</w:t>
      </w:r>
      <w:r w:rsidR="00F235DC">
        <w:rPr>
          <w:rFonts w:asciiTheme="majorHAnsi" w:hAnsiTheme="majorHAnsi" w:cstheme="majorHAnsi"/>
          <w:highlight w:val="yellow"/>
        </w:rPr>
        <w:t xml:space="preserve"> Lu-177</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w:t>
      </w:r>
      <w:r w:rsidR="00E2330E">
        <w:rPr>
          <w:rFonts w:asciiTheme="majorHAnsi" w:hAnsiTheme="majorHAnsi" w:cstheme="majorHAnsi"/>
        </w:rPr>
        <w:t xml:space="preserve">acute </w:t>
      </w:r>
      <w:r w:rsidR="00FC4EE4">
        <w:rPr>
          <w:rFonts w:asciiTheme="majorHAnsi" w:hAnsiTheme="majorHAnsi" w:cstheme="majorHAnsi"/>
        </w:rPr>
        <w:t xml:space="preserve">effects of pure Ac-225 (no Ac-227) out to 35 days, </w:t>
      </w:r>
      <w:r w:rsidR="00E2330E">
        <w:rPr>
          <w:rFonts w:asciiTheme="majorHAnsi" w:hAnsiTheme="majorHAnsi" w:cstheme="majorHAnsi"/>
        </w:rPr>
        <w:t>it does not speak for long term dose effects of Ac-227, and is taken only as a guideline.</w:t>
      </w:r>
    </w:p>
    <w:p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w:t>
      </w:r>
      <w:r w:rsidR="00E2330E">
        <w:rPr>
          <w:rFonts w:asciiTheme="majorHAnsi" w:hAnsiTheme="majorHAnsi" w:cstheme="majorHAnsi"/>
        </w:rPr>
        <w:t xml:space="preserve"> administered to NOD SCID mice</w:t>
      </w:r>
      <w:r>
        <w:rPr>
          <w:rFonts w:asciiTheme="majorHAnsi" w:hAnsiTheme="majorHAnsi" w:cstheme="majorHAnsi"/>
        </w:rPr>
        <w:t xml:space="preserve"> showed </w:t>
      </w:r>
      <w:r w:rsidR="00E2330E">
        <w:rPr>
          <w:rFonts w:asciiTheme="majorHAnsi" w:hAnsiTheme="majorHAnsi" w:cstheme="majorHAnsi"/>
        </w:rPr>
        <w:t>the anticipated</w:t>
      </w:r>
      <w:r>
        <w:rPr>
          <w:rFonts w:asciiTheme="majorHAnsi" w:hAnsiTheme="majorHAnsi" w:cstheme="majorHAnsi"/>
        </w:rPr>
        <w:t xml:space="preserve"> biodistribution</w:t>
      </w:r>
      <w:r w:rsidR="00E2330E">
        <w:rPr>
          <w:rFonts w:asciiTheme="majorHAnsi" w:hAnsiTheme="majorHAnsi" w:cstheme="majorHAnsi"/>
        </w:rPr>
        <w:t>,</w:t>
      </w:r>
      <w:r>
        <w:rPr>
          <w:rFonts w:asciiTheme="majorHAnsi" w:hAnsiTheme="majorHAnsi" w:cstheme="majorHAnsi"/>
        </w:rPr>
        <w:t xml:space="preserve">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{"citationItems":[{"id":"ITEM-1","itemData":{"DOI":"10.1158/0008-5472.CAN-17-1958","ISSN":"15387445","abstract":"A critical benchmark in the development of antibody-based therapeutics is demonstration of efficacy in preclinical mouse models of human disease, many of which rely on immunodeficient mice. However, relatively little is known about how the biology of various immunodeficient strains impacts the in vivo fate of these drugs. Here we used immunoPET radiotracers prepared from humanized, chimeric, and murine mAbs against four therapeutic oncologic targets to interrogate their biodistribution in four different strains of immunodeficient mice bearing lung, prostate, and ovarian cancer xenografts. The immunodeficiency status of the mouse host as well as both the biological origin and glycosylation of the antibody contributed significantly to the anomalous biodistribution of therapeutic monoclonal antibodies in an Fc receptor-dependent manner. These findings may have important implications for the preclinical evaluation of Fc-containing therapeutics and highlight a clear need for biodistribution studies in the early stages of antibody drug development. Significance: Fc/FcγR-mediated immunobiology of the experimental host is a key determinant to preclinical in vivo tumor targeting and efficacy of therapeutic antibodies. Cancer Res; 78(7); 1820–32. ©2018 AACR .","author":[{"dropping-particle":"","family":"Sharma","given":"Sai Kiran","non-dropping-particle":"","parse-names":false,"suffix":""},{"dropping-particle":"","family":"Chow","given":"Andrew","non-dropping-particle":"","parse-names":false,"suffix":""},{"dropping-particle":"","family":"Monette","given":"Sebastien","non-dropping-particle":"","parse-names":false,"suffix":""},{"dropping-particle":"","family":"Vivier","given":"Delphine","non-dropping-particle":"","parse-names":false,"suffix":""},{"dropping-particle":"","family":"Pourat","given":"Jacob","non-dropping-particle":"","parse-names":false,"suffix":""},{"dropping-particle":"","family":"Edwards","given":"Kimberly J.","non-dropping-particle":"","parse-names":false,"suffix":""},{"dropping-particle":"","family":"Dilling","given":"Thomas R.","non-dropping-particle":"","parse-names":false,"suffix":""},{"dropping-particle":"","family":"Abdel-Atti","given":"Dalya","non-dropping-particle":"","parse-names":false,"suffix":""},{"dropping-particle":"","family":"Zeglis","given":"Brian M.","non-dropping-particle":"","parse-names":false,"suffix":""},{"dropping-particle":"","family":"Poirier","given":"John T.","non-dropping-particle":"","parse-names":false,"suffix":""},{"dropping-particle":"","family":"Lewis","given":"Jason S.","non-dropping-particle":"","parse-names":false,"suffix":""}],"container-title":"Cancer Research","id":"ITEM-1","issue":"7","issued":{"date-parts":[["2018"]]},"page":"1820-1832","title":"Fc-mediated anomalous biodistribution of therapeutic antibodies in immunodeficient mouse models","type":"article-journal","volume":"78"},"uris":["http://www.mendeley.com/documents/?uuid=8fa687c8-6d0d-48ed-9aa4-c25eda925d5f"]}],"mendeley":{"formattedCitation":"&lt;sup&gt;2&lt;/sup&gt;","plainTextFormattedCitation":"2","previouslyFormattedCitation":"&lt;sup&gt;1&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2</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rPr>
        <w:t>(</w:t>
      </w:r>
      <w:r w:rsidR="005117C4">
        <w:rPr>
          <w:rFonts w:asciiTheme="majorHAnsi" w:hAnsiTheme="majorHAnsi" w:cstheme="majorHAnsi"/>
          <w:b/>
        </w:rPr>
        <w:t>Figure 2</w:t>
      </w:r>
      <w:r w:rsidR="005117C4">
        <w:rPr>
          <w:rFonts w:asciiTheme="majorHAnsi" w:hAnsiTheme="majorHAnsi" w:cstheme="majorHAnsi"/>
        </w:rPr>
        <w:t>)</w:t>
      </w:r>
      <w:r w:rsidR="00272FF3">
        <w:rPr>
          <w:rFonts w:asciiTheme="majorHAnsi" w:hAnsiTheme="majorHAnsi" w:cstheme="majorHAnsi"/>
        </w:rPr>
        <w:t xml:space="preserve">. </w:t>
      </w:r>
      <w:r>
        <w:rPr>
          <w:rFonts w:asciiTheme="majorHAnsi" w:hAnsiTheme="majorHAnsi" w:cstheme="majorHAnsi"/>
        </w:rPr>
        <w:t>Also typical was DOTA-Ac complex biodistribution</w:t>
      </w:r>
      <w:r w:rsidR="005117C4">
        <w:rPr>
          <w:rFonts w:asciiTheme="majorHAnsi" w:hAnsiTheme="majorHAnsi" w:cstheme="majorHAnsi"/>
        </w:rPr>
        <w:t xml:space="preserve"> in healthy Swiss-Webster mice</w:t>
      </w:r>
      <w:r>
        <w:rPr>
          <w:rFonts w:asciiTheme="majorHAnsi" w:hAnsiTheme="majorHAnsi" w:cstheme="majorHAnsi"/>
        </w:rPr>
        <w:t>, where</w:t>
      </w:r>
      <w:r w:rsidR="002E414A">
        <w:rPr>
          <w:rFonts w:asciiTheme="majorHAnsi" w:hAnsiTheme="majorHAnsi" w:cstheme="majorHAnsi"/>
        </w:rPr>
        <w:t xml:space="preserve"> </w:t>
      </w:r>
      <w:r>
        <w:rPr>
          <w:rFonts w:asciiTheme="majorHAnsi" w:hAnsiTheme="majorHAnsi" w:cstheme="majorHAnsi"/>
        </w:rPr>
        <w:t xml:space="preserve">DOTA </w:t>
      </w:r>
      <w:r w:rsidR="005117C4">
        <w:rPr>
          <w:rFonts w:asciiTheme="majorHAnsi" w:hAnsiTheme="majorHAnsi" w:cstheme="majorHAnsi"/>
        </w:rPr>
        <w:t>displayed</w:t>
      </w:r>
      <w:r w:rsidR="002E414A">
        <w:rPr>
          <w:rFonts w:asciiTheme="majorHAnsi" w:hAnsiTheme="majorHAnsi" w:cstheme="majorHAnsi"/>
        </w:rPr>
        <w:t xml:space="preserve"> rapid </w:t>
      </w:r>
      <w:r w:rsidR="005117C4">
        <w:rPr>
          <w:rFonts w:asciiTheme="majorHAnsi" w:hAnsiTheme="majorHAnsi" w:cstheme="majorHAnsi"/>
        </w:rPr>
        <w:t xml:space="preserve">renal </w:t>
      </w:r>
      <w:r w:rsidR="002E414A">
        <w:rPr>
          <w:rFonts w:asciiTheme="majorHAnsi" w:hAnsiTheme="majorHAnsi" w:cstheme="majorHAnsi"/>
        </w:rPr>
        <w:t>clearance</w:t>
      </w:r>
      <w:r w:rsidR="00047FA0">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{"citationItems":[{"id":"ITEM-1","itemData":{"DOI":"10.2174/1874471011104040306","ISSN":"18744710","abstract":"Alpha particle-emitting isotopes are being investigated in radioimmunotherapeutic applications because of their unparalleled cytotoxicity when targeted to cancer and their relative lack of toxicity towards untargeted normal tissue. Actinium- 225 has been developed into potent targeting drug constructs and is in clinical use against acute myelogenous leukemia. The key properties of the alpha particles generated by 225Ac are the following: i) limited range in tissue of a few cell diameters; ii) high linear energy transfer leading to dense radiation damage along each alpha track; iii) a 10 day halflife; and iv) four net alpha particles emitted per decay. Targeting 225Ac-drug constructs have potential in the treatment of cancer.","author":[{"dropping-particle":"","family":"A. Scheinberg","given":"David","non-dropping-particle":"","parse-names":false,"suffix":""},{"dropping-particle":"","family":"R. McDevitt","given":"Michael","non-dropping-particle":"","parse-names":false,"suffix":""}],"container-title":"Current Radiopharmaceuticalse","id":"ITEM-1","issued":{"date-parts":[["2012"]]},"title":"Actinium-225 in Targeted Alpha-Particle Therapeutic Applications","type":"article-journal"},"uris":["http://www.mendeley.com/documents/?uuid=cdc15e80-a60e-47fa-8337-7dfbc43ce93a"]}],"mendeley":{"formattedCitation":"&lt;sup&gt;3&lt;/sup&gt;","plainTextFormattedCitation":"3","previouslyFormattedCitation":"&lt;sup&gt;2&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3</w:t>
      </w:r>
      <w:r w:rsidR="00047FA0">
        <w:rPr>
          <w:rFonts w:asciiTheme="majorHAnsi" w:hAnsiTheme="majorHAnsi" w:cstheme="majorHAnsi"/>
        </w:rPr>
        <w:fldChar w:fldCharType="end"/>
      </w:r>
      <w:r w:rsidR="005117C4">
        <w:rPr>
          <w:rFonts w:asciiTheme="majorHAnsi" w:hAnsiTheme="majorHAnsi" w:cstheme="majorHAnsi"/>
        </w:rPr>
        <w:t xml:space="preserve"> </w:t>
      </w:r>
      <w:r w:rsidR="005117C4">
        <w:rPr>
          <w:rFonts w:asciiTheme="majorHAnsi" w:hAnsiTheme="majorHAnsi" w:cstheme="majorHAnsi"/>
        </w:rPr>
        <w:t>(</w:t>
      </w:r>
      <w:r w:rsidR="005117C4">
        <w:rPr>
          <w:rFonts w:asciiTheme="majorHAnsi" w:hAnsiTheme="majorHAnsi" w:cstheme="majorHAnsi"/>
          <w:b/>
        </w:rPr>
        <w:t>Figure 2</w:t>
      </w:r>
      <w:r w:rsidR="005117C4">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5117C4">
        <w:rPr>
          <w:rFonts w:asciiTheme="majorHAnsi" w:hAnsiTheme="majorHAnsi" w:cstheme="majorHAnsi"/>
        </w:rPr>
        <w:t>While there is higher kidney distribution than other organs, the rapid</w:t>
      </w:r>
      <w:r>
        <w:rPr>
          <w:rFonts w:asciiTheme="majorHAnsi" w:hAnsiTheme="majorHAnsi" w:cstheme="majorHAnsi"/>
        </w:rPr>
        <w:t xml:space="preserve"> renal clearance</w:t>
      </w:r>
      <w:r w:rsidR="005117C4">
        <w:rPr>
          <w:rFonts w:asciiTheme="majorHAnsi" w:hAnsiTheme="majorHAnsi" w:cstheme="majorHAnsi"/>
        </w:rPr>
        <w:t xml:space="preserve"> resulted</w:t>
      </w:r>
      <w:r w:rsidR="00DF21AC">
        <w:rPr>
          <w:rFonts w:asciiTheme="majorHAnsi" w:hAnsiTheme="majorHAnsi" w:cstheme="majorHAnsi"/>
        </w:rPr>
        <w:t xml:space="preserve"> in </w:t>
      </w:r>
      <w:r w:rsidR="005117C4">
        <w:rPr>
          <w:rFonts w:asciiTheme="majorHAnsi" w:hAnsiTheme="majorHAnsi" w:cstheme="majorHAnsi"/>
        </w:rPr>
        <w:t>over</w:t>
      </w:r>
      <w:r w:rsidR="00BB0C69">
        <w:rPr>
          <w:rFonts w:asciiTheme="majorHAnsi" w:hAnsiTheme="majorHAnsi" w:cstheme="majorHAnsi"/>
        </w:rPr>
        <w:t xml:space="preserve"> an order of magnitude lower </w:t>
      </w:r>
      <w:r w:rsidR="00DF21AC">
        <w:rPr>
          <w:rFonts w:asciiTheme="majorHAnsi" w:hAnsiTheme="majorHAnsi" w:cstheme="majorHAnsi"/>
        </w:rPr>
        <w:t>kidney dose</w:t>
      </w:r>
      <w:r w:rsidR="005117C4">
        <w:rPr>
          <w:rFonts w:asciiTheme="majorHAnsi" w:hAnsiTheme="majorHAnsi" w:cstheme="majorHAnsi"/>
        </w:rPr>
        <w:t xml:space="preserve"> (</w:t>
      </w:r>
      <w:r w:rsidR="00BB0C69">
        <w:rPr>
          <w:rFonts w:asciiTheme="majorHAnsi" w:hAnsiTheme="majorHAnsi" w:cstheme="majorHAnsi"/>
          <w:b/>
        </w:rPr>
        <w:t>Figure 4</w:t>
      </w:r>
      <w:r w:rsidR="00BB0C69">
        <w:rPr>
          <w:rFonts w:asciiTheme="majorHAnsi" w:hAnsiTheme="majorHAnsi" w:cstheme="majorHAnsi"/>
        </w:rPr>
        <w:t>)</w:t>
      </w:r>
      <w:r w:rsidR="00DF21AC">
        <w:rPr>
          <w:rFonts w:asciiTheme="majorHAnsi" w:hAnsiTheme="majorHAnsi" w:cstheme="majorHAnsi"/>
        </w:rPr>
        <w:t xml:space="preserve">, and is </w:t>
      </w:r>
      <w:r w:rsidR="005117C4">
        <w:rPr>
          <w:rFonts w:asciiTheme="majorHAnsi" w:hAnsiTheme="majorHAnsi" w:cstheme="majorHAnsi"/>
        </w:rPr>
        <w:t>more</w:t>
      </w:r>
      <w:r w:rsidR="00DF21AC">
        <w:rPr>
          <w:rFonts w:asciiTheme="majorHAnsi" w:hAnsiTheme="majorHAnsi" w:cstheme="majorHAnsi"/>
        </w:rPr>
        <w:t xml:space="preserve"> tolera</w:t>
      </w:r>
      <w:r w:rsidR="00BB0C69">
        <w:rPr>
          <w:rFonts w:asciiTheme="majorHAnsi" w:hAnsiTheme="majorHAnsi" w:cstheme="majorHAnsi"/>
        </w:rPr>
        <w:t xml:space="preserve">ted </w:t>
      </w:r>
      <w:r w:rsidR="005117C4">
        <w:rPr>
          <w:rFonts w:asciiTheme="majorHAnsi" w:hAnsiTheme="majorHAnsi" w:cstheme="majorHAnsi"/>
        </w:rPr>
        <w:t xml:space="preserve">in terms of chronic toxicity </w:t>
      </w:r>
      <w:r w:rsidR="00BB0C69">
        <w:rPr>
          <w:rFonts w:asciiTheme="majorHAnsi" w:hAnsiTheme="majorHAnsi" w:cstheme="majorHAnsi"/>
        </w:rPr>
        <w:t>than in antibody drug conju</w:t>
      </w:r>
      <w:r w:rsidR="00DF21AC">
        <w:rPr>
          <w:rFonts w:asciiTheme="majorHAnsi" w:hAnsiTheme="majorHAnsi" w:cstheme="majorHAnsi"/>
        </w:rPr>
        <w:t>gates</w:t>
      </w:r>
      <w:r w:rsidR="005117C4">
        <w:rPr>
          <w:rFonts w:asciiTheme="majorHAnsi" w:hAnsiTheme="majorHAnsi" w:cstheme="majorHAnsi"/>
        </w:rPr>
        <w:t xml:space="preserve"> / radioimmunoconjugates due to the long half-life of Ac-225 and Ac-227</w:t>
      </w:r>
      <w:r w:rsidR="00DF21AC">
        <w:rPr>
          <w:rFonts w:asciiTheme="majorHAnsi" w:hAnsiTheme="majorHAnsi" w:cstheme="majorHAnsi"/>
        </w:rPr>
        <w:t>.</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BE4B84">
        <w:rPr>
          <w:rFonts w:asciiTheme="majorHAnsi" w:hAnsiTheme="majorHAnsi" w:cstheme="majorHAnsi"/>
        </w:rPr>
        <w:t>rapid</w:t>
      </w:r>
      <w:r w:rsidR="00270D54">
        <w:rPr>
          <w:rFonts w:asciiTheme="majorHAnsi" w:hAnsiTheme="majorHAnsi" w:cstheme="majorHAnsi"/>
        </w:rPr>
        <w:t xml:space="preserve"> hepatic clearance</w:t>
      </w:r>
      <w:r w:rsidR="005117C4">
        <w:rPr>
          <w:rFonts w:asciiTheme="majorHAnsi" w:hAnsiTheme="majorHAnsi" w:cstheme="majorHAnsi"/>
        </w:rPr>
        <w:t xml:space="preserve"> </w:t>
      </w:r>
      <w:r w:rsidR="00047FA0">
        <w:rPr>
          <w:rFonts w:asciiTheme="majorHAnsi" w:hAnsiTheme="majorHAnsi" w:cstheme="majorHAnsi"/>
        </w:rPr>
        <w:fldChar w:fldCharType="begin" w:fldLock="1"/>
      </w:r>
      <w:r w:rsidR="00047FA0">
        <w:rPr>
          <w:rFonts w:asciiTheme="majorHAnsi" w:hAnsiTheme="majorHAnsi" w:cstheme="majorHAnsi"/>
        </w:rPr>
        <w:instrText>ADDIN CSL_CITATION {"citationItems":[{"id":"ITEM-1","itemData":{"DOI":"10.1038/s41598-018-22511-6","ISSN":"20452322","abstract":"Several MRI contrast agent clinical formulations are now known to leave deposits of the heavy metal gadolinium in the brain, bones, and other organs of patients. This persistent biological accumulation of gadolinium has been recently recognized as a deleterious outcome in patients administered Gd-based contrast agents (GBCAs) for MRI, prompting the European Medicines Agency to recommend discontinuing the use of over half of the GBCAs currently approved for clinical applications. To address this problem, we find that the orally-available metal decorporation agent 3,4,3-LI(1,2-HOPO) demonstrates superior efficacy at chelating and removing Gd from the body compared to diethylenetriaminepentaacetic acid, a ligand commonly used in the United States in the GBCA Gadopentetate (Magnevist). Using the radiotracer 153Gd to obtain precise biodistribution data, the results herein, supported by speciation simulations, suggest that the prophylactic or post-hoc therapeutic use of 3,4,3-LI(1,2-HOPO) may provide a means to mitigate Gd retention in patients requiring contrast-enhanced MRI.","author":[{"dropping-particle":"","family":"Rees","given":"Julian A","non-dropping-particle":"","parse-names":false,"suffix":""},{"dropping-particle":"","family":"Deblonde","given":"Gauthier J.P.","non-dropping-particle":"","parse-names":false,"suffix":""},{"dropping-particle":"","family":"An","given":"Dahlia D","non-dropping-particle":"","parse-names":false,"suffix":""},{"dropping-particle":"","family":"Ansoborlo","given":"Camille","non-dropping-particle":"","parse-names":false,"suffix":""},{"dropping-particle":"","family":"Gauny","given":"Stacey S","non-dropping-particle":"","parse-names":false,"suffix":""},{"dropping-particle":"","family":"Abergel","given":"Rebecca J","non-dropping-particle":"","parse-names":false,"suffix":""}],"container-title":"Scientific Reports","id":"ITEM-1","issue":"1","issued":{"date-parts":[["2018"]]},"page":"2-10","publisher":"Springer US","title":"Evaluating the potential of chelation therapy to prevent and treat gadolinium deposition from MRI contrast agents","type":"article-journal","volume":"8"},"uris":["http://www.mendeley.com/documents/?uuid=1b9371e4-e797-4426-a796-a63cc8e416c0"]}],"mendeley":{"formattedCitation":"&lt;sup&gt;4&lt;/sup&gt;","plainTextFormattedCitation":"4","previouslyFormattedCitation":"&lt;sup&gt;3&lt;/sup&gt;"},"properties":{"noteIndex":0},"schema":"https://github.com/citation-style-language/schema/raw/master/csl-citation.json"}</w:instrText>
      </w:r>
      <w:r w:rsidR="00047FA0">
        <w:rPr>
          <w:rFonts w:asciiTheme="majorHAnsi" w:hAnsiTheme="majorHAnsi" w:cstheme="majorHAnsi"/>
        </w:rPr>
        <w:fldChar w:fldCharType="separate"/>
      </w:r>
      <w:r w:rsidR="00047FA0" w:rsidRPr="00047FA0">
        <w:rPr>
          <w:rFonts w:asciiTheme="majorHAnsi" w:hAnsiTheme="majorHAnsi" w:cstheme="majorHAnsi"/>
          <w:noProof/>
          <w:vertAlign w:val="superscript"/>
        </w:rPr>
        <w:t>4</w:t>
      </w:r>
      <w:r w:rsidR="00047FA0">
        <w:rPr>
          <w:rFonts w:asciiTheme="majorHAnsi" w:hAnsiTheme="majorHAnsi" w:cstheme="majorHAnsi"/>
        </w:rPr>
        <w:fldChar w:fldCharType="end"/>
      </w:r>
      <w:r w:rsidR="00B553A6">
        <w:rPr>
          <w:rFonts w:asciiTheme="majorHAnsi" w:hAnsiTheme="majorHAnsi" w:cstheme="majorHAnsi"/>
        </w:rPr>
        <w:t>,</w:t>
      </w:r>
      <w:bookmarkStart w:id="0" w:name="_GoBack"/>
      <w:bookmarkEnd w:id="0"/>
      <w:r w:rsidR="00B553A6">
        <w:rPr>
          <w:rFonts w:asciiTheme="majorHAnsi" w:hAnsiTheme="majorHAnsi" w:cstheme="majorHAnsi"/>
        </w:rPr>
        <w:t xml:space="preserve"> and accordingly the</w:t>
      </w:r>
      <w:r w:rsidR="00270D54">
        <w:rPr>
          <w:rFonts w:asciiTheme="majorHAnsi" w:hAnsiTheme="majorHAnsi" w:cstheme="majorHAnsi"/>
        </w:rPr>
        <w:t xml:space="preserve"> liver show</w:t>
      </w:r>
      <w:r w:rsidR="00B553A6">
        <w:rPr>
          <w:rFonts w:asciiTheme="majorHAnsi" w:hAnsiTheme="majorHAnsi" w:cstheme="majorHAnsi"/>
        </w:rPr>
        <w:t>ed</w:t>
      </w:r>
      <w:r w:rsidR="00270D54">
        <w:rPr>
          <w:rFonts w:asciiTheme="majorHAnsi" w:hAnsiTheme="majorHAnsi" w:cstheme="majorHAnsi"/>
        </w:rPr>
        <w:t xml:space="preserve"> the largest portions of distribution</w:t>
      </w:r>
      <w:r w:rsidR="005117C4">
        <w:rPr>
          <w:rFonts w:asciiTheme="majorHAnsi" w:hAnsiTheme="majorHAnsi" w:cstheme="majorHAnsi"/>
        </w:rPr>
        <w:t xml:space="preserve"> (</w:t>
      </w:r>
      <w:r w:rsidR="005117C4" w:rsidRPr="005117C4">
        <w:rPr>
          <w:rFonts w:asciiTheme="majorHAnsi" w:hAnsiTheme="majorHAnsi" w:cstheme="majorHAnsi"/>
          <w:b/>
        </w:rPr>
        <w:t>Figure S</w:t>
      </w:r>
      <w:r w:rsidR="005117C4">
        <w:rPr>
          <w:rFonts w:asciiTheme="majorHAnsi" w:hAnsiTheme="majorHAnsi" w:cstheme="majorHAnsi"/>
          <w:b/>
        </w:rPr>
        <w:t>3</w:t>
      </w:r>
      <w:r w:rsidR="005117C4">
        <w:rPr>
          <w:rFonts w:asciiTheme="majorHAnsi" w:hAnsiTheme="majorHAnsi" w:cstheme="majorHAnsi"/>
        </w:rPr>
        <w:t>)</w:t>
      </w:r>
      <w:r w:rsidR="00044576">
        <w:rPr>
          <w:rFonts w:asciiTheme="majorHAnsi" w:hAnsiTheme="majorHAnsi" w:cstheme="majorHAnsi"/>
        </w:rPr>
        <w:t>.</w:t>
      </w:r>
    </w:p>
    <w:p w:rsidR="009D74FB" w:rsidRDefault="00CE02B6" w:rsidP="009D74FB">
      <w:pPr>
        <w:spacing w:line="480" w:lineRule="auto"/>
        <w:jc w:val="both"/>
        <w:rPr>
          <w:rFonts w:asciiTheme="majorHAnsi" w:hAnsiTheme="majorHAnsi" w:cstheme="majorHAnsi"/>
        </w:rPr>
      </w:pPr>
      <w:r>
        <w:rPr>
          <w:rFonts w:asciiTheme="majorHAnsi" w:hAnsiTheme="majorHAnsi" w:cstheme="majorHAnsi"/>
        </w:rPr>
        <w:lastRenderedPageBreak/>
        <w:t xml:space="preserve">In general, low LET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5478DA" w:rsidRPr="005478DA">
        <w:rPr>
          <w:rFonts w:asciiTheme="majorHAnsi" w:hAnsiTheme="majorHAnsi" w:cstheme="majorHAnsi"/>
          <w:highlight w:val="yellow"/>
        </w:rPr>
        <w:t>cite ICRP</w:t>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w:t>
      </w:r>
      <w:r w:rsidR="005478DA" w:rsidRPr="005478DA">
        <w:rPr>
          <w:rFonts w:asciiTheme="majorHAnsi" w:hAnsiTheme="majorHAnsi" w:cstheme="majorHAnsi"/>
          <w:highlight w:val="yellow"/>
        </w:rPr>
        <w:t>cite?</w:t>
      </w:r>
      <w:r w:rsidR="005478DA">
        <w:rPr>
          <w:rFonts w:asciiTheme="majorHAnsi" w:hAnsiTheme="majorHAnsi" w:cstheme="majorHAnsi"/>
        </w:rPr>
        <w:t>). However, high LET radiation retains its potency even at low doses due to direct DNA lesion mechanisms (</w:t>
      </w:r>
      <w:r w:rsidR="005478DA" w:rsidRPr="005478DA">
        <w:rPr>
          <w:rFonts w:asciiTheme="majorHAnsi" w:hAnsiTheme="majorHAnsi" w:cstheme="majorHAnsi"/>
          <w:highlight w:val="yellow"/>
        </w:rPr>
        <w:t>cite?</w:t>
      </w:r>
      <w:r w:rsidR="005478DA">
        <w:rPr>
          <w:rFonts w:asciiTheme="majorHAnsi" w:hAnsiTheme="majorHAnsi" w:cstheme="majorHAnsi"/>
        </w:rPr>
        <w:t xml:space="preserve">). </w:t>
      </w:r>
      <w:r w:rsidR="009D74FB">
        <w:rPr>
          <w:rFonts w:asciiTheme="majorHAnsi" w:hAnsiTheme="majorHAnsi" w:cstheme="majorHAnsi"/>
        </w:rPr>
        <w:t>In the Unites States, the annual radiation exposure limits for radiation workers is 50 mSv for whole body exposure (</w:t>
      </w:r>
      <w:r w:rsidR="009D74FB" w:rsidRPr="00F70C61">
        <w:rPr>
          <w:rFonts w:asciiTheme="majorHAnsi" w:hAnsiTheme="majorHAnsi" w:cstheme="majorHAnsi"/>
          <w:highlight w:val="yellow"/>
        </w:rPr>
        <w:t>cite OSHA.gov</w:t>
      </w:r>
      <w:r w:rsidR="009D74FB">
        <w:rPr>
          <w:rFonts w:asciiTheme="majorHAnsi" w:hAnsiTheme="majorHAnsi" w:cstheme="majorHAnsi"/>
        </w:rPr>
        <w:t xml:space="preserve">), which if taken as alpha radiation (20:1 equivalency for Sv:Gy with alpha radiation), is the equivalence of approximately 2.5 mGy. At this dose exposure, the risk of death is not measurably increased. </w:t>
      </w:r>
      <w:r w:rsidR="009D74FB">
        <w:rPr>
          <w:rFonts w:asciiTheme="majorHAnsi" w:hAnsiTheme="majorHAnsi" w:cstheme="majorHAnsi"/>
        </w:rPr>
        <w:t>In terms of radiotherapy, however, dose is much higher, as are chances of side effects. This is due to</w:t>
      </w:r>
      <w:r w:rsidR="009D74FB">
        <w:rPr>
          <w:rFonts w:asciiTheme="majorHAnsi" w:hAnsiTheme="majorHAnsi" w:cstheme="majorHAnsi"/>
        </w:rPr>
        <w:t xml:space="preserve"> the </w:t>
      </w:r>
      <w:r w:rsidR="009D74FB">
        <w:rPr>
          <w:rFonts w:asciiTheme="majorHAnsi" w:hAnsiTheme="majorHAnsi" w:cstheme="majorHAnsi"/>
        </w:rPr>
        <w:t xml:space="preserve">high </w:t>
      </w:r>
      <w:r w:rsidR="009D74FB">
        <w:rPr>
          <w:rFonts w:asciiTheme="majorHAnsi" w:hAnsiTheme="majorHAnsi" w:cstheme="majorHAnsi"/>
        </w:rPr>
        <w:t>risk</w:t>
      </w:r>
      <w:r w:rsidR="009D74FB">
        <w:rPr>
          <w:rFonts w:asciiTheme="majorHAnsi" w:hAnsiTheme="majorHAnsi" w:cstheme="majorHAnsi"/>
        </w:rPr>
        <w:t xml:space="preserve"> factor of the disease being treated, and thus radiotherapy side effects are outweighed</w:t>
      </w:r>
      <w:r w:rsidR="009D74FB">
        <w:rPr>
          <w:rFonts w:asciiTheme="majorHAnsi" w:hAnsiTheme="majorHAnsi" w:cstheme="majorHAnsi"/>
        </w:rPr>
        <w:t xml:space="preserve">. For radiotherapy patients using Zevalin (anti-CD20 conjugate with In-111/Y-90), </w:t>
      </w:r>
      <w:r w:rsidR="009D74FB">
        <w:rPr>
          <w:rFonts w:asciiTheme="majorHAnsi" w:hAnsiTheme="majorHAnsi" w:cstheme="majorHAnsi"/>
        </w:rPr>
        <w:t>a</w:t>
      </w:r>
      <w:r w:rsidR="009D74FB">
        <w:rPr>
          <w:rFonts w:asciiTheme="majorHAnsi" w:hAnsiTheme="majorHAnsi" w:cstheme="majorHAnsi"/>
        </w:rPr>
        <w:t>fter an imaging dose of 5 mCi In-111, and a therapeutic dose of 0.4 mCi/kg Y-90, dose ranges received were: spleen 4.2-23.0 Gy, liver 2.6-12.0 Gy, lungs 1.4-5.3 Gy, kidneys 0-0.66 Gy, 0.29-1.2 Gy red marrow (</w:t>
      </w:r>
      <w:r w:rsidR="009D74FB" w:rsidRPr="00F70C61">
        <w:rPr>
          <w:rFonts w:asciiTheme="majorHAnsi" w:hAnsiTheme="majorHAnsi" w:cstheme="majorHAnsi"/>
          <w:highlight w:val="yellow"/>
        </w:rPr>
        <w:t>cite Wiseman 2002, Cancer.  Radiation dosimetry results for Zevalin radioimmunotherapy of rituximab-refractory non-Hodgkin lymphoma</w:t>
      </w:r>
      <w:r w:rsidR="009D74FB">
        <w:rPr>
          <w:rFonts w:asciiTheme="majorHAnsi" w:hAnsiTheme="majorHAnsi" w:cstheme="majorHAnsi"/>
        </w:rPr>
        <w:t>). Considering the short half-lives for In-111 (67.3 hours) and Y-90 (64.1 hours), these doses can be considered as acute. Comparing our mouse</w:t>
      </w:r>
      <w:r w:rsidR="00E42290">
        <w:rPr>
          <w:rFonts w:asciiTheme="majorHAnsi" w:hAnsiTheme="majorHAnsi" w:cstheme="majorHAnsi"/>
        </w:rPr>
        <w:t xml:space="preserve"> Ac-225/Ac-227</w:t>
      </w:r>
      <w:r w:rsidR="009D74FB">
        <w:rPr>
          <w:rFonts w:asciiTheme="majorHAnsi" w:hAnsiTheme="majorHAnsi" w:cstheme="majorHAnsi"/>
        </w:rPr>
        <w:t xml:space="preserve"> data to these values, it is clear that the short term Ac-225 dose is similar </w:t>
      </w:r>
      <w:r w:rsidR="00E42290">
        <w:rPr>
          <w:rFonts w:asciiTheme="majorHAnsi" w:hAnsiTheme="majorHAnsi" w:cstheme="majorHAnsi"/>
        </w:rPr>
        <w:t>to</w:t>
      </w:r>
      <w:r w:rsidR="009D74FB">
        <w:rPr>
          <w:rFonts w:asciiTheme="majorHAnsi" w:hAnsiTheme="majorHAnsi" w:cstheme="majorHAnsi"/>
        </w:rPr>
        <w:t xml:space="preserve"> the Zevalin example</w:t>
      </w:r>
      <w:r w:rsidR="00E42290">
        <w:rPr>
          <w:rFonts w:asciiTheme="majorHAnsi" w:hAnsiTheme="majorHAnsi" w:cstheme="majorHAnsi"/>
        </w:rPr>
        <w:t xml:space="preserve"> dose values</w:t>
      </w:r>
      <w:r w:rsidR="009D74FB">
        <w:rPr>
          <w:rFonts w:asciiTheme="majorHAnsi" w:hAnsiTheme="majorHAnsi" w:cstheme="majorHAnsi"/>
        </w:rPr>
        <w:t>, with the largest maximum daily dose of Trastuzumab-DOTA-Ac-225 with an upper end 95% CI of 23.8 Gy cumulative dose, or upper end 95% CI of 1.05 Gy/day. A 5% increase in liver disease occurs in humans with typical gamma radiation treatment of total doses up to 28 Gy (</w:t>
      </w:r>
      <w:r w:rsidR="009D74FB" w:rsidRPr="00E26EAB">
        <w:rPr>
          <w:rFonts w:asciiTheme="majorHAnsi" w:hAnsiTheme="majorHAnsi" w:cstheme="majorHAnsi"/>
          <w:highlight w:val="yellow"/>
        </w:rPr>
        <w:t>cite Pan 2010 - Radiation-Associated Liver Injury</w:t>
      </w:r>
      <w:r w:rsidR="009D74FB">
        <w:rPr>
          <w:rFonts w:asciiTheme="majorHAnsi" w:hAnsiTheme="majorHAnsi" w:cstheme="majorHAnsi"/>
        </w:rPr>
        <w:t>)</w:t>
      </w:r>
      <w:r w:rsidR="00E42290">
        <w:rPr>
          <w:rFonts w:asciiTheme="majorHAnsi" w:hAnsiTheme="majorHAnsi" w:cstheme="majorHAnsi"/>
        </w:rPr>
        <w:t>, but would likely show a greater rate with alpha radiation</w:t>
      </w:r>
      <w:r w:rsidR="009D74FB">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acute doses </w:t>
      </w:r>
      <w:r w:rsidR="00E42290">
        <w:rPr>
          <w:rFonts w:asciiTheme="majorHAnsi" w:hAnsiTheme="majorHAnsi" w:cstheme="majorHAnsi"/>
        </w:rPr>
        <w:t>create zones of necrosis</w:t>
      </w:r>
      <w:r>
        <w:rPr>
          <w:rFonts w:asciiTheme="majorHAnsi" w:hAnsiTheme="majorHAnsi" w:cstheme="majorHAnsi"/>
        </w:rPr>
        <w:t>, long term doses deplete the stem cell compartments, and increase proliferation of multipotent cells (</w:t>
      </w:r>
      <w:r w:rsidRPr="00C16D83">
        <w:rPr>
          <w:rFonts w:asciiTheme="majorHAnsi" w:hAnsiTheme="majorHAnsi" w:cstheme="majorHAnsi"/>
          <w:highlight w:val="yellow"/>
        </w:rPr>
        <w:t xml:space="preserve">ICRP, </w:t>
      </w:r>
      <w:r w:rsidRPr="00C16D83">
        <w:rPr>
          <w:highlight w:val="yellow"/>
        </w:rPr>
        <w:t>(Fliedner et al., 2002)</w:t>
      </w:r>
      <w:r>
        <w:t>)</w:t>
      </w:r>
      <w:r>
        <w:rPr>
          <w:rFonts w:asciiTheme="majorHAnsi" w:hAnsiTheme="majorHAnsi" w:cstheme="majorHAnsi"/>
        </w:rPr>
        <w:t>. It has been shown that long term dosing allows for a greater total cumulative dose compared to acute doses, and dose rate is indicative of dose tolerance (</w:t>
      </w:r>
      <w:r w:rsidRPr="00C16D83">
        <w:rPr>
          <w:rFonts w:asciiTheme="majorHAnsi" w:hAnsiTheme="majorHAnsi" w:cstheme="majorHAnsi"/>
          <w:highlight w:val="yellow"/>
        </w:rPr>
        <w:t>c</w:t>
      </w:r>
      <w:r>
        <w:rPr>
          <w:rFonts w:asciiTheme="majorHAnsi" w:hAnsiTheme="majorHAnsi" w:cstheme="majorHAnsi"/>
          <w:highlight w:val="yellow"/>
        </w:rPr>
        <w:t>i</w:t>
      </w:r>
      <w:r w:rsidRPr="00C16D83">
        <w:rPr>
          <w:rFonts w:asciiTheme="majorHAnsi" w:hAnsiTheme="majorHAnsi" w:cstheme="majorHAnsi"/>
          <w:highlight w:val="yellow"/>
        </w:rPr>
        <w:t xml:space="preserve">te ICRP, </w:t>
      </w:r>
      <w:r w:rsidRPr="00C16D83">
        <w:rPr>
          <w:highlight w:val="yellow"/>
        </w:rPr>
        <w:t>Muksinova and Mushkachyova, 1990</w:t>
      </w:r>
      <w:r>
        <w:t>)</w:t>
      </w:r>
      <w:r>
        <w:rPr>
          <w:rFonts w:asciiTheme="majorHAnsi" w:hAnsiTheme="majorHAnsi" w:cstheme="majorHAnsi"/>
        </w:rPr>
        <w:t xml:space="preserve">. </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Considering long term Ac-227 exposure is not directly comparable, estimates may still be made to long term safe exposure rates. The Trastuzumab-DOTA-Ac-227 dose per day is in the order of 5 mGy/day between 100-7000 days for the highest exposed order, the spleen, and 2 mGy for the liver at maximum (</w:t>
      </w:r>
      <w:r>
        <w:rPr>
          <w:rFonts w:asciiTheme="majorHAnsi" w:hAnsiTheme="majorHAnsi" w:cstheme="majorHAnsi"/>
          <w:b/>
        </w:rPr>
        <w:t>Figure 5</w:t>
      </w:r>
      <w:r>
        <w:rPr>
          <w:rFonts w:asciiTheme="majorHAnsi" w:hAnsiTheme="majorHAnsi" w:cstheme="majorHAnsi"/>
        </w:rPr>
        <w:t>). This corresponds to an approximate maximum peak of 1.8 Gy/year for the spleen, and 0.73 Gy/year for the liver. Chronic radiation syndrome for humans requires an annual full-body dose of 0.7-1.0 Gy per year, and cumulative dose greater than 2-3 Gy for 2-3 years (</w:t>
      </w:r>
      <w:r w:rsidRPr="00AF6DC9">
        <w:rPr>
          <w:rFonts w:asciiTheme="majorHAnsi" w:hAnsiTheme="majorHAnsi" w:cstheme="majorHAnsi"/>
          <w:b/>
          <w:highlight w:val="yellow"/>
        </w:rPr>
        <w:t xml:space="preserve">cite ICRP, </w:t>
      </w:r>
      <w:r w:rsidRPr="00AF6DC9">
        <w:rPr>
          <w:highlight w:val="yellow"/>
        </w:rPr>
        <w:t>Barabanova et al., 2007</w:t>
      </w:r>
      <w:r>
        <w:t xml:space="preserve"> - Chronic radiation sickeness 1479 due to uniform irradiation. Moscow</w:t>
      </w:r>
      <w:r>
        <w:rPr>
          <w:rFonts w:asciiTheme="majorHAnsi" w:hAnsiTheme="majorHAnsi" w:cstheme="majorHAnsi"/>
        </w:rPr>
        <w:t xml:space="preserve">). While these individual organ values are greater than this, the spleen and liver organ radiation exposure equivalency is 0.05 (whole body is 1), which produces approximately 0.09 Sv/year for the spleen and 0.037 Sv/year for the liver. Considering this as the worst case scenario and that the dose is highly confined to these spaces, the side effects are more likely to be on the safe end with less chance of leukopenia or other immune suppression common with bone marrow exposure (cite  - </w:t>
      </w:r>
      <w:r>
        <w:t>Guskova and Baysogolov, 1971 – Radiation sickness classification</w:t>
      </w:r>
      <w:r>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dose</w:t>
      </w: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lastRenderedPageBreak/>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Pr="005720C6" w:rsidRDefault="009D74FB" w:rsidP="009D74FB">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DOTA-Tras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r the 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 xml:space="preserve">While the %RD/g values of </w:t>
      </w:r>
      <w:r>
        <w:rPr>
          <w:rFonts w:asciiTheme="majorHAnsi" w:hAnsiTheme="majorHAnsi" w:cstheme="majorHAnsi"/>
          <w:b/>
        </w:rPr>
        <w:t xml:space="preserve">Figure </w:t>
      </w:r>
      <w:r w:rsidRPr="009652AA">
        <w:rPr>
          <w:rFonts w:asciiTheme="majorHAnsi" w:hAnsiTheme="majorHAnsi" w:cstheme="majorHAnsi"/>
          <w:b/>
        </w:rPr>
        <w:t>2</w:t>
      </w:r>
      <w:r>
        <w:rPr>
          <w:rFonts w:asciiTheme="majorHAnsi" w:hAnsiTheme="majorHAnsi" w:cstheme="majorHAnsi"/>
        </w:rPr>
        <w:t xml:space="preserve"> </w:t>
      </w:r>
      <w:r w:rsidRPr="009652AA">
        <w:rPr>
          <w:rFonts w:asciiTheme="majorHAnsi" w:hAnsiTheme="majorHAnsi" w:cstheme="majorHAnsi"/>
        </w:rPr>
        <w:t>give</w:t>
      </w:r>
      <w:r>
        <w:rPr>
          <w:rFonts w:asciiTheme="majorHAnsi" w:hAnsiTheme="majorHAnsi" w:cstheme="majorHAnsi"/>
        </w:rPr>
        <w:t xml:space="preserve"> an indication of where parent actinium distributed to at each time point, this method is limited by lack of real-time biodistribution of short lived daughter isotopes. Since high energy alpha decays are many orders of magnitude greater in energy than the coordinate bond strength holding the isotope in ligands, recoil effects may dislodge these isotopes from the ligand carrier (</w:t>
      </w:r>
      <w:r w:rsidRPr="00653A4E">
        <w:rPr>
          <w:rFonts w:asciiTheme="majorHAnsi" w:hAnsiTheme="majorHAnsi" w:cstheme="majorHAnsi"/>
          <w:highlight w:val="yellow"/>
        </w:rPr>
        <w:t>cite de Kruijff 2015 -  A Critical Review of Alpha Radionuclide Therapy-How to Deal with Recoiling Daughters?).</w:t>
      </w:r>
      <w:r>
        <w:rPr>
          <w:rFonts w:asciiTheme="majorHAnsi" w:hAnsiTheme="majorHAnsi" w:cstheme="majorHAnsi"/>
        </w:rPr>
        <w:t xml:space="preserve"> Therefore, re-distributed organs will not have an accumulation of activity to count after organ harvesti</w:t>
      </w:r>
      <w:r w:rsidR="007E6034">
        <w:rPr>
          <w:rFonts w:asciiTheme="majorHAnsi" w:hAnsiTheme="majorHAnsi" w:cstheme="majorHAnsi"/>
        </w:rPr>
        <w:t>ng due to the short time frame.</w:t>
      </w:r>
    </w:p>
    <w:p w:rsidR="009D74FB" w:rsidRDefault="007E6034" w:rsidP="009D74FB">
      <w:pPr>
        <w:spacing w:line="480" w:lineRule="auto"/>
        <w:jc w:val="both"/>
        <w:rPr>
          <w:rFonts w:asciiTheme="majorHAnsi" w:hAnsiTheme="majorHAnsi" w:cstheme="majorHAnsi"/>
        </w:rPr>
      </w:pPr>
      <w:r>
        <w:rPr>
          <w:rFonts w:asciiTheme="majorHAnsi" w:hAnsiTheme="majorHAnsi" w:cstheme="majorHAnsi"/>
        </w:rPr>
        <w:t xml:space="preserve">Based upon </w:t>
      </w:r>
      <w:r>
        <w:rPr>
          <w:rFonts w:asciiTheme="majorHAnsi" w:hAnsiTheme="majorHAnsi" w:cstheme="majorHAnsi"/>
          <w:b/>
        </w:rPr>
        <w:t xml:space="preserve">Figure </w:t>
      </w:r>
      <w:r w:rsidRPr="007E6034">
        <w:rPr>
          <w:rFonts w:asciiTheme="majorHAnsi" w:hAnsiTheme="majorHAnsi" w:cstheme="majorHAnsi"/>
          <w:b/>
        </w:rPr>
        <w:t>3</w:t>
      </w:r>
      <w:r>
        <w:rPr>
          <w:rFonts w:asciiTheme="majorHAnsi" w:hAnsiTheme="majorHAnsi" w:cstheme="majorHAnsi"/>
        </w:rPr>
        <w:t xml:space="preserve">, </w:t>
      </w:r>
      <w:r w:rsidR="009D74FB" w:rsidRPr="007E6034">
        <w:rPr>
          <w:rFonts w:asciiTheme="majorHAnsi" w:hAnsiTheme="majorHAnsi" w:cstheme="majorHAnsi"/>
        </w:rPr>
        <w:t>This</w:t>
      </w:r>
      <w:r w:rsidR="009D74FB">
        <w:rPr>
          <w:rFonts w:asciiTheme="majorHAnsi" w:hAnsiTheme="majorHAnsi" w:cstheme="majorHAnsi"/>
        </w:rPr>
        <w:t xml:space="preserve"> effect may be isotope dependent, as Ac-227 should have greater 1st daughter stability vs Ac-225. The initial decay of Ac-227 to Th-227 is a beta (44.8 keV) and much less energetic than </w:t>
      </w:r>
      <w:r w:rsidR="009D74FB">
        <w:rPr>
          <w:rFonts w:asciiTheme="majorHAnsi" w:hAnsiTheme="majorHAnsi" w:cstheme="majorHAnsi"/>
        </w:rPr>
        <w:lastRenderedPageBreak/>
        <w:t xml:space="preserve">the Ac-225 to Fr-221 alpha decay (5.94 MeV), thus Th-227 (half-life = 18.7 days) construct may persist longer in solution relative to Fr-221 (half-life = 4.8 minutes). Modeling the fraction of activity produced from decays prior to the first alpha decay in each Ac-225 and Ac-227 decay chains produces </w:t>
      </w:r>
      <w:r w:rsidR="009D74FB">
        <w:rPr>
          <w:rFonts w:asciiTheme="majorHAnsi" w:hAnsiTheme="majorHAnsi" w:cstheme="majorHAnsi"/>
          <w:b/>
        </w:rPr>
        <w:t>Figure S8</w:t>
      </w:r>
      <w:r w:rsidR="009D74FB" w:rsidRPr="003F2504">
        <w:rPr>
          <w:rFonts w:asciiTheme="majorHAnsi" w:hAnsiTheme="majorHAnsi" w:cstheme="majorHAnsi"/>
        </w:rPr>
        <w:t>.</w:t>
      </w:r>
      <w:r w:rsidR="009D74FB">
        <w:rPr>
          <w:rFonts w:asciiTheme="majorHAnsi" w:hAnsiTheme="majorHAnsi" w:cstheme="majorHAnsi"/>
        </w:rPr>
        <w:t xml:space="preserve"> This portrays how in the Ac-225 system, the Ac-225 to Fr.221 decay is rapid, whereas the Ac-227 and Th-227 species would have a greatly extended period of time until crossing paths at 54 days, much beyond the typical antibody biodistribution half-life, on the order of 5-20 days (</w:t>
      </w:r>
      <w:r w:rsidR="009D74FB" w:rsidRPr="00653A4E">
        <w:rPr>
          <w:rFonts w:asciiTheme="majorHAnsi" w:hAnsiTheme="majorHAnsi" w:cstheme="majorHAnsi"/>
          <w:highlight w:val="yellow"/>
        </w:rPr>
        <w:t>cite antibody half life</w:t>
      </w:r>
      <w:r w:rsidR="009D74FB">
        <w:rPr>
          <w:rFonts w:asciiTheme="majorHAnsi" w:hAnsiTheme="majorHAnsi" w:cstheme="majorHAnsi"/>
        </w:rPr>
        <w:t xml:space="preserve">). </w:t>
      </w:r>
      <w:r w:rsidR="009D74FB" w:rsidRPr="00653A4E">
        <w:rPr>
          <w:rFonts w:asciiTheme="majorHAnsi" w:hAnsiTheme="majorHAnsi" w:cstheme="majorHAnsi"/>
        </w:rPr>
        <w:t>Daughter</w:t>
      </w:r>
      <w:r w:rsidR="009D74FB">
        <w:rPr>
          <w:rFonts w:asciiTheme="majorHAnsi" w:hAnsiTheme="majorHAnsi" w:cstheme="majorHAnsi"/>
        </w:rPr>
        <w:t xml:space="preserve"> isotope re-distribution has been observed in other studies, and redistribution of Bi-213 has been shown to cause dose-limiting renal toxicity in Ac-225 therapies (</w:t>
      </w:r>
      <w:r w:rsidR="009D74FB" w:rsidRPr="009652AA">
        <w:rPr>
          <w:rFonts w:asciiTheme="majorHAnsi" w:hAnsiTheme="majorHAnsi" w:cstheme="majorHAnsi"/>
          <w:highlight w:val="yellow"/>
        </w:rPr>
        <w:t>cite</w:t>
      </w:r>
      <w:r w:rsidR="009D74FB">
        <w:rPr>
          <w:rFonts w:asciiTheme="majorHAnsi" w:hAnsiTheme="majorHAnsi" w:cstheme="majorHAnsi"/>
          <w:highlight w:val="yellow"/>
        </w:rPr>
        <w:t xml:space="preserve"> Jaggi</w:t>
      </w:r>
      <w:r w:rsidR="009D74FB" w:rsidRPr="009652AA">
        <w:rPr>
          <w:highlight w:val="yellow"/>
        </w:rPr>
        <w:t xml:space="preserve"> </w:t>
      </w:r>
      <w:r w:rsidR="009D74FB">
        <w:rPr>
          <w:highlight w:val="yellow"/>
        </w:rPr>
        <w:t xml:space="preserve">2005 </w:t>
      </w:r>
      <w:r w:rsidR="009D74FB" w:rsidRPr="009652AA">
        <w:rPr>
          <w:rFonts w:asciiTheme="majorHAnsi" w:hAnsiTheme="majorHAnsi" w:cstheme="majorHAnsi"/>
          <w:highlight w:val="yellow"/>
        </w:rPr>
        <w:t>Efforts to control the errant products of a targeted in vivo generator.</w:t>
      </w:r>
      <w:r w:rsidR="009D74FB">
        <w:rPr>
          <w:rFonts w:asciiTheme="majorHAnsi" w:hAnsiTheme="majorHAnsi" w:cstheme="majorHAnsi"/>
        </w:rPr>
        <w:t>). While gamma lines of 218 keV and 440 keV may be used to detect Fr-221 (half-life 4.9 minutes) and Bi-213 (half-life 45.6 minutes), we did not have the capability to do real-time detection with a live animal for this study.</w:t>
      </w:r>
    </w:p>
    <w:p w:rsidR="009D74FB" w:rsidRDefault="009D74FB" w:rsidP="009D74FB">
      <w:pPr>
        <w:spacing w:line="480" w:lineRule="auto"/>
        <w:jc w:val="both"/>
        <w:rPr>
          <w:rFonts w:asciiTheme="majorHAnsi" w:hAnsiTheme="majorHAnsi" w:cstheme="majorHAnsi"/>
        </w:rPr>
      </w:pPr>
      <w:r>
        <w:rPr>
          <w:rFonts w:asciiTheme="majorHAnsi" w:hAnsiTheme="majorHAnsi" w:cstheme="majorHAnsi"/>
        </w:rPr>
        <w:t>Nonetheless, we did observe interesting localization ratio effects. As can be seen in LR for all three tested constructs, while LR is calculated via %RD/g ratios, LR is not directly dependent upon the absolute %RD/g between constructs. For instance, while DOTA-Ac shows much lower activity than Trastuzumab-DOTA-Ac and the DOTA-Ac LR is below 1 and Trastuzumab-DOTA-Ac at or greater than 1, the HOPO-Ac control has several tissues with sub-10 %RD/g that are greater than 1 (blood, heart, lungs). Therefore, it is a factor other than activity counting conditions that is creating isotopic localization. The trend these LR data do seem to follow is the rate of excretion from the animal. DOTA-Ac is the quickest to clear, HOPO-Ac the second quickest, and Trastuzumab-DOTA-Ac is the slowest. Since %RD/G is not based on the initial injected amount, but the amount recovered in total at the final time point, this is not simply due to rapid decay of Ac-225 vs Ac-227. It is possible that changes in LR may be due to free metal scavenging of DOTA-Ac constructs pre-decay (</w:t>
      </w:r>
      <w:r w:rsidRPr="00DE5901">
        <w:rPr>
          <w:rFonts w:asciiTheme="majorHAnsi" w:hAnsiTheme="majorHAnsi" w:cstheme="majorHAnsi"/>
          <w:highlight w:val="yellow"/>
        </w:rPr>
        <w:t>cite isotopic localization chan</w:t>
      </w:r>
      <w:r w:rsidRPr="005725B1">
        <w:rPr>
          <w:rFonts w:asciiTheme="majorHAnsi" w:hAnsiTheme="majorHAnsi" w:cstheme="majorHAnsi"/>
          <w:highlight w:val="yellow"/>
        </w:rPr>
        <w:t>ges in general, and Ac scavenging in vivo</w:t>
      </w:r>
      <w:r>
        <w:rPr>
          <w:rFonts w:asciiTheme="majorHAnsi" w:hAnsiTheme="majorHAnsi" w:cstheme="majorHAnsi"/>
        </w:rPr>
        <w:t xml:space="preserve">?). This could be tested through further experimentation in mice with variations of actinium isotopes dose in weak ligand carrier solutions to promote biomolecular scavenging.  </w:t>
      </w:r>
    </w:p>
    <w:p w:rsidR="00CE02B6" w:rsidRDefault="00CE02B6" w:rsidP="00504374">
      <w:pPr>
        <w:spacing w:line="480" w:lineRule="auto"/>
        <w:jc w:val="both"/>
        <w:rPr>
          <w:rFonts w:asciiTheme="majorHAnsi" w:hAnsiTheme="majorHAnsi" w:cstheme="majorHAnsi"/>
        </w:rPr>
      </w:pPr>
    </w:p>
    <w:p w:rsidR="00CE02B6" w:rsidRDefault="00CE02B6" w:rsidP="00504374">
      <w:pPr>
        <w:spacing w:line="480" w:lineRule="auto"/>
        <w:jc w:val="both"/>
        <w:rPr>
          <w:rFonts w:asciiTheme="majorHAnsi" w:hAnsiTheme="majorHAnsi" w:cstheme="majorHAnsi"/>
        </w:rPr>
      </w:pPr>
    </w:p>
    <w:p w:rsidR="005478DA" w:rsidRDefault="005478DA" w:rsidP="00504374">
      <w:pPr>
        <w:spacing w:line="480" w:lineRule="auto"/>
        <w:jc w:val="both"/>
        <w:rPr>
          <w:rFonts w:asciiTheme="majorHAnsi" w:hAnsiTheme="majorHAnsi" w:cstheme="majorHAnsi"/>
        </w:rPr>
      </w:pPr>
      <w:r>
        <w:rPr>
          <w:rFonts w:asciiTheme="majorHAnsi" w:hAnsiTheme="majorHAnsi" w:cstheme="majorHAnsi"/>
        </w:rPr>
        <w:t>Different tissues’ proliferation rate greatly influences the radiotolerance observed.</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Gy with medical assistance, or 3.3-4.5 Gy without (</w:t>
      </w:r>
      <w:r w:rsidRPr="006479C4">
        <w:rPr>
          <w:highlight w:val="yellow"/>
        </w:rPr>
        <w:t>UNSCEAR Annex G, 1988</w:t>
      </w:r>
      <w:r>
        <w:t>, ICRP)</w:t>
      </w:r>
      <w:r>
        <w:rPr>
          <w:rFonts w:asciiTheme="majorHAnsi" w:hAnsiTheme="majorHAnsi" w:cstheme="majorHAnsi"/>
        </w:rPr>
        <w:t>.</w:t>
      </w:r>
    </w:p>
    <w:p w:rsidR="006479C4" w:rsidRDefault="006479C4"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BB0C69" w:rsidRDefault="009D74FB" w:rsidP="009D74FB">
      <w:pPr>
        <w:spacing w:line="480" w:lineRule="auto"/>
        <w:jc w:val="both"/>
        <w:rPr>
          <w:rFonts w:asciiTheme="majorHAnsi" w:hAnsiTheme="majorHAnsi" w:cstheme="majorHAnsi"/>
        </w:rPr>
      </w:pPr>
      <w:r>
        <w:rPr>
          <w:rFonts w:asciiTheme="majorHAnsi" w:hAnsiTheme="majorHAnsi" w:cstheme="majorHAnsi"/>
        </w:rPr>
        <w:t>The International Committee of Radiation Protection(ICRP) defines the ‘threshold dose’ as an amount of radiation dose to cause an observable effect in only 1% of individuals (estimated dose for 1% incidence, ED</w:t>
      </w:r>
      <w:r>
        <w:rPr>
          <w:rFonts w:asciiTheme="majorHAnsi" w:hAnsiTheme="majorHAnsi" w:cstheme="majorHAnsi"/>
          <w:vertAlign w:val="subscript"/>
        </w:rPr>
        <w:t>1</w:t>
      </w:r>
      <w:r>
        <w:rPr>
          <w:rFonts w:asciiTheme="majorHAnsi" w:hAnsiTheme="majorHAnsi" w:cstheme="majorHAnsi"/>
        </w:rPr>
        <w:t>), but not so far as to say there is no biological effect below that threshold (</w:t>
      </w:r>
      <w:r w:rsidRPr="00EB5409">
        <w:rPr>
          <w:rFonts w:asciiTheme="majorHAnsi" w:hAnsiTheme="majorHAnsi" w:cstheme="majorHAnsi"/>
          <w:highlight w:val="yellow"/>
        </w:rPr>
        <w:t>CITE ICRP</w:t>
      </w:r>
      <w:r>
        <w:rPr>
          <w:rFonts w:asciiTheme="majorHAnsi" w:hAnsiTheme="majorHAnsi" w:cstheme="majorHAnsi"/>
        </w:rPr>
        <w:t>).</w:t>
      </w:r>
    </w:p>
    <w:p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Behr 1999 (High-linear energy transfer (LET) alpha versus low-LET beta emitters in radioimmunotherapy of solid tumors: therapeutic efficacy and dose-limiting toxicity of 213Bi- versus 90Y-labeled CO17-1A Fab' fragments in a human colonic cancer model.)</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Initial blood dose 5-8 Gy</w:t>
      </w:r>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Gy over </w:t>
      </w:r>
      <w:r w:rsidR="009D3005">
        <w:rPr>
          <w:rFonts w:asciiTheme="majorHAnsi" w:hAnsiTheme="majorHAnsi" w:cstheme="majorHAnsi"/>
        </w:rPr>
        <w:t>for Bi-213-Fab’ fragments</w:t>
      </w:r>
    </w:p>
    <w:p w:rsidR="009D74FB" w:rsidRDefault="009D74FB" w:rsidP="00504374">
      <w:pPr>
        <w:spacing w:line="480" w:lineRule="auto"/>
        <w:jc w:val="both"/>
        <w:rPr>
          <w:rFonts w:asciiTheme="majorHAnsi" w:hAnsiTheme="majorHAnsi" w:cstheme="majorHAnsi"/>
        </w:rPr>
      </w:pPr>
    </w:p>
    <w:p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lastRenderedPageBreak/>
        <w:t>Liver, kidney, spleen, intestines, bladder etc. – 0.05</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3F08F5" w:rsidRDefault="003F08F5" w:rsidP="00504374">
      <w:pPr>
        <w:spacing w:line="480" w:lineRule="auto"/>
        <w:jc w:val="both"/>
        <w:rPr>
          <w:rFonts w:asciiTheme="majorHAnsi" w:hAnsiTheme="majorHAnsi" w:cstheme="majorHAnsi"/>
        </w:rPr>
      </w:pPr>
    </w:p>
    <w:p w:rsidR="00381E10" w:rsidRDefault="00381E10" w:rsidP="00504374">
      <w:pPr>
        <w:spacing w:line="480" w:lineRule="auto"/>
        <w:jc w:val="both"/>
        <w:rPr>
          <w:rFonts w:asciiTheme="majorHAnsi" w:hAnsiTheme="majorHAnsi" w:cstheme="majorHAnsi"/>
          <w:b/>
        </w:rPr>
      </w:pPr>
    </w:p>
    <w:p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047FA0" w:rsidRPr="00047FA0" w:rsidRDefault="004B0392" w:rsidP="00047FA0">
      <w:pPr>
        <w:widowControl w:val="0"/>
        <w:autoSpaceDE w:val="0"/>
        <w:autoSpaceDN w:val="0"/>
        <w:adjustRightInd w:val="0"/>
        <w:spacing w:line="480" w:lineRule="auto"/>
        <w:ind w:left="640" w:hanging="640"/>
        <w:rPr>
          <w:rFonts w:ascii="Calibri Light" w:hAnsi="Calibri Light" w:cs="Calibri Light"/>
          <w:noProof/>
          <w:szCs w:val="24"/>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047FA0" w:rsidRPr="00047FA0">
        <w:rPr>
          <w:rFonts w:ascii="Calibri Light" w:hAnsi="Calibri Light" w:cs="Calibri Light"/>
          <w:noProof/>
          <w:szCs w:val="24"/>
        </w:rPr>
        <w:t xml:space="preserve">1. </w:t>
      </w:r>
      <w:r w:rsidR="00047FA0" w:rsidRPr="00047FA0">
        <w:rPr>
          <w:rFonts w:ascii="Calibri Light" w:hAnsi="Calibri Light" w:cs="Calibri Light"/>
          <w:noProof/>
          <w:szCs w:val="24"/>
        </w:rPr>
        <w:tab/>
        <w:t xml:space="preserve">McDevitt MR, Ma D, Lai L, et al. Tumor Therapy with Targeted Atomic Nanogenerators. </w:t>
      </w:r>
      <w:r w:rsidR="00047FA0" w:rsidRPr="00047FA0">
        <w:rPr>
          <w:rFonts w:ascii="Calibri Light" w:hAnsi="Calibri Light" w:cs="Calibri Light"/>
          <w:i/>
          <w:iCs/>
          <w:noProof/>
          <w:szCs w:val="24"/>
        </w:rPr>
        <w:t>Science (80- )</w:t>
      </w:r>
      <w:r w:rsidR="00047FA0" w:rsidRPr="00047FA0">
        <w:rPr>
          <w:rFonts w:ascii="Calibri Light" w:hAnsi="Calibri Light" w:cs="Calibri Light"/>
          <w:noProof/>
          <w:szCs w:val="24"/>
        </w:rPr>
        <w:t>. 2001;294(5546):1537-1540. doi:10.1126/science.1064126</w:t>
      </w:r>
    </w:p>
    <w:p w:rsidR="00047FA0" w:rsidRPr="00047FA0" w:rsidRDefault="00047FA0" w:rsidP="00047FA0">
      <w:pPr>
        <w:widowControl w:val="0"/>
        <w:autoSpaceDE w:val="0"/>
        <w:autoSpaceDN w:val="0"/>
        <w:adjustRightInd w:val="0"/>
        <w:spacing w:line="480" w:lineRule="auto"/>
        <w:ind w:left="640" w:hanging="640"/>
        <w:rPr>
          <w:rFonts w:ascii="Calibri Light" w:hAnsi="Calibri Light" w:cs="Calibri Light"/>
          <w:noProof/>
          <w:szCs w:val="24"/>
        </w:rPr>
      </w:pPr>
      <w:r w:rsidRPr="00047FA0">
        <w:rPr>
          <w:rFonts w:ascii="Calibri Light" w:hAnsi="Calibri Light" w:cs="Calibri Light"/>
          <w:noProof/>
          <w:szCs w:val="24"/>
        </w:rPr>
        <w:t xml:space="preserve">2. </w:t>
      </w:r>
      <w:r w:rsidRPr="00047FA0">
        <w:rPr>
          <w:rFonts w:ascii="Calibri Light" w:hAnsi="Calibri Light" w:cs="Calibri Light"/>
          <w:noProof/>
          <w:szCs w:val="24"/>
        </w:rPr>
        <w:tab/>
        <w:t xml:space="preserve">Sharma SK, Chow A, Monette S, et al. Fc-mediated anomalous biodistribution of therapeutic antibodies in immunodeficient mouse models. </w:t>
      </w:r>
      <w:r w:rsidRPr="00047FA0">
        <w:rPr>
          <w:rFonts w:ascii="Calibri Light" w:hAnsi="Calibri Light" w:cs="Calibri Light"/>
          <w:i/>
          <w:iCs/>
          <w:noProof/>
          <w:szCs w:val="24"/>
        </w:rPr>
        <w:t>Cancer Res</w:t>
      </w:r>
      <w:r w:rsidRPr="00047FA0">
        <w:rPr>
          <w:rFonts w:ascii="Calibri Light" w:hAnsi="Calibri Light" w:cs="Calibri Light"/>
          <w:noProof/>
          <w:szCs w:val="24"/>
        </w:rPr>
        <w:t>. 2018;78(7):1820-1832. doi:10.1158/0008-5472.CAN-17-1958</w:t>
      </w:r>
    </w:p>
    <w:p w:rsidR="00047FA0" w:rsidRPr="00047FA0" w:rsidRDefault="00047FA0" w:rsidP="00047FA0">
      <w:pPr>
        <w:widowControl w:val="0"/>
        <w:autoSpaceDE w:val="0"/>
        <w:autoSpaceDN w:val="0"/>
        <w:adjustRightInd w:val="0"/>
        <w:spacing w:line="480" w:lineRule="auto"/>
        <w:ind w:left="640" w:hanging="640"/>
        <w:rPr>
          <w:rFonts w:ascii="Calibri Light" w:hAnsi="Calibri Light" w:cs="Calibri Light"/>
          <w:noProof/>
          <w:szCs w:val="24"/>
        </w:rPr>
      </w:pPr>
      <w:r w:rsidRPr="00047FA0">
        <w:rPr>
          <w:rFonts w:ascii="Calibri Light" w:hAnsi="Calibri Light" w:cs="Calibri Light"/>
          <w:noProof/>
          <w:szCs w:val="24"/>
        </w:rPr>
        <w:t xml:space="preserve">3. </w:t>
      </w:r>
      <w:r w:rsidRPr="00047FA0">
        <w:rPr>
          <w:rFonts w:ascii="Calibri Light" w:hAnsi="Calibri Light" w:cs="Calibri Light"/>
          <w:noProof/>
          <w:szCs w:val="24"/>
        </w:rPr>
        <w:tab/>
        <w:t xml:space="preserve">A. Scheinberg D, R. McDevitt M. Actinium-225 in Targeted Alpha-Particle Therapeutic Applications. </w:t>
      </w:r>
      <w:r w:rsidRPr="00047FA0">
        <w:rPr>
          <w:rFonts w:ascii="Calibri Light" w:hAnsi="Calibri Light" w:cs="Calibri Light"/>
          <w:i/>
          <w:iCs/>
          <w:noProof/>
          <w:szCs w:val="24"/>
        </w:rPr>
        <w:t>Curr Radiopharm</w:t>
      </w:r>
      <w:r w:rsidRPr="00047FA0">
        <w:rPr>
          <w:rFonts w:ascii="Calibri Light" w:hAnsi="Calibri Light" w:cs="Calibri Light"/>
          <w:noProof/>
          <w:szCs w:val="24"/>
        </w:rPr>
        <w:t>. 2012. doi:10.2174/1874471011104040306</w:t>
      </w:r>
    </w:p>
    <w:p w:rsidR="00047FA0" w:rsidRPr="00047FA0" w:rsidRDefault="00047FA0" w:rsidP="00047FA0">
      <w:pPr>
        <w:widowControl w:val="0"/>
        <w:autoSpaceDE w:val="0"/>
        <w:autoSpaceDN w:val="0"/>
        <w:adjustRightInd w:val="0"/>
        <w:spacing w:line="480" w:lineRule="auto"/>
        <w:ind w:left="640" w:hanging="640"/>
        <w:rPr>
          <w:rFonts w:ascii="Calibri Light" w:hAnsi="Calibri Light" w:cs="Calibri Light"/>
          <w:noProof/>
        </w:rPr>
      </w:pPr>
      <w:r w:rsidRPr="00047FA0">
        <w:rPr>
          <w:rFonts w:ascii="Calibri Light" w:hAnsi="Calibri Light" w:cs="Calibri Light"/>
          <w:noProof/>
          <w:szCs w:val="24"/>
        </w:rPr>
        <w:t xml:space="preserve">4. </w:t>
      </w:r>
      <w:r w:rsidRPr="00047FA0">
        <w:rPr>
          <w:rFonts w:ascii="Calibri Light" w:hAnsi="Calibri Light" w:cs="Calibri Light"/>
          <w:noProof/>
          <w:szCs w:val="24"/>
        </w:rPr>
        <w:tab/>
        <w:t xml:space="preserve">Rees JA, Deblonde GJP, An DD, Ansoborlo C, Gauny SS, Abergel RJ. Evaluating the potential of chelation therapy to prevent and treat gadolinium deposition from MRI contrast agents. </w:t>
      </w:r>
      <w:r w:rsidRPr="00047FA0">
        <w:rPr>
          <w:rFonts w:ascii="Calibri Light" w:hAnsi="Calibri Light" w:cs="Calibri Light"/>
          <w:i/>
          <w:iCs/>
          <w:noProof/>
          <w:szCs w:val="24"/>
        </w:rPr>
        <w:t>Sci Rep</w:t>
      </w:r>
      <w:r w:rsidRPr="00047FA0">
        <w:rPr>
          <w:rFonts w:ascii="Calibri Light" w:hAnsi="Calibri Light" w:cs="Calibri Light"/>
          <w:noProof/>
          <w:szCs w:val="24"/>
        </w:rPr>
        <w:t>. 2018;8(1):2-10. doi:10.1038/s41598-018-22511-6</w:t>
      </w:r>
    </w:p>
    <w:p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3ACC1447" wp14:editId="4232AC2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CC1447"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C351F1" w:rsidP="00504374">
      <w:pPr>
        <w:spacing w:line="480" w:lineRule="auto"/>
        <w:jc w:val="both"/>
        <w:rPr>
          <w:rFonts w:asciiTheme="majorHAnsi" w:hAnsiTheme="majorHAnsi" w:cstheme="majorHAnsi"/>
        </w:rPr>
      </w:pPr>
      <w:r>
        <w:rPr>
          <w:rFonts w:asciiTheme="majorHAnsi" w:hAnsiTheme="majorHAnsi"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98pt">
            <v:imagedata r:id="rId8" o:title="Ac-225_Decay_Chain"/>
          </v:shape>
        </w:pict>
      </w:r>
      <w:r w:rsidR="002F6861">
        <w:rPr>
          <w:rFonts w:asciiTheme="majorHAnsi" w:hAnsiTheme="majorHAnsi" w:cstheme="majorHAnsi"/>
          <w:noProof/>
        </w:rPr>
        <w:drawing>
          <wp:inline distT="0" distB="0" distL="0" distR="0" wp14:anchorId="2D023AA4" wp14:editId="49907873">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4669A992" wp14:editId="5E9B1F0D">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00032DD6" wp14:editId="150224BD">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Species</w:t>
      </w:r>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C351F1" w:rsidP="00504374">
      <w:pPr>
        <w:jc w:val="both"/>
        <w:rPr>
          <w:rFonts w:asciiTheme="majorHAnsi" w:hAnsiTheme="majorHAnsi" w:cstheme="majorHAnsi"/>
        </w:rPr>
      </w:pPr>
      <w:r>
        <w:rPr>
          <w:rFonts w:asciiTheme="majorHAnsi" w:hAnsiTheme="majorHAnsi" w:cstheme="majorHAnsi"/>
          <w:noProof/>
        </w:rPr>
        <w:lastRenderedPageBreak/>
        <w:pict>
          <v:shape id="_x0000_i1026" type="#_x0000_t75" style="width:468pt;height:195.75pt">
            <v:imagedata r:id="rId11" o:title="RDperGeqnew"/>
          </v:shape>
        </w:pict>
      </w:r>
    </w:p>
    <w:p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C351F1" w:rsidP="00504374">
      <w:pPr>
        <w:spacing w:line="480" w:lineRule="auto"/>
        <w:jc w:val="both"/>
        <w:rPr>
          <w:rFonts w:asciiTheme="majorHAnsi" w:hAnsiTheme="majorHAnsi" w:cstheme="majorHAnsi"/>
          <w:b/>
        </w:rPr>
      </w:pPr>
      <w:r>
        <w:rPr>
          <w:rFonts w:asciiTheme="majorHAnsi" w:hAnsiTheme="majorHAnsi" w:cstheme="majorHAnsi"/>
          <w:b/>
        </w:rPr>
        <w:lastRenderedPageBreak/>
        <w:pict>
          <v:shape id="_x0000_i1027" type="#_x0000_t75" style="width:467.25pt;height:133.5pt">
            <v:imagedata r:id="rId12" o:title="localizationRatioNew"/>
          </v:shape>
        </w:pict>
      </w:r>
    </w:p>
    <w:p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
    <w:p w:rsidR="00DE5EED" w:rsidRDefault="00DE5EED" w:rsidP="00504374">
      <w:pPr>
        <w:jc w:val="both"/>
        <w:rPr>
          <w:rFonts w:asciiTheme="majorHAnsi" w:hAnsiTheme="majorHAnsi" w:cstheme="majorHAnsi"/>
        </w:rPr>
      </w:pPr>
    </w:p>
    <w:p w:rsidR="00435035" w:rsidRDefault="00435035" w:rsidP="00504374">
      <w:pPr>
        <w:jc w:val="both"/>
        <w:rPr>
          <w:rFonts w:asciiTheme="majorHAnsi" w:hAnsiTheme="majorHAnsi" w:cstheme="majorHAnsi"/>
        </w:rPr>
      </w:pPr>
      <w:r>
        <w:rPr>
          <w:rFonts w:asciiTheme="majorHAnsi" w:hAnsiTheme="majorHAnsi" w:cstheme="majorHAnsi"/>
        </w:rPr>
        <w:br w:type="page"/>
      </w:r>
    </w:p>
    <w:p w:rsidR="00E87AE7" w:rsidRPr="00C06710" w:rsidRDefault="00C351F1" w:rsidP="00504374">
      <w:pPr>
        <w:jc w:val="both"/>
        <w:rPr>
          <w:rFonts w:asciiTheme="majorHAnsi" w:hAnsiTheme="majorHAnsi" w:cstheme="majorHAnsi"/>
        </w:rPr>
      </w:pPr>
      <w:r>
        <w:rPr>
          <w:rFonts w:asciiTheme="majorHAnsi" w:hAnsiTheme="majorHAnsi" w:cstheme="majorHAnsi"/>
          <w:noProof/>
        </w:rPr>
        <w:lastRenderedPageBreak/>
        <w:pict>
          <v:shape id="_x0000_i1028" type="#_x0000_t75" style="width:467.25pt;height:425.25pt">
            <v:imagedata r:id="rId13" o:title="dose1Letters"/>
          </v:shape>
        </w:pict>
      </w:r>
    </w:p>
    <w:p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C351F1" w:rsidP="00504374">
      <w:pPr>
        <w:spacing w:line="480" w:lineRule="auto"/>
        <w:jc w:val="both"/>
        <w:rPr>
          <w:rFonts w:asciiTheme="majorHAnsi" w:hAnsiTheme="majorHAnsi" w:cstheme="majorHAnsi"/>
        </w:rPr>
      </w:pPr>
      <w:r>
        <w:rPr>
          <w:rFonts w:asciiTheme="majorHAnsi" w:hAnsiTheme="majorHAnsi" w:cstheme="majorHAnsi"/>
        </w:rPr>
        <w:lastRenderedPageBreak/>
        <w:pict>
          <v:shape id="_x0000_i1029" type="#_x0000_t75" style="width:468pt;height:435.75pt">
            <v:imagedata r:id="rId14" o:title="dose2Letters"/>
          </v:shape>
        </w:pict>
      </w:r>
    </w:p>
    <w:p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C351F1" w:rsidP="00504374">
      <w:pPr>
        <w:jc w:val="both"/>
        <w:rPr>
          <w:rFonts w:asciiTheme="majorHAnsi" w:hAnsiTheme="majorHAnsi" w:cstheme="majorHAnsi"/>
          <w:b/>
          <w:sz w:val="24"/>
        </w:rPr>
      </w:pPr>
      <w:r>
        <w:rPr>
          <w:rFonts w:asciiTheme="majorHAnsi" w:hAnsiTheme="majorHAnsi" w:cstheme="majorHAnsi"/>
          <w:b/>
          <w:noProof/>
          <w:sz w:val="24"/>
        </w:rPr>
        <w:lastRenderedPageBreak/>
        <w:pict>
          <v:shape id="_x0000_i1030" type="#_x0000_t75" style="width:468pt;height:150.75pt">
            <v:imagedata r:id="rId15" o:title="doseEq"/>
          </v:shape>
        </w:pict>
      </w:r>
    </w:p>
    <w:p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rsidP="00504374">
      <w:pPr>
        <w:jc w:val="both"/>
        <w:rPr>
          <w:rFonts w:asciiTheme="majorHAnsi" w:hAnsiTheme="majorHAnsi" w:cstheme="majorHAnsi"/>
        </w:rPr>
      </w:pPr>
      <w:r>
        <w:rPr>
          <w:rFonts w:asciiTheme="majorHAnsi" w:hAnsiTheme="majorHAnsi" w:cstheme="majorHAnsi"/>
        </w:rPr>
        <w:br w:type="page"/>
      </w:r>
    </w:p>
    <w:p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C351F1" w:rsidP="00504374">
      <w:pPr>
        <w:spacing w:line="480" w:lineRule="auto"/>
        <w:jc w:val="both"/>
        <w:rPr>
          <w:rFonts w:asciiTheme="majorHAnsi" w:hAnsiTheme="majorHAnsi" w:cstheme="majorHAnsi"/>
        </w:rPr>
      </w:pPr>
      <w:r>
        <w:rPr>
          <w:rFonts w:asciiTheme="majorHAnsi" w:hAnsiTheme="majorHAnsi" w:cstheme="majorHAnsi"/>
        </w:rPr>
        <w:pict>
          <v:shape id="_x0000_i1031" type="#_x0000_t75" style="width:234.75pt;height:240pt">
            <v:imagedata r:id="rId16" o:title="ave MeV per count"/>
          </v:shape>
        </w:pict>
      </w:r>
    </w:p>
    <w:p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C351F1" w:rsidP="00504374">
      <w:pPr>
        <w:jc w:val="both"/>
        <w:rPr>
          <w:rFonts w:asciiTheme="majorHAnsi" w:hAnsiTheme="majorHAnsi" w:cstheme="majorHAnsi"/>
        </w:rPr>
      </w:pPr>
      <w:r>
        <w:rPr>
          <w:rFonts w:asciiTheme="majorHAnsi" w:hAnsiTheme="majorHAnsi" w:cstheme="majorHAnsi"/>
          <w:noProof/>
        </w:rPr>
        <w:lastRenderedPageBreak/>
        <w:pict>
          <v:shape id="_x0000_i1032" type="#_x0000_t75" style="width:467.25pt;height:297.75pt">
            <v:imagedata r:id="rId17" o:title="BioD_combo_2"/>
          </v:shape>
        </w:pict>
      </w:r>
    </w:p>
    <w:p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nCi Ac-225 and 1 nCi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504374">
      <w:pPr>
        <w:spacing w:line="480" w:lineRule="auto"/>
        <w:jc w:val="both"/>
        <w:rPr>
          <w:rFonts w:asciiTheme="majorHAnsi" w:hAnsiTheme="majorHAnsi" w:cstheme="majorHAnsi"/>
          <w:b/>
        </w:rPr>
      </w:pPr>
    </w:p>
    <w:p w:rsidR="00563D98" w:rsidRDefault="00563D98" w:rsidP="00504374">
      <w:pPr>
        <w:jc w:val="both"/>
        <w:rPr>
          <w:rFonts w:asciiTheme="majorHAnsi" w:hAnsiTheme="majorHAnsi" w:cstheme="majorHAnsi"/>
          <w:b/>
        </w:rPr>
      </w:pPr>
      <w:r>
        <w:rPr>
          <w:rFonts w:asciiTheme="majorHAnsi" w:hAnsiTheme="majorHAnsi" w:cstheme="majorHAnsi"/>
          <w:b/>
        </w:rPr>
        <w:br w:type="page"/>
      </w:r>
    </w:p>
    <w:p w:rsidR="0026230D" w:rsidRDefault="00C351F1"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pict>
          <v:shape id="_x0000_i1033" type="#_x0000_t75" style="width:468pt;height:105.75pt">
            <v:imagedata r:id="rId18" o:title="HOPO_RDperG"/>
          </v:shape>
        </w:pict>
      </w:r>
    </w:p>
    <w:p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C74806">
        <w:rPr>
          <w:rFonts w:asciiTheme="majorHAnsi" w:hAnsiTheme="majorHAnsi" w:cstheme="majorHAnsi"/>
        </w:rPr>
        <w:t xml:space="preserve"> </w:t>
      </w:r>
      <w:r w:rsidR="006C7A50">
        <w:rPr>
          <w:rFonts w:asciiTheme="majorHAnsi" w:hAnsiTheme="majorHAnsi" w:cstheme="majorHAnsi"/>
        </w:rPr>
        <w:t xml:space="preserve">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Gy (95% CI 3.97-4.54 Gy) which remained steady after 125 days (A). HOPO-Ac-227 at 125 days showed an increasing mean dose of 0.323 Gy (95% CI 0.30-0.36 Gy), and after 7946 days, a mean of 22.4 Gy (95% CI 20.3-24.5 Gy)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504374">
      <w:pPr>
        <w:spacing w:line="480" w:lineRule="auto"/>
        <w:jc w:val="both"/>
        <w:rPr>
          <w:rFonts w:asciiTheme="majorHAnsi" w:hAnsiTheme="majorHAnsi" w:cstheme="majorHAnsi"/>
        </w:rPr>
      </w:pPr>
    </w:p>
    <w:p w:rsidR="00582129" w:rsidRDefault="00582129" w:rsidP="00504374">
      <w:pPr>
        <w:jc w:val="both"/>
        <w:rPr>
          <w:rFonts w:asciiTheme="majorHAnsi" w:hAnsiTheme="majorHAnsi" w:cstheme="majorHAnsi"/>
          <w:b/>
        </w:rPr>
      </w:pPr>
      <w:r>
        <w:rPr>
          <w:rFonts w:asciiTheme="majorHAnsi" w:hAnsiTheme="majorHAnsi" w:cstheme="majorHAnsi"/>
          <w:b/>
        </w:rPr>
        <w:br w:type="page"/>
      </w:r>
    </w:p>
    <w:p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E4830C5" wp14:editId="0283A92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0FFD2C7A" wp14:editId="7EA00458">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D2C7A" id="Group 197" o:spid="_x0000_s1029" style="position:absolute;left:0;text-align:left;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C351F1">
        <w:rPr>
          <w:rFonts w:asciiTheme="majorHAnsi" w:hAnsiTheme="majorHAnsi" w:cstheme="majorHAnsi"/>
          <w:b/>
        </w:rPr>
        <w:pict>
          <v:shape id="_x0000_i1034" type="#_x0000_t75" style="width:468pt;height:453pt">
            <v:imagedata r:id="rId20" o:title="doseS1"/>
          </v:shape>
        </w:pict>
      </w:r>
    </w:p>
    <w:p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5BD3B01F" wp14:editId="63187924">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D3B01F" id="Group 59" o:spid="_x0000_s1033" style="position:absolute;left:0;text-align:left;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C351F1">
        <w:rPr>
          <w:rFonts w:asciiTheme="majorHAnsi" w:hAnsiTheme="majorHAnsi" w:cstheme="majorHAnsi"/>
          <w:b/>
        </w:rPr>
        <w:pict>
          <v:shape id="_x0000_i1035" type="#_x0000_t75" style="width:467.25pt;height:451.5pt">
            <v:imagedata r:id="rId21" o:title="doseS2"/>
          </v:shape>
        </w:pict>
      </w:r>
    </w:p>
    <w:p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Gy (95% CI 0.249-0.258) at 1.33 days (</w:t>
      </w:r>
      <w:r w:rsidR="006C7A50" w:rsidRPr="006C7A50">
        <w:rPr>
          <w:rFonts w:asciiTheme="majorHAnsi" w:hAnsiTheme="majorHAnsi" w:cstheme="majorHAnsi"/>
        </w:rPr>
        <w:t>A</w:t>
      </w:r>
      <w:r w:rsidR="006C7A50">
        <w:rPr>
          <w:rFonts w:asciiTheme="majorHAnsi" w:hAnsiTheme="majorHAnsi" w:cstheme="majorHAnsi"/>
        </w:rPr>
        <w:t>) in the liver, whereas HOPO-Ac-227 showed a maximal mean of 0.039 Gy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rsidP="00504374">
      <w:pPr>
        <w:jc w:val="both"/>
        <w:rPr>
          <w:rFonts w:asciiTheme="majorHAnsi" w:hAnsiTheme="majorHAnsi" w:cstheme="majorHAnsi"/>
        </w:rPr>
      </w:pPr>
      <w:r>
        <w:rPr>
          <w:rFonts w:asciiTheme="majorHAnsi" w:hAnsiTheme="majorHAnsi" w:cstheme="majorHAnsi"/>
        </w:rPr>
        <w:br w:type="page"/>
      </w:r>
    </w:p>
    <w:p w:rsidR="005C6C33" w:rsidRDefault="00C351F1" w:rsidP="00504374">
      <w:pPr>
        <w:jc w:val="both"/>
        <w:rPr>
          <w:rFonts w:asciiTheme="majorHAnsi" w:hAnsiTheme="majorHAnsi" w:cstheme="majorHAnsi"/>
          <w:b/>
        </w:rPr>
      </w:pPr>
      <w:r>
        <w:rPr>
          <w:rFonts w:asciiTheme="majorHAnsi" w:hAnsiTheme="majorHAnsi" w:cstheme="majorHAnsi"/>
          <w:b/>
        </w:rPr>
        <w:lastRenderedPageBreak/>
        <w:pict>
          <v:shape id="_x0000_i1036" type="#_x0000_t75" style="width:468pt;height:364.5pt">
            <v:imagedata r:id="rId22" o:title="doseEqHOPO"/>
          </v:shape>
        </w:pict>
      </w:r>
    </w:p>
    <w:p w:rsidR="00CD587F" w:rsidRDefault="005C6C33" w:rsidP="00504374">
      <w:pPr>
        <w:jc w:val="both"/>
        <w:rPr>
          <w:rFonts w:asciiTheme="majorHAnsi" w:hAnsiTheme="majorHAnsi" w:cstheme="majorHAnsi"/>
        </w:rPr>
      </w:pPr>
      <w:r>
        <w:rPr>
          <w:rFonts w:asciiTheme="majorHAnsi" w:hAnsiTheme="majorHAnsi" w:cstheme="majorHAnsi"/>
          <w:b/>
        </w:rPr>
        <w:t xml:space="preserve">Figure S7. </w:t>
      </w:r>
      <w:r>
        <w:rPr>
          <w:rFonts w:asciiTheme="majorHAnsi" w:hAnsiTheme="majorHAnsi" w:cstheme="majorHAnsi"/>
        </w:rPr>
        <w:t>HOPO days until dose equivalence (Ac-227/Ac-225).</w:t>
      </w:r>
    </w:p>
    <w:p w:rsidR="00CD587F" w:rsidRDefault="00CD587F">
      <w:pPr>
        <w:rPr>
          <w:rFonts w:asciiTheme="majorHAnsi" w:hAnsiTheme="majorHAnsi" w:cstheme="majorHAnsi"/>
        </w:rPr>
      </w:pPr>
      <w:r>
        <w:rPr>
          <w:rFonts w:asciiTheme="majorHAnsi" w:hAnsiTheme="majorHAnsi" w:cstheme="majorHAnsi"/>
        </w:rPr>
        <w:br w:type="page"/>
      </w:r>
    </w:p>
    <w:p w:rsidR="00CD587F" w:rsidRDefault="00C351F1" w:rsidP="00504374">
      <w:pPr>
        <w:jc w:val="both"/>
        <w:rPr>
          <w:rFonts w:asciiTheme="majorHAnsi" w:hAnsiTheme="majorHAnsi" w:cstheme="majorHAnsi"/>
          <w:b/>
        </w:rPr>
      </w:pPr>
      <w:r>
        <w:rPr>
          <w:rFonts w:asciiTheme="majorHAnsi" w:hAnsiTheme="majorHAnsi" w:cstheme="majorHAnsi"/>
          <w:b/>
          <w:noProof/>
        </w:rPr>
        <w:lastRenderedPageBreak/>
        <w:pict>
          <v:shape id="_x0000_i1037" type="#_x0000_t75" style="width:326.25pt;height:325.5pt">
            <v:imagedata r:id="rId23" o:title="complexStabilityEstimate"/>
          </v:shape>
        </w:pict>
      </w:r>
    </w:p>
    <w:p w:rsidR="00CF3C1B" w:rsidRDefault="00CD587F" w:rsidP="00504374">
      <w:pPr>
        <w:jc w:val="both"/>
        <w:rPr>
          <w:rFonts w:asciiTheme="majorHAnsi" w:hAnsiTheme="majorHAnsi" w:cstheme="majorHAnsi"/>
          <w:b/>
        </w:rPr>
      </w:pPr>
      <w:r>
        <w:rPr>
          <w:rFonts w:asciiTheme="majorHAnsi" w:hAnsiTheme="majorHAnsi" w:cstheme="majorHAnsi"/>
          <w:b/>
        </w:rPr>
        <w:t>Figure S8.</w:t>
      </w:r>
      <w:r w:rsidR="00F66D21">
        <w:rPr>
          <w:rFonts w:asciiTheme="majorHAnsi" w:hAnsiTheme="majorHAnsi" w:cstheme="majorHAnsi"/>
          <w:b/>
        </w:rPr>
        <w:t xml:space="preserve"> </w:t>
      </w:r>
      <w:r w:rsidR="00F66D21">
        <w:rPr>
          <w:rFonts w:asciiTheme="majorHAnsi" w:hAnsiTheme="majorHAnsi" w:cstheme="majorHAnsi"/>
        </w:rPr>
        <w:t xml:space="preserve">The ratio of </w:t>
      </w:r>
      <w:r w:rsidR="00CF3C1B">
        <w:rPr>
          <w:rFonts w:asciiTheme="majorHAnsi" w:hAnsiTheme="majorHAnsi" w:cstheme="majorHAnsi"/>
          <w:b/>
        </w:rPr>
        <w:br w:type="page"/>
      </w:r>
    </w:p>
    <w:p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3CEC38CA" wp14:editId="4D4B67A3">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w:pict>
              <v:group w14:anchorId="3CEC38CA" id="Group 35" o:spid="_x0000_s1036" style="position:absolute;left:0;text-align:left;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0D3B247" wp14:editId="346B345F">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w:pict>
              <v:group w14:anchorId="60D3B247"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87F"/>
    <w:rsid w:val="00031F3A"/>
    <w:rsid w:val="00042F11"/>
    <w:rsid w:val="00044576"/>
    <w:rsid w:val="00047FA0"/>
    <w:rsid w:val="00065026"/>
    <w:rsid w:val="000668AB"/>
    <w:rsid w:val="00066B20"/>
    <w:rsid w:val="00081F16"/>
    <w:rsid w:val="00082B36"/>
    <w:rsid w:val="000867BD"/>
    <w:rsid w:val="000B26C0"/>
    <w:rsid w:val="000E016E"/>
    <w:rsid w:val="000E31FA"/>
    <w:rsid w:val="000F047C"/>
    <w:rsid w:val="00101D64"/>
    <w:rsid w:val="00112CFC"/>
    <w:rsid w:val="00113F18"/>
    <w:rsid w:val="001400E2"/>
    <w:rsid w:val="00143FE0"/>
    <w:rsid w:val="0015344D"/>
    <w:rsid w:val="00155432"/>
    <w:rsid w:val="001707AE"/>
    <w:rsid w:val="001A49A2"/>
    <w:rsid w:val="001B6560"/>
    <w:rsid w:val="001C20EC"/>
    <w:rsid w:val="001C51D0"/>
    <w:rsid w:val="001D1790"/>
    <w:rsid w:val="001D4AE3"/>
    <w:rsid w:val="001E75F4"/>
    <w:rsid w:val="00223A76"/>
    <w:rsid w:val="00237E06"/>
    <w:rsid w:val="00241575"/>
    <w:rsid w:val="002443D0"/>
    <w:rsid w:val="0025683D"/>
    <w:rsid w:val="0026230D"/>
    <w:rsid w:val="00270D54"/>
    <w:rsid w:val="00272FF3"/>
    <w:rsid w:val="00276FC0"/>
    <w:rsid w:val="0029181E"/>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DF9"/>
    <w:rsid w:val="003F08F5"/>
    <w:rsid w:val="003F1D71"/>
    <w:rsid w:val="003F2504"/>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4D0AE6"/>
    <w:rsid w:val="004E0487"/>
    <w:rsid w:val="005009C2"/>
    <w:rsid w:val="00504374"/>
    <w:rsid w:val="005104C0"/>
    <w:rsid w:val="005117C4"/>
    <w:rsid w:val="00526BC6"/>
    <w:rsid w:val="00536F26"/>
    <w:rsid w:val="00543223"/>
    <w:rsid w:val="005478DA"/>
    <w:rsid w:val="00563D98"/>
    <w:rsid w:val="005704EE"/>
    <w:rsid w:val="005720C6"/>
    <w:rsid w:val="005725B1"/>
    <w:rsid w:val="00574BE2"/>
    <w:rsid w:val="00582129"/>
    <w:rsid w:val="005A7BA4"/>
    <w:rsid w:val="005C6C33"/>
    <w:rsid w:val="005F1DCF"/>
    <w:rsid w:val="005F5EFB"/>
    <w:rsid w:val="005F772F"/>
    <w:rsid w:val="006012E3"/>
    <w:rsid w:val="006043F9"/>
    <w:rsid w:val="0062220D"/>
    <w:rsid w:val="00633C1F"/>
    <w:rsid w:val="006479C4"/>
    <w:rsid w:val="00653A4E"/>
    <w:rsid w:val="00657B63"/>
    <w:rsid w:val="00667620"/>
    <w:rsid w:val="00677A09"/>
    <w:rsid w:val="00681DC6"/>
    <w:rsid w:val="00687C85"/>
    <w:rsid w:val="00690B7B"/>
    <w:rsid w:val="006A1879"/>
    <w:rsid w:val="006B024D"/>
    <w:rsid w:val="006C1847"/>
    <w:rsid w:val="006C7A50"/>
    <w:rsid w:val="00706049"/>
    <w:rsid w:val="00722B68"/>
    <w:rsid w:val="007565E7"/>
    <w:rsid w:val="00765788"/>
    <w:rsid w:val="00782A95"/>
    <w:rsid w:val="00782E1D"/>
    <w:rsid w:val="00787894"/>
    <w:rsid w:val="0079797F"/>
    <w:rsid w:val="007A00B2"/>
    <w:rsid w:val="007C120E"/>
    <w:rsid w:val="007C435E"/>
    <w:rsid w:val="007C5A41"/>
    <w:rsid w:val="007E3A6C"/>
    <w:rsid w:val="007E6034"/>
    <w:rsid w:val="007F2318"/>
    <w:rsid w:val="00803EB3"/>
    <w:rsid w:val="00804805"/>
    <w:rsid w:val="00827A42"/>
    <w:rsid w:val="00841B05"/>
    <w:rsid w:val="00861B35"/>
    <w:rsid w:val="0086594B"/>
    <w:rsid w:val="008806D1"/>
    <w:rsid w:val="008807CD"/>
    <w:rsid w:val="00883B0B"/>
    <w:rsid w:val="0089058B"/>
    <w:rsid w:val="00896D09"/>
    <w:rsid w:val="008A3CE1"/>
    <w:rsid w:val="008B1A72"/>
    <w:rsid w:val="008B1E20"/>
    <w:rsid w:val="008C03B5"/>
    <w:rsid w:val="008C67B8"/>
    <w:rsid w:val="008C7A7C"/>
    <w:rsid w:val="008C7C57"/>
    <w:rsid w:val="008E4DE5"/>
    <w:rsid w:val="008F235B"/>
    <w:rsid w:val="009273B0"/>
    <w:rsid w:val="00936059"/>
    <w:rsid w:val="009651F3"/>
    <w:rsid w:val="009652AA"/>
    <w:rsid w:val="00965420"/>
    <w:rsid w:val="009770CC"/>
    <w:rsid w:val="00980AF2"/>
    <w:rsid w:val="009B3AF2"/>
    <w:rsid w:val="009B5463"/>
    <w:rsid w:val="009B57A8"/>
    <w:rsid w:val="009D3005"/>
    <w:rsid w:val="009D74FB"/>
    <w:rsid w:val="009E563F"/>
    <w:rsid w:val="009E5990"/>
    <w:rsid w:val="009E5B8D"/>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51AEF"/>
    <w:rsid w:val="00B535CB"/>
    <w:rsid w:val="00B553A6"/>
    <w:rsid w:val="00B614C6"/>
    <w:rsid w:val="00B721EB"/>
    <w:rsid w:val="00B9671C"/>
    <w:rsid w:val="00BA53AD"/>
    <w:rsid w:val="00BB0C69"/>
    <w:rsid w:val="00BB313B"/>
    <w:rsid w:val="00BD2433"/>
    <w:rsid w:val="00BE3D23"/>
    <w:rsid w:val="00BE4B84"/>
    <w:rsid w:val="00BF4891"/>
    <w:rsid w:val="00C06710"/>
    <w:rsid w:val="00C12BBB"/>
    <w:rsid w:val="00C16D83"/>
    <w:rsid w:val="00C25F05"/>
    <w:rsid w:val="00C351F1"/>
    <w:rsid w:val="00C53CAB"/>
    <w:rsid w:val="00C61142"/>
    <w:rsid w:val="00C6542C"/>
    <w:rsid w:val="00C66364"/>
    <w:rsid w:val="00C73F8F"/>
    <w:rsid w:val="00C74806"/>
    <w:rsid w:val="00C769C3"/>
    <w:rsid w:val="00C81EF2"/>
    <w:rsid w:val="00C875BC"/>
    <w:rsid w:val="00C90718"/>
    <w:rsid w:val="00C91C83"/>
    <w:rsid w:val="00CA2C43"/>
    <w:rsid w:val="00CB6D0D"/>
    <w:rsid w:val="00CC6756"/>
    <w:rsid w:val="00CC765A"/>
    <w:rsid w:val="00CD587F"/>
    <w:rsid w:val="00CD6374"/>
    <w:rsid w:val="00CE02B6"/>
    <w:rsid w:val="00CF2B00"/>
    <w:rsid w:val="00CF3C1B"/>
    <w:rsid w:val="00D04A6D"/>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330E"/>
    <w:rsid w:val="00E26EAB"/>
    <w:rsid w:val="00E42290"/>
    <w:rsid w:val="00E507F2"/>
    <w:rsid w:val="00E63FA2"/>
    <w:rsid w:val="00E87AE7"/>
    <w:rsid w:val="00E91DBE"/>
    <w:rsid w:val="00E922DD"/>
    <w:rsid w:val="00E965F7"/>
    <w:rsid w:val="00EB5409"/>
    <w:rsid w:val="00EC658F"/>
    <w:rsid w:val="00EE3F64"/>
    <w:rsid w:val="00EF6630"/>
    <w:rsid w:val="00F053C3"/>
    <w:rsid w:val="00F17823"/>
    <w:rsid w:val="00F218B4"/>
    <w:rsid w:val="00F235DC"/>
    <w:rsid w:val="00F32DFA"/>
    <w:rsid w:val="00F340EB"/>
    <w:rsid w:val="00F360BB"/>
    <w:rsid w:val="00F419C4"/>
    <w:rsid w:val="00F42A11"/>
    <w:rsid w:val="00F54B35"/>
    <w:rsid w:val="00F66D21"/>
    <w:rsid w:val="00F70C61"/>
    <w:rsid w:val="00F802DD"/>
    <w:rsid w:val="00FB11F2"/>
    <w:rsid w:val="00FB1FE2"/>
    <w:rsid w:val="00FB3CD8"/>
    <w:rsid w:val="00FB4FF0"/>
    <w:rsid w:val="00FC4EE4"/>
    <w:rsid w:val="00FD3401"/>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55057"/>
  <w15:docId w15:val="{AFB2E5A5-602A-4356-8435-FA370A12B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49803240">
      <w:bodyDiv w:val="1"/>
      <w:marLeft w:val="0"/>
      <w:marRight w:val="0"/>
      <w:marTop w:val="0"/>
      <w:marBottom w:val="0"/>
      <w:divBdr>
        <w:top w:val="none" w:sz="0" w:space="0" w:color="auto"/>
        <w:left w:val="none" w:sz="0" w:space="0" w:color="auto"/>
        <w:bottom w:val="none" w:sz="0" w:space="0" w:color="auto"/>
        <w:right w:val="none" w:sz="0" w:space="0" w:color="auto"/>
      </w:divBdr>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andrewllakes@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rjabergel@lbl.go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3DC63-3128-452C-8BB8-F19FB2E0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23048</TotalTime>
  <Pages>35</Pages>
  <Words>5434</Words>
  <Characters>30974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 Lakes</cp:lastModifiedBy>
  <cp:revision>98</cp:revision>
  <dcterms:created xsi:type="dcterms:W3CDTF">2019-07-16T19:51:00Z</dcterms:created>
  <dcterms:modified xsi:type="dcterms:W3CDTF">2019-08-06T17:50:00Z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