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504374">
      <w:pPr>
        <w:spacing w:line="480" w:lineRule="auto"/>
        <w:jc w:val="both"/>
        <w:rPr>
          <w:rFonts w:asciiTheme="majorHAnsi" w:hAnsiTheme="majorHAnsi" w:cstheme="majorHAnsi"/>
          <w:b/>
        </w:rPr>
      </w:pPr>
    </w:p>
    <w:p w:rsidR="008C67B8" w:rsidRPr="00C06710" w:rsidRDefault="004D0AE6" w:rsidP="00504374">
      <w:pPr>
        <w:spacing w:line="480" w:lineRule="auto"/>
        <w:jc w:val="both"/>
        <w:rPr>
          <w:rFonts w:asciiTheme="majorHAnsi" w:hAnsiTheme="majorHAnsi" w:cstheme="majorHAnsi"/>
          <w:b/>
        </w:rPr>
      </w:pPr>
      <w:r>
        <w:rPr>
          <w:rFonts w:asciiTheme="majorHAnsi" w:hAnsiTheme="majorHAnsi" w:cstheme="majorHAnsi"/>
          <w:b/>
        </w:rPr>
        <w:t>Ac-227 Dose of Accelerator Generated</w:t>
      </w:r>
      <w:r w:rsidR="00C91C83">
        <w:rPr>
          <w:rFonts w:asciiTheme="majorHAnsi" w:hAnsiTheme="majorHAnsi" w:cstheme="majorHAnsi"/>
          <w:b/>
        </w:rPr>
        <w:t xml:space="preserve"> Ac-225 in Mice</w:t>
      </w:r>
    </w:p>
    <w:p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504374">
      <w:pPr>
        <w:spacing w:line="480" w:lineRule="auto"/>
        <w:jc w:val="both"/>
        <w:rPr>
          <w:rFonts w:asciiTheme="majorHAnsi" w:hAnsiTheme="majorHAnsi" w:cstheme="majorHAnsi"/>
        </w:rPr>
      </w:pPr>
    </w:p>
    <w:p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504374">
      <w:pPr>
        <w:spacing w:line="480" w:lineRule="auto"/>
        <w:jc w:val="both"/>
        <w:rPr>
          <w:rFonts w:asciiTheme="majorHAnsi" w:hAnsiTheme="majorHAnsi" w:cstheme="majorHAnsi"/>
          <w:b/>
        </w:rPr>
      </w:pPr>
    </w:p>
    <w:p w:rsidR="00C12BBB" w:rsidRDefault="00C12BBB" w:rsidP="00504374">
      <w:pPr>
        <w:spacing w:line="480" w:lineRule="auto"/>
        <w:jc w:val="both"/>
        <w:rPr>
          <w:rFonts w:asciiTheme="majorHAnsi" w:hAnsiTheme="majorHAnsi" w:cstheme="majorHAnsi"/>
          <w:b/>
        </w:rPr>
      </w:pPr>
    </w:p>
    <w:p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With three different Ac-225 constructs, we model the worst case scenario future dose rate for Ac-227 contamination in Ac-225 doses in mice out to one Ac-227 half life, 21.77 years.</w:t>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504374">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(plotoutpower) –Activity maximum</w:t>
      </w:r>
      <w:r w:rsidRPr="009E5B8D">
        <w:rPr>
          <w:rFonts w:asciiTheme="majorHAnsi" w:hAnsiTheme="majorHAnsi" w:cstheme="majorHAnsi"/>
        </w:rPr>
        <w:t xml:space="preserve"> is 13.68 hours (plotout) Ac-225- 200 uCi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504374">
      <w:pPr>
        <w:spacing w:line="480" w:lineRule="auto"/>
        <w:jc w:val="both"/>
        <w:rPr>
          <w:rFonts w:asciiTheme="majorHAnsi" w:hAnsiTheme="majorHAnsi" w:cstheme="majorHAnsi"/>
        </w:rPr>
      </w:pPr>
    </w:p>
    <w:p w:rsidR="009E5B8D" w:rsidRPr="00C06710" w:rsidRDefault="009E5B8D" w:rsidP="00504374">
      <w:pPr>
        <w:spacing w:line="480" w:lineRule="auto"/>
        <w:jc w:val="both"/>
        <w:rPr>
          <w:rFonts w:asciiTheme="majorHAnsi" w:hAnsiTheme="majorHAnsi" w:cstheme="majorHAnsi"/>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CF2B00">
        <w:rPr>
          <w:rFonts w:asciiTheme="majorHAnsi" w:hAnsiTheme="majorHAnsi" w:cstheme="majorHAnsi"/>
        </w:rPr>
        <w:lastRenderedPageBreak/>
        <w:t>0.879 Gy/day (95% CI 0.708-1.05 Gy/day) for Trastuzumab-DOTA-Ac-225 (</w:t>
      </w:r>
      <w:r w:rsidR="00CF2B00">
        <w:rPr>
          <w:rFonts w:asciiTheme="majorHAnsi" w:hAnsiTheme="majorHAnsi" w:cstheme="majorHAnsi"/>
          <w:b/>
        </w:rPr>
        <w:t>Figure 3E</w:t>
      </w:r>
      <w:r w:rsidR="00CF2B00">
        <w:rPr>
          <w:rFonts w:asciiTheme="majorHAnsi" w:hAnsiTheme="majorHAnsi" w:cstheme="majorHAnsi"/>
        </w:rPr>
        <w:t>), and at 200 days 0.0579 Gy/day (95% CI 0.0509-0.0649 Gy/day) for Trastuzumab-DOTA-Ac-227 (</w:t>
      </w:r>
      <w:r w:rsidR="00CF2B00">
        <w:rPr>
          <w:rFonts w:asciiTheme="majorHAnsi" w:hAnsiTheme="majorHAnsi" w:cstheme="majorHAnsi"/>
          <w:b/>
        </w:rPr>
        <w:t>Figure 3F</w:t>
      </w:r>
      <w:r w:rsidR="00CF2B00">
        <w:rPr>
          <w:rFonts w:asciiTheme="majorHAnsi" w:hAnsiTheme="majorHAnsi" w:cstheme="majorHAnsi"/>
        </w:rPr>
        <w:t>).</w:t>
      </w:r>
    </w:p>
    <w:p w:rsidR="00C74806" w:rsidRDefault="00C74806" w:rsidP="00504374">
      <w:pPr>
        <w:jc w:val="both"/>
        <w:rPr>
          <w:rFonts w:asciiTheme="majorHAnsi" w:hAnsiTheme="majorHAnsi" w:cstheme="majorHAnsi"/>
          <w:b/>
          <w:sz w:val="24"/>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8806D1">
        <w:rPr>
          <w:rFonts w:asciiTheme="majorHAnsi" w:hAnsiTheme="majorHAnsi" w:cstheme="majorHAnsi"/>
        </w:rPr>
        <w:t xml:space="preserve">in time </w:t>
      </w:r>
      <w:r w:rsidR="005F772F">
        <w:rPr>
          <w:rFonts w:asciiTheme="majorHAnsi" w:hAnsiTheme="majorHAnsi" w:cstheme="majorHAnsi"/>
        </w:rPr>
        <w:t>as a worst case scenario estimate</w:t>
      </w:r>
      <w:r w:rsidR="00B9671C">
        <w:rPr>
          <w:rFonts w:asciiTheme="majorHAnsi" w:hAnsiTheme="majorHAnsi" w:cstheme="majorHAnsi"/>
        </w:rPr>
        <w:t xml:space="preserve"> (with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w:t>
      </w:r>
      <w:r w:rsidR="001241BF">
        <w:rPr>
          <w:rFonts w:asciiTheme="majorHAnsi" w:hAnsiTheme="majorHAnsi" w:cstheme="majorHAnsi"/>
        </w:rPr>
        <w:t>MTD</w:t>
      </w:r>
      <w:r w:rsidR="00FC4EE4">
        <w:rPr>
          <w:rFonts w:asciiTheme="majorHAnsi" w:hAnsiTheme="majorHAnsi" w:cstheme="majorHAnsi"/>
        </w:rPr>
        <w:t xml:space="preserve"> is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w:t>
      </w:r>
      <w:r w:rsidR="00E2330E">
        <w:rPr>
          <w:rFonts w:asciiTheme="majorHAnsi" w:hAnsiTheme="majorHAnsi" w:cstheme="majorHAnsi"/>
        </w:rPr>
        <w:t xml:space="preserve"> administered to NOD SCID mice</w:t>
      </w:r>
      <w:r>
        <w:rPr>
          <w:rFonts w:asciiTheme="majorHAnsi" w:hAnsiTheme="majorHAnsi" w:cstheme="majorHAnsi"/>
        </w:rPr>
        <w:t xml:space="preserve"> showed </w:t>
      </w:r>
      <w:r w:rsidR="00E2330E">
        <w:rPr>
          <w:rFonts w:asciiTheme="majorHAnsi" w:hAnsiTheme="majorHAnsi" w:cstheme="majorHAnsi"/>
        </w:rPr>
        <w:t>the anticipated</w:t>
      </w:r>
      <w:r>
        <w:rPr>
          <w:rFonts w:asciiTheme="majorHAnsi" w:hAnsiTheme="majorHAnsi" w:cstheme="majorHAnsi"/>
        </w:rPr>
        <w:t xml:space="preserve"> biodistribution</w:t>
      </w:r>
      <w:r w:rsidR="00E2330E">
        <w:rPr>
          <w:rFonts w:asciiTheme="majorHAnsi" w:hAnsiTheme="majorHAnsi" w:cstheme="majorHAnsi"/>
        </w:rPr>
        <w:t>,</w:t>
      </w:r>
      <w:r>
        <w:rPr>
          <w:rFonts w:asciiTheme="majorHAnsi" w:hAnsiTheme="majorHAnsi" w:cstheme="majorHAnsi"/>
        </w:rPr>
        <w:t xml:space="preserve">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lt;/sup&gt;","plainTextFormattedCitation":"2","previouslyFormattedCitation":"&lt;sup&gt;2&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2</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b/>
        </w:rPr>
        <w:t>Figure 2</w:t>
      </w:r>
      <w:r w:rsidR="005117C4">
        <w:rPr>
          <w:rFonts w:asciiTheme="majorHAnsi" w:hAnsiTheme="majorHAnsi" w:cstheme="majorHAnsi"/>
        </w:rPr>
        <w:t>)</w:t>
      </w:r>
      <w:r w:rsidR="00272FF3">
        <w:rPr>
          <w:rFonts w:asciiTheme="majorHAnsi" w:hAnsiTheme="majorHAnsi" w:cstheme="majorHAnsi"/>
        </w:rPr>
        <w:t xml:space="preserve">. </w:t>
      </w:r>
      <w:r>
        <w:rPr>
          <w:rFonts w:asciiTheme="majorHAnsi" w:hAnsiTheme="majorHAnsi" w:cstheme="majorHAnsi"/>
        </w:rPr>
        <w:t>Also typical was DOTA-Ac complex biodistribution</w:t>
      </w:r>
      <w:r w:rsidR="005117C4">
        <w:rPr>
          <w:rFonts w:asciiTheme="majorHAnsi" w:hAnsiTheme="majorHAnsi" w:cstheme="majorHAnsi"/>
        </w:rPr>
        <w:t xml:space="preserve"> in healthy Swiss-Webster mice</w:t>
      </w:r>
      <w:r>
        <w:rPr>
          <w:rFonts w:asciiTheme="majorHAnsi" w:hAnsiTheme="majorHAnsi" w:cstheme="majorHAnsi"/>
        </w:rPr>
        <w:t>, where</w:t>
      </w:r>
      <w:r w:rsidR="002E414A">
        <w:rPr>
          <w:rFonts w:asciiTheme="majorHAnsi" w:hAnsiTheme="majorHAnsi" w:cstheme="majorHAnsi"/>
        </w:rPr>
        <w:t xml:space="preserve"> </w:t>
      </w:r>
      <w:r>
        <w:rPr>
          <w:rFonts w:asciiTheme="majorHAnsi" w:hAnsiTheme="majorHAnsi" w:cstheme="majorHAnsi"/>
        </w:rPr>
        <w:t xml:space="preserve">DOTA </w:t>
      </w:r>
      <w:r w:rsidR="005117C4">
        <w:rPr>
          <w:rFonts w:asciiTheme="majorHAnsi" w:hAnsiTheme="majorHAnsi" w:cstheme="majorHAnsi"/>
        </w:rPr>
        <w:t>displayed</w:t>
      </w:r>
      <w:r w:rsidR="002E414A">
        <w:rPr>
          <w:rFonts w:asciiTheme="majorHAnsi" w:hAnsiTheme="majorHAnsi" w:cstheme="majorHAnsi"/>
        </w:rPr>
        <w:t xml:space="preserve"> rapid </w:t>
      </w:r>
      <w:r w:rsidR="005117C4">
        <w:rPr>
          <w:rFonts w:asciiTheme="majorHAnsi" w:hAnsiTheme="majorHAnsi" w:cstheme="majorHAnsi"/>
        </w:rPr>
        <w:t xml:space="preserve">renal </w:t>
      </w:r>
      <w:r w:rsidR="002E414A">
        <w:rPr>
          <w:rFonts w:asciiTheme="majorHAnsi" w:hAnsiTheme="majorHAnsi" w:cstheme="majorHAnsi"/>
        </w:rPr>
        <w:t>clearance</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3&lt;/sup&gt;","plainTextFormattedCitation":"3","previouslyFormattedCitation":"&lt;sup&gt;3&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3</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b/>
        </w:rPr>
        <w:t>Figure 2</w:t>
      </w:r>
      <w:r w:rsidR="005117C4">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5117C4">
        <w:rPr>
          <w:rFonts w:asciiTheme="majorHAnsi" w:hAnsiTheme="majorHAnsi" w:cstheme="majorHAnsi"/>
        </w:rPr>
        <w:t>While there is higher kidney distribution than other organs, the rapid</w:t>
      </w:r>
      <w:r>
        <w:rPr>
          <w:rFonts w:asciiTheme="majorHAnsi" w:hAnsiTheme="majorHAnsi" w:cstheme="majorHAnsi"/>
        </w:rPr>
        <w:t xml:space="preserve"> renal clearance</w:t>
      </w:r>
      <w:r w:rsidR="005117C4">
        <w:rPr>
          <w:rFonts w:asciiTheme="majorHAnsi" w:hAnsiTheme="majorHAnsi" w:cstheme="majorHAnsi"/>
        </w:rPr>
        <w:t xml:space="preserve"> resulted</w:t>
      </w:r>
      <w:r w:rsidR="00DF21AC">
        <w:rPr>
          <w:rFonts w:asciiTheme="majorHAnsi" w:hAnsiTheme="majorHAnsi" w:cstheme="majorHAnsi"/>
        </w:rPr>
        <w:t xml:space="preserve"> in </w:t>
      </w:r>
      <w:r w:rsidR="005117C4">
        <w:rPr>
          <w:rFonts w:asciiTheme="majorHAnsi" w:hAnsiTheme="majorHAnsi" w:cstheme="majorHAnsi"/>
        </w:rPr>
        <w:t>over</w:t>
      </w:r>
      <w:r w:rsidR="00BB0C69">
        <w:rPr>
          <w:rFonts w:asciiTheme="majorHAnsi" w:hAnsiTheme="majorHAnsi" w:cstheme="majorHAnsi"/>
        </w:rPr>
        <w:t xml:space="preserve"> an order of magnitude lower </w:t>
      </w:r>
      <w:r w:rsidR="00DF21AC">
        <w:rPr>
          <w:rFonts w:asciiTheme="majorHAnsi" w:hAnsiTheme="majorHAnsi" w:cstheme="majorHAnsi"/>
        </w:rPr>
        <w:t>kidney dose</w:t>
      </w:r>
      <w:r w:rsidR="005117C4">
        <w:rPr>
          <w:rFonts w:asciiTheme="majorHAnsi" w:hAnsiTheme="majorHAnsi" w:cstheme="majorHAnsi"/>
        </w:rPr>
        <w:t xml:space="preserve"> (</w:t>
      </w:r>
      <w:r w:rsidR="00BB0C69">
        <w:rPr>
          <w:rFonts w:asciiTheme="majorHAnsi" w:hAnsiTheme="majorHAnsi" w:cstheme="majorHAnsi"/>
          <w:b/>
        </w:rPr>
        <w:t>Figure 4</w:t>
      </w:r>
      <w:r w:rsidR="00BB0C69">
        <w:rPr>
          <w:rFonts w:asciiTheme="majorHAnsi" w:hAnsiTheme="majorHAnsi" w:cstheme="majorHAnsi"/>
        </w:rPr>
        <w:t>)</w:t>
      </w:r>
      <w:r w:rsidR="00DF21AC">
        <w:rPr>
          <w:rFonts w:asciiTheme="majorHAnsi" w:hAnsiTheme="majorHAnsi" w:cstheme="majorHAnsi"/>
        </w:rPr>
        <w:t xml:space="preserve">, and is </w:t>
      </w:r>
      <w:r w:rsidR="00C609DD">
        <w:rPr>
          <w:rFonts w:asciiTheme="majorHAnsi" w:hAnsiTheme="majorHAnsi" w:cstheme="majorHAnsi"/>
        </w:rPr>
        <w:t xml:space="preserve">likely </w:t>
      </w:r>
      <w:r w:rsidR="005117C4">
        <w:rPr>
          <w:rFonts w:asciiTheme="majorHAnsi" w:hAnsiTheme="majorHAnsi" w:cstheme="majorHAnsi"/>
        </w:rPr>
        <w:t>more</w:t>
      </w:r>
      <w:r w:rsidR="00DF21AC">
        <w:rPr>
          <w:rFonts w:asciiTheme="majorHAnsi" w:hAnsiTheme="majorHAnsi" w:cstheme="majorHAnsi"/>
        </w:rPr>
        <w:t xml:space="preserve"> tolera</w:t>
      </w:r>
      <w:r w:rsidR="00BB0C69">
        <w:rPr>
          <w:rFonts w:asciiTheme="majorHAnsi" w:hAnsiTheme="majorHAnsi" w:cstheme="majorHAnsi"/>
        </w:rPr>
        <w:t xml:space="preserve">ted </w:t>
      </w:r>
      <w:r w:rsidR="005117C4">
        <w:rPr>
          <w:rFonts w:asciiTheme="majorHAnsi" w:hAnsiTheme="majorHAnsi" w:cstheme="majorHAnsi"/>
        </w:rPr>
        <w:t xml:space="preserve">in terms of chronic toxicity </w:t>
      </w:r>
      <w:r w:rsidR="00BB0C69">
        <w:rPr>
          <w:rFonts w:asciiTheme="majorHAnsi" w:hAnsiTheme="majorHAnsi" w:cstheme="majorHAnsi"/>
        </w:rPr>
        <w:t>than in antibody drug conju</w:t>
      </w:r>
      <w:r w:rsidR="00DF21AC">
        <w:rPr>
          <w:rFonts w:asciiTheme="majorHAnsi" w:hAnsiTheme="majorHAnsi" w:cstheme="majorHAnsi"/>
        </w:rPr>
        <w:t>gates</w:t>
      </w:r>
      <w:r w:rsidR="005117C4">
        <w:rPr>
          <w:rFonts w:asciiTheme="majorHAnsi" w:hAnsiTheme="majorHAnsi" w:cstheme="majorHAnsi"/>
        </w:rPr>
        <w:t xml:space="preserve"> / radioimmunoconjugates due to the long half-life of Ac-225 and Ac-227</w:t>
      </w:r>
      <w:r w:rsidR="00DF21AC">
        <w:rPr>
          <w:rFonts w:asciiTheme="majorHAnsi" w:hAnsiTheme="majorHAnsi" w:cstheme="majorHAnsi"/>
        </w:rPr>
        <w:t>.</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C609DD">
        <w:rPr>
          <w:rFonts w:asciiTheme="majorHAnsi" w:hAnsiTheme="majorHAnsi" w:cstheme="majorHAnsi"/>
        </w:rPr>
        <w:t xml:space="preserve">primarily </w:t>
      </w:r>
      <w:r w:rsidR="00270D54">
        <w:rPr>
          <w:rFonts w:asciiTheme="majorHAnsi" w:hAnsiTheme="majorHAnsi" w:cstheme="majorHAnsi"/>
        </w:rPr>
        <w:t>hepatic clearance</w:t>
      </w:r>
      <w:r w:rsidR="005117C4">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4&lt;/sup&gt;","plainTextFormattedCitation":"4","previouslyFormattedCitation":"&lt;sup&gt;4&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4</w:t>
      </w:r>
      <w:r w:rsidR="00047FA0">
        <w:rPr>
          <w:rFonts w:asciiTheme="majorHAnsi" w:hAnsiTheme="majorHAnsi" w:cstheme="majorHAnsi"/>
        </w:rPr>
        <w:fldChar w:fldCharType="end"/>
      </w:r>
      <w:r w:rsidR="00B553A6">
        <w:rPr>
          <w:rFonts w:asciiTheme="majorHAnsi" w:hAnsiTheme="majorHAnsi" w:cstheme="majorHAnsi"/>
        </w:rPr>
        <w:t>, and accordingly the</w:t>
      </w:r>
      <w:r w:rsidR="00270D54">
        <w:rPr>
          <w:rFonts w:asciiTheme="majorHAnsi" w:hAnsiTheme="majorHAnsi" w:cstheme="majorHAnsi"/>
        </w:rPr>
        <w:t xml:space="preserve"> liver show</w:t>
      </w:r>
      <w:r w:rsidR="00B553A6">
        <w:rPr>
          <w:rFonts w:asciiTheme="majorHAnsi" w:hAnsiTheme="majorHAnsi" w:cstheme="majorHAnsi"/>
        </w:rPr>
        <w:t>ed</w:t>
      </w:r>
      <w:r w:rsidR="00270D54">
        <w:rPr>
          <w:rFonts w:asciiTheme="majorHAnsi" w:hAnsiTheme="majorHAnsi" w:cstheme="majorHAnsi"/>
        </w:rPr>
        <w:t xml:space="preserve"> the largest portions of distribution</w:t>
      </w:r>
      <w:r w:rsidR="005117C4">
        <w:rPr>
          <w:rFonts w:asciiTheme="majorHAnsi" w:hAnsiTheme="majorHAnsi" w:cstheme="majorHAnsi"/>
        </w:rPr>
        <w:t xml:space="preserve"> (</w:t>
      </w:r>
      <w:r w:rsidR="005117C4" w:rsidRPr="005117C4">
        <w:rPr>
          <w:rFonts w:asciiTheme="majorHAnsi" w:hAnsiTheme="majorHAnsi" w:cstheme="majorHAnsi"/>
          <w:b/>
        </w:rPr>
        <w:t>Figure S</w:t>
      </w:r>
      <w:r w:rsidR="005117C4">
        <w:rPr>
          <w:rFonts w:asciiTheme="majorHAnsi" w:hAnsiTheme="majorHAnsi" w:cstheme="majorHAnsi"/>
          <w:b/>
        </w:rPr>
        <w:t>3</w:t>
      </w:r>
      <w:r w:rsidR="005117C4">
        <w:rPr>
          <w:rFonts w:asciiTheme="majorHAnsi" w:hAnsiTheme="majorHAnsi" w:cstheme="majorHAnsi"/>
        </w:rPr>
        <w:t>)</w:t>
      </w:r>
      <w:r w:rsidR="00044576">
        <w:rPr>
          <w:rFonts w:asciiTheme="majorHAnsi" w:hAnsiTheme="majorHAnsi" w:cstheme="majorHAnsi"/>
        </w:rPr>
        <w:t>.</w:t>
      </w:r>
    </w:p>
    <w:p w:rsidR="007E09D5" w:rsidRDefault="00CE02B6" w:rsidP="009D74FB">
      <w:pPr>
        <w:spacing w:line="480" w:lineRule="auto"/>
        <w:jc w:val="both"/>
        <w:rPr>
          <w:rFonts w:asciiTheme="majorHAnsi" w:hAnsiTheme="majorHAnsi" w:cstheme="majorHAnsi"/>
        </w:rPr>
      </w:pPr>
      <w:r>
        <w:rPr>
          <w:rFonts w:asciiTheme="majorHAnsi" w:hAnsiTheme="majorHAnsi" w:cstheme="majorHAnsi"/>
        </w:rPr>
        <w:lastRenderedPageBreak/>
        <w:t xml:space="preserve">In general, low </w:t>
      </w:r>
      <w:r w:rsidR="008A6021">
        <w:rPr>
          <w:rFonts w:asciiTheme="majorHAnsi" w:hAnsiTheme="majorHAnsi" w:cstheme="majorHAnsi"/>
        </w:rPr>
        <w:t>linear energy transfer (</w:t>
      </w:r>
      <w:r>
        <w:rPr>
          <w:rFonts w:asciiTheme="majorHAnsi" w:hAnsiTheme="majorHAnsi" w:cstheme="majorHAnsi"/>
        </w:rPr>
        <w:t>LET</w:t>
      </w:r>
      <w:r w:rsidR="008A6021">
        <w:rPr>
          <w:rFonts w:asciiTheme="majorHAnsi" w:hAnsiTheme="majorHAnsi" w:cstheme="majorHAnsi"/>
        </w:rPr>
        <w:t>)</w:t>
      </w:r>
      <w:r>
        <w:rPr>
          <w:rFonts w:asciiTheme="majorHAnsi" w:hAnsiTheme="majorHAnsi" w:cstheme="majorHAnsi"/>
        </w:rPr>
        <w:t xml:space="preserve">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However, high LET radiation retains its potency even at low doses due to direct DNA lesion mechanisms</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112DE">
        <w:rPr>
          <w:rFonts w:asciiTheme="majorHAnsi" w:hAnsiTheme="majorHAnsi" w:cstheme="majorHAnsi"/>
        </w:rPr>
        <w:t>, and thus long term radiation exposure from low-level alpha dose could be a serious issue with accelerator generated Ac-225.</w:t>
      </w:r>
      <w:r w:rsidR="005478DA">
        <w:rPr>
          <w:rFonts w:asciiTheme="majorHAnsi" w:hAnsiTheme="majorHAnsi" w:cstheme="majorHAnsi"/>
        </w:rPr>
        <w:t xml:space="preserve"> </w:t>
      </w:r>
      <w:r w:rsidR="009D74FB">
        <w:rPr>
          <w:rFonts w:asciiTheme="majorHAnsi" w:hAnsiTheme="majorHAnsi" w:cstheme="majorHAnsi"/>
        </w:rPr>
        <w:t>In the Unites States, the annual radiation exposure limits for radiation workers is 50 mSv for whole body exposure</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F95432">
        <w:rPr>
          <w:rFonts w:asciiTheme="majorHAnsi" w:hAnsiTheme="majorHAnsi" w:cstheme="majorHAnsi"/>
        </w:rPr>
        <w:instrText>ADDIN CSL_CITATION {"citationItems":[{"id":"ITEM-1","itemData":{"author":[{"dropping-particle":"","family":"U.S.NRC","given":"","non-dropping-particle":"","parse-names":false,"suffix":""}],"id":"ITEM-1","issued":{"date-parts":[["0"]]},"title":"NRC Regulations 10 CFR Subpart C--Occupational Dose Limits--20.1201","type":"report"},"uris":["http://www.mendeley.com/documents/?uuid=ffd5284d-023e-40e4-a239-ee2af2d3c4af"]}],"mendeley":{"formattedCitation":"&lt;sup&gt;6&lt;/sup&gt;","plainTextFormattedCitation":"6","previouslyFormattedCitation":"&lt;sup&gt;6&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6</w:t>
      </w:r>
      <w:r w:rsidR="00137814">
        <w:rPr>
          <w:rFonts w:asciiTheme="majorHAnsi" w:hAnsiTheme="majorHAnsi" w:cstheme="majorHAnsi"/>
        </w:rPr>
        <w:fldChar w:fldCharType="end"/>
      </w:r>
      <w:r w:rsidR="009D74FB">
        <w:rPr>
          <w:rFonts w:asciiTheme="majorHAnsi" w:hAnsiTheme="majorHAnsi" w:cstheme="majorHAnsi"/>
        </w:rPr>
        <w:t>, which if taken as alpha radiation (</w:t>
      </w:r>
      <w:r w:rsidR="007E09D5">
        <w:rPr>
          <w:rFonts w:asciiTheme="majorHAnsi" w:hAnsiTheme="majorHAnsi" w:cstheme="majorHAnsi"/>
        </w:rPr>
        <w:t>10</w:t>
      </w:r>
      <w:r w:rsidR="009D74FB">
        <w:rPr>
          <w:rFonts w:asciiTheme="majorHAnsi" w:hAnsiTheme="majorHAnsi" w:cstheme="majorHAnsi"/>
        </w:rPr>
        <w:t xml:space="preserve">:1 </w:t>
      </w:r>
      <w:r w:rsidR="007E09D5">
        <w:rPr>
          <w:rFonts w:asciiTheme="majorHAnsi" w:hAnsiTheme="majorHAnsi" w:cstheme="majorHAnsi"/>
        </w:rPr>
        <w:t xml:space="preserve">average </w:t>
      </w:r>
      <w:r w:rsidR="009D74FB">
        <w:rPr>
          <w:rFonts w:asciiTheme="majorHAnsi" w:hAnsiTheme="majorHAnsi" w:cstheme="majorHAnsi"/>
        </w:rPr>
        <w:t>equivalenc</w:t>
      </w:r>
      <w:r w:rsidR="002474C9">
        <w:rPr>
          <w:rFonts w:asciiTheme="majorHAnsi" w:hAnsiTheme="majorHAnsi" w:cstheme="majorHAnsi"/>
        </w:rPr>
        <w:t>y for Sv:Gy with alpha:gamma</w:t>
      </w:r>
      <w:r w:rsidR="005112DE">
        <w:rPr>
          <w:rFonts w:asciiTheme="majorHAnsi" w:hAnsiTheme="majorHAnsi" w:cstheme="majorHAnsi"/>
        </w:rPr>
        <w:t xml:space="preserve"> for internal organs </w:t>
      </w:r>
      <w:r w:rsidR="007E09D5">
        <w:rPr>
          <w:rFonts w:asciiTheme="majorHAnsi" w:hAnsiTheme="majorHAnsi" w:cstheme="majorHAnsi"/>
        </w:rPr>
        <w:fldChar w:fldCharType="begin" w:fldLock="1"/>
      </w:r>
      <w:r w:rsidR="007E09D5">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7&lt;/sup&gt;","plainTextFormattedCitation":"7"},"properties":{"noteIndex":0},"schema":"https://github.com/citation-style-language/schema/raw/master/csl-citation.json"}</w:instrText>
      </w:r>
      <w:r w:rsidR="007E09D5">
        <w:rPr>
          <w:rFonts w:asciiTheme="majorHAnsi" w:hAnsiTheme="majorHAnsi" w:cstheme="majorHAnsi"/>
        </w:rPr>
        <w:fldChar w:fldCharType="separate"/>
      </w:r>
      <w:r w:rsidR="007E09D5" w:rsidRPr="007E09D5">
        <w:rPr>
          <w:rFonts w:asciiTheme="majorHAnsi" w:hAnsiTheme="majorHAnsi" w:cstheme="majorHAnsi"/>
          <w:noProof/>
          <w:vertAlign w:val="superscript"/>
        </w:rPr>
        <w:t>7</w:t>
      </w:r>
      <w:r w:rsidR="007E09D5">
        <w:rPr>
          <w:rFonts w:asciiTheme="majorHAnsi" w:hAnsiTheme="majorHAnsi" w:cstheme="majorHAnsi"/>
        </w:rPr>
        <w:fldChar w:fldCharType="end"/>
      </w:r>
      <w:r w:rsidR="009D74FB">
        <w:rPr>
          <w:rFonts w:asciiTheme="majorHAnsi" w:hAnsiTheme="majorHAnsi" w:cstheme="majorHAnsi"/>
        </w:rPr>
        <w:t>), is the equiva</w:t>
      </w:r>
      <w:r w:rsidR="00CC1637">
        <w:rPr>
          <w:rFonts w:asciiTheme="majorHAnsi" w:hAnsiTheme="majorHAnsi" w:cstheme="majorHAnsi"/>
        </w:rPr>
        <w:t xml:space="preserve">lence of approximately </w:t>
      </w:r>
      <w:r w:rsidR="007E09D5">
        <w:rPr>
          <w:rFonts w:asciiTheme="majorHAnsi" w:hAnsiTheme="majorHAnsi" w:cstheme="majorHAnsi"/>
        </w:rPr>
        <w:t>5</w:t>
      </w:r>
      <w:r w:rsidR="00CC1637">
        <w:rPr>
          <w:rFonts w:asciiTheme="majorHAnsi" w:hAnsiTheme="majorHAnsi" w:cstheme="majorHAnsi"/>
        </w:rPr>
        <w:t xml:space="preserve"> mGy</w:t>
      </w:r>
      <w:r w:rsidR="002474C9">
        <w:rPr>
          <w:rFonts w:asciiTheme="majorHAnsi" w:hAnsiTheme="majorHAnsi" w:cstheme="majorHAnsi"/>
        </w:rPr>
        <w:t xml:space="preserve"> alpha</w:t>
      </w:r>
      <w:r w:rsidR="00CC1637">
        <w:rPr>
          <w:rFonts w:asciiTheme="majorHAnsi" w:hAnsiTheme="majorHAnsi" w:cstheme="majorHAnsi"/>
        </w:rPr>
        <w:t xml:space="preserve">. </w:t>
      </w:r>
      <w:r w:rsidR="009D74FB">
        <w:rPr>
          <w:rFonts w:asciiTheme="majorHAnsi" w:hAnsiTheme="majorHAnsi" w:cstheme="majorHAnsi"/>
        </w:rPr>
        <w:t>At this dose exposure, the risk of death is not measurably increased. In terms of radiotherapy, however, dose is much higher, as are chances of side effects. This is due to the high risk factor of the disease being treated, and thus radiotherapy side effects are outweighed</w:t>
      </w:r>
      <w:r w:rsidR="005A5B0B">
        <w:rPr>
          <w:rFonts w:asciiTheme="majorHAnsi" w:hAnsiTheme="majorHAnsi" w:cstheme="majorHAnsi"/>
        </w:rPr>
        <w:t>.</w:t>
      </w:r>
      <w:r w:rsidR="00026BE2">
        <w:rPr>
          <w:rFonts w:asciiTheme="majorHAnsi" w:hAnsiTheme="majorHAnsi" w:cstheme="majorHAnsi"/>
        </w:rPr>
        <w:t xml:space="preserve"> </w:t>
      </w:r>
      <w:r w:rsidR="007E09D5">
        <w:rPr>
          <w:rFonts w:asciiTheme="majorHAnsi" w:hAnsiTheme="majorHAnsi" w:cstheme="majorHAnsi"/>
        </w:rPr>
        <w:t>These</w:t>
      </w:r>
      <w:r w:rsidR="00026BE2">
        <w:rPr>
          <w:rFonts w:asciiTheme="majorHAnsi" w:hAnsiTheme="majorHAnsi" w:cstheme="majorHAnsi"/>
        </w:rPr>
        <w:t xml:space="preserve"> toxic side effects drive the maximum tolerated dose, and are a vital outcome for patient wellbeing and efficacy. While some side effects are </w:t>
      </w:r>
      <w:r w:rsidR="007E09D5">
        <w:rPr>
          <w:rFonts w:asciiTheme="majorHAnsi" w:hAnsiTheme="majorHAnsi" w:cstheme="majorHAnsi"/>
        </w:rPr>
        <w:t xml:space="preserve">dose limiting </w:t>
      </w:r>
      <w:r w:rsidR="00026BE2">
        <w:rPr>
          <w:rFonts w:asciiTheme="majorHAnsi" w:hAnsiTheme="majorHAnsi" w:cstheme="majorHAnsi"/>
        </w:rPr>
        <w:t>due to unbearable discomfort, such as xerostomia, others are life threatening, such as renal and hepatic failure.</w:t>
      </w:r>
      <w:r w:rsidR="005A5B0B">
        <w:rPr>
          <w:rFonts w:asciiTheme="majorHAnsi" w:hAnsiTheme="majorHAnsi" w:cstheme="majorHAnsi"/>
        </w:rPr>
        <w:t xml:space="preserve"> </w:t>
      </w:r>
    </w:p>
    <w:p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7E09D5">
        <w:rPr>
          <w:rFonts w:ascii="Calibri Light" w:hAnsi="Calibri Light" w:cs="Calibri Light"/>
        </w:rPr>
        <w:instrText></w:instrText>
      </w:r>
      <w:r w:rsidR="007E09D5">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5,8&lt;/sup&gt;","plainTextFormattedCitation":"5,8","previouslyFormattedCitation":"&lt;sup&gt;5,7&lt;/sup&gt;"},"properties":{"noteIndex":0},"schema":"https://github.com/citation-style-language/schema/raw/master/csl-citation.json"}</w:instrText>
      </w:r>
      <w:r>
        <w:rPr>
          <w:rFonts w:asciiTheme="majorHAnsi" w:hAnsiTheme="majorHAnsi" w:cstheme="majorHAnsi"/>
        </w:rPr>
        <w:fldChar w:fldCharType="separate"/>
      </w:r>
      <w:r w:rsidR="007E09D5" w:rsidRPr="007E09D5">
        <w:rPr>
          <w:rFonts w:asciiTheme="majorHAnsi" w:hAnsiTheme="majorHAnsi" w:cstheme="majorHAnsi"/>
          <w:noProof/>
          <w:vertAlign w:val="superscript"/>
        </w:rPr>
        <w:t>5,8</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 xml:space="preserve">Based upon the literature, we can create ballpark estimates to determine for both Ac-225 and Ac-227, 1) is the acute dose to vital organs reasonable, and 2) are the long term dose-per-day values </w:t>
      </w:r>
      <w:r w:rsidR="00B64C11">
        <w:rPr>
          <w:rFonts w:asciiTheme="majorHAnsi" w:hAnsiTheme="majorHAnsi" w:cstheme="majorHAnsi"/>
        </w:rPr>
        <w:t>reasonable, bearing in mind this is a short term mouse biodistribution.</w:t>
      </w:r>
      <w:bookmarkStart w:id="0" w:name="_GoBack"/>
      <w:bookmarkEnd w:id="0"/>
    </w:p>
    <w:p w:rsidR="00B41D32" w:rsidRDefault="00810AA5" w:rsidP="009D74FB">
      <w:pPr>
        <w:spacing w:line="480" w:lineRule="auto"/>
        <w:jc w:val="both"/>
        <w:rPr>
          <w:rFonts w:asciiTheme="majorHAnsi" w:hAnsiTheme="majorHAnsi" w:cstheme="majorHAnsi"/>
        </w:rPr>
      </w:pPr>
      <w:r>
        <w:rPr>
          <w:rFonts w:asciiTheme="majorHAnsi" w:hAnsiTheme="majorHAnsi" w:cstheme="majorHAnsi"/>
        </w:rPr>
        <w:t xml:space="preserve">Considering small molecule therapies with Ac-225, </w:t>
      </w:r>
      <w:r w:rsidR="005A5B0B">
        <w:rPr>
          <w:rFonts w:asciiTheme="majorHAnsi" w:hAnsiTheme="majorHAnsi" w:cstheme="majorHAnsi"/>
        </w:rPr>
        <w:t>in human patients</w:t>
      </w:r>
      <w:r w:rsidR="00A463C7">
        <w:rPr>
          <w:rFonts w:asciiTheme="majorHAnsi" w:hAnsiTheme="majorHAnsi" w:cstheme="majorHAnsi"/>
        </w:rPr>
        <w:t xml:space="preserve"> off-trial</w:t>
      </w:r>
      <w:r w:rsidR="00E95790">
        <w:rPr>
          <w:rFonts w:asciiTheme="majorHAnsi" w:hAnsiTheme="majorHAnsi" w:cstheme="majorHAnsi"/>
        </w:rPr>
        <w:t xml:space="preserve"> using </w:t>
      </w:r>
      <w:r w:rsidR="00F05C62">
        <w:rPr>
          <w:rFonts w:asciiTheme="majorHAnsi" w:hAnsiTheme="majorHAnsi" w:cstheme="majorHAnsi"/>
        </w:rPr>
        <w:t xml:space="preserve">experimental </w:t>
      </w:r>
      <w:r w:rsidR="00E95790">
        <w:rPr>
          <w:rFonts w:asciiTheme="majorHAnsi" w:hAnsiTheme="majorHAnsi" w:cstheme="majorHAnsi"/>
        </w:rPr>
        <w:t>Ac-225-</w:t>
      </w:r>
      <w:r w:rsidR="005A5B0B">
        <w:rPr>
          <w:rFonts w:asciiTheme="majorHAnsi" w:hAnsiTheme="majorHAnsi" w:cstheme="majorHAnsi"/>
        </w:rPr>
        <w:t>PSMA-617</w:t>
      </w:r>
      <w:r w:rsidR="009874E9">
        <w:rPr>
          <w:rFonts w:asciiTheme="majorHAnsi" w:hAnsiTheme="majorHAnsi" w:cstheme="majorHAnsi"/>
        </w:rPr>
        <w:t xml:space="preserve"> peptide conjugate</w:t>
      </w:r>
      <w:r w:rsidR="005A5B0B">
        <w:rPr>
          <w:rFonts w:asciiTheme="majorHAnsi" w:hAnsiTheme="majorHAnsi" w:cstheme="majorHAnsi"/>
        </w:rPr>
        <w:t xml:space="preserve">, the </w:t>
      </w:r>
      <w:r w:rsidR="00F05C62">
        <w:rPr>
          <w:rFonts w:asciiTheme="majorHAnsi" w:hAnsiTheme="majorHAnsi" w:cstheme="majorHAnsi"/>
        </w:rPr>
        <w:t>maximum dose to the kidneys was</w:t>
      </w:r>
      <w:r w:rsidR="00A463C7">
        <w:rPr>
          <w:rFonts w:asciiTheme="majorHAnsi" w:hAnsiTheme="majorHAnsi" w:cstheme="majorHAnsi"/>
        </w:rPr>
        <w:t xml:space="preserve"> toler</w:t>
      </w:r>
      <w:r w:rsidR="007E09D5">
        <w:rPr>
          <w:rFonts w:asciiTheme="majorHAnsi" w:hAnsiTheme="majorHAnsi" w:cstheme="majorHAnsi"/>
        </w:rPr>
        <w:t>ated</w:t>
      </w:r>
      <w:r w:rsidR="00A463C7">
        <w:rPr>
          <w:rFonts w:asciiTheme="majorHAnsi" w:hAnsiTheme="majorHAnsi" w:cstheme="majorHAnsi"/>
        </w:rPr>
        <w:t xml:space="preserve"> at</w:t>
      </w:r>
      <w:r w:rsidR="005A5B0B">
        <w:rPr>
          <w:rFonts w:asciiTheme="majorHAnsi" w:hAnsiTheme="majorHAnsi" w:cstheme="majorHAnsi"/>
        </w:rPr>
        <w:t xml:space="preserve"> </w:t>
      </w:r>
      <w:r w:rsidR="00B56B08">
        <w:rPr>
          <w:rFonts w:asciiTheme="majorHAnsi" w:hAnsiTheme="majorHAnsi" w:cstheme="majorHAnsi"/>
        </w:rPr>
        <w:t>16.8</w:t>
      </w:r>
      <w:r w:rsidR="005A5B0B">
        <w:rPr>
          <w:rFonts w:asciiTheme="majorHAnsi" w:hAnsiTheme="majorHAnsi" w:cstheme="majorHAnsi"/>
        </w:rPr>
        <w:t xml:space="preserve"> Sv</w:t>
      </w:r>
      <w:r w:rsidR="00B56B08">
        <w:rPr>
          <w:rFonts w:asciiTheme="majorHAnsi" w:hAnsiTheme="majorHAnsi" w:cstheme="majorHAnsi"/>
          <w:vertAlign w:val="subscript"/>
        </w:rPr>
        <w:t>RBE5</w:t>
      </w:r>
      <w:r w:rsidR="005A5B0B">
        <w:rPr>
          <w:rFonts w:asciiTheme="majorHAnsi" w:hAnsiTheme="majorHAnsi" w:cstheme="majorHAnsi"/>
        </w:rPr>
        <w:t xml:space="preserve"> from </w:t>
      </w:r>
      <w:r w:rsidR="00B56B08">
        <w:rPr>
          <w:rFonts w:asciiTheme="majorHAnsi" w:hAnsiTheme="majorHAnsi" w:cstheme="majorHAnsi"/>
        </w:rPr>
        <w:t>3x</w:t>
      </w:r>
      <w:r w:rsidR="005A5B0B">
        <w:rPr>
          <w:rFonts w:asciiTheme="majorHAnsi" w:hAnsiTheme="majorHAnsi" w:cstheme="majorHAnsi"/>
        </w:rPr>
        <w:t xml:space="preserve"> </w:t>
      </w:r>
      <w:r w:rsidR="00B56B08">
        <w:rPr>
          <w:rFonts w:asciiTheme="majorHAnsi" w:hAnsiTheme="majorHAnsi" w:cstheme="majorHAnsi"/>
        </w:rPr>
        <w:t>fractionated ~7.4 MBq</w:t>
      </w:r>
      <w:r w:rsidR="005A5B0B">
        <w:rPr>
          <w:rFonts w:asciiTheme="majorHAnsi" w:hAnsiTheme="majorHAnsi" w:cstheme="majorHAnsi"/>
        </w:rPr>
        <w:t xml:space="preserve"> dose</w:t>
      </w:r>
      <w:r w:rsidR="00B56B08">
        <w:rPr>
          <w:rFonts w:asciiTheme="majorHAnsi" w:hAnsiTheme="majorHAnsi" w:cstheme="majorHAnsi"/>
        </w:rPr>
        <w:t>s</w:t>
      </w:r>
      <w:r w:rsidR="005A5B0B">
        <w:rPr>
          <w:rFonts w:asciiTheme="majorHAnsi" w:hAnsiTheme="majorHAnsi" w:cstheme="majorHAnsi"/>
        </w:rPr>
        <w:t xml:space="preserve"> (</w:t>
      </w:r>
      <w:r w:rsidR="00B56B08">
        <w:rPr>
          <w:rFonts w:asciiTheme="majorHAnsi" w:hAnsiTheme="majorHAnsi" w:cstheme="majorHAnsi"/>
        </w:rPr>
        <w:t>~</w:t>
      </w:r>
      <w:r w:rsidR="005A5B0B">
        <w:rPr>
          <w:rFonts w:asciiTheme="majorHAnsi" w:hAnsiTheme="majorHAnsi" w:cstheme="majorHAnsi"/>
        </w:rPr>
        <w:t>200 nCi</w:t>
      </w:r>
      <w:r w:rsidR="00B56B08">
        <w:rPr>
          <w:rFonts w:asciiTheme="majorHAnsi" w:hAnsiTheme="majorHAnsi" w:cstheme="majorHAnsi"/>
        </w:rPr>
        <w:t xml:space="preserve"> each</w:t>
      </w:r>
      <w:r w:rsidR="005A5B0B">
        <w:rPr>
          <w:rFonts w:asciiTheme="majorHAnsi" w:hAnsiTheme="majorHAnsi" w:cstheme="majorHAnsi"/>
        </w:rPr>
        <w:t>)</w:t>
      </w:r>
      <w:r w:rsidR="00F05C62">
        <w:rPr>
          <w:rFonts w:asciiTheme="majorHAnsi" w:hAnsiTheme="majorHAnsi" w:cstheme="majorHAnsi"/>
        </w:rPr>
        <w:t xml:space="preserve"> </w:t>
      </w:r>
      <w:r w:rsidR="00B56B08">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8,9&lt;/sup&gt;","plainTextFormattedCitation":"8,9","previouslyFormattedCitation":"&lt;sup&gt;7,8&lt;/sup&gt;"},"properties":{"noteIndex":0},"schema":"https://github.com/citation-style-language/schema/raw/master/csl-citation.json"}</w:instrText>
      </w:r>
      <w:r w:rsidR="00B56B08">
        <w:rPr>
          <w:rFonts w:asciiTheme="majorHAnsi" w:hAnsiTheme="majorHAnsi" w:cstheme="majorHAnsi"/>
        </w:rPr>
        <w:fldChar w:fldCharType="separate"/>
      </w:r>
      <w:r w:rsidR="007E09D5" w:rsidRPr="007E09D5">
        <w:rPr>
          <w:rFonts w:asciiTheme="majorHAnsi" w:hAnsiTheme="majorHAnsi" w:cstheme="majorHAnsi"/>
          <w:noProof/>
          <w:vertAlign w:val="superscript"/>
        </w:rPr>
        <w:t>8,9</w:t>
      </w:r>
      <w:r w:rsidR="00B56B08">
        <w:rPr>
          <w:rFonts w:asciiTheme="majorHAnsi" w:hAnsiTheme="majorHAnsi" w:cstheme="majorHAnsi"/>
        </w:rPr>
        <w:fldChar w:fldCharType="end"/>
      </w:r>
      <w:r w:rsidR="00BE10C4">
        <w:rPr>
          <w:rFonts w:asciiTheme="majorHAnsi" w:hAnsiTheme="majorHAnsi" w:cstheme="majorHAnsi"/>
        </w:rPr>
        <w:t xml:space="preserve">, with a </w:t>
      </w:r>
      <w:r w:rsidR="002474C9">
        <w:rPr>
          <w:rFonts w:asciiTheme="majorHAnsi" w:hAnsiTheme="majorHAnsi" w:cstheme="majorHAnsi"/>
        </w:rPr>
        <w:t>recognized</w:t>
      </w:r>
      <w:r w:rsidR="00BE10C4">
        <w:rPr>
          <w:rFonts w:asciiTheme="majorHAnsi" w:hAnsiTheme="majorHAnsi" w:cstheme="majorHAnsi"/>
        </w:rPr>
        <w:t xml:space="preserve"> 27 Sv</w:t>
      </w:r>
      <w:r w:rsidR="00BE10C4">
        <w:rPr>
          <w:rFonts w:asciiTheme="majorHAnsi" w:hAnsiTheme="majorHAnsi" w:cstheme="majorHAnsi"/>
          <w:vertAlign w:val="subscript"/>
        </w:rPr>
        <w:t>RBE5</w:t>
      </w:r>
      <w:r w:rsidR="00BE10C4">
        <w:rPr>
          <w:rFonts w:asciiTheme="majorHAnsi" w:hAnsiTheme="majorHAnsi" w:cstheme="majorHAnsi"/>
        </w:rPr>
        <w:t xml:space="preserve"> as the MTD</w:t>
      </w:r>
      <w:r w:rsidR="002474C9">
        <w:rPr>
          <w:rFonts w:asciiTheme="majorHAnsi" w:hAnsiTheme="majorHAnsi" w:cstheme="majorHAnsi"/>
        </w:rPr>
        <w:t xml:space="preserve"> (calculated with 5:1 alpha:beta/gamma)</w:t>
      </w:r>
      <w:r w:rsidR="00BE10C4">
        <w:rPr>
          <w:rFonts w:asciiTheme="majorHAnsi" w:hAnsiTheme="majorHAnsi" w:cstheme="majorHAnsi"/>
        </w:rPr>
        <w:t xml:space="preserve"> </w:t>
      </w:r>
      <w:r w:rsidR="00BE10C4">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10&lt;/sup&gt;","plainTextFormattedCitation":"10","previouslyFormattedCitation":"&lt;sup&gt;9&lt;/sup&gt;"},"properties":{"noteIndex":0},"schema":"https://github.com/citation-style-language/schema/raw/master/csl-citation.json"}</w:instrText>
      </w:r>
      <w:r w:rsidR="00BE10C4">
        <w:rPr>
          <w:rFonts w:asciiTheme="majorHAnsi" w:hAnsiTheme="majorHAnsi" w:cstheme="majorHAnsi"/>
        </w:rPr>
        <w:fldChar w:fldCharType="separate"/>
      </w:r>
      <w:r w:rsidR="007E09D5" w:rsidRPr="007E09D5">
        <w:rPr>
          <w:rFonts w:asciiTheme="majorHAnsi" w:hAnsiTheme="majorHAnsi" w:cstheme="majorHAnsi"/>
          <w:noProof/>
          <w:vertAlign w:val="superscript"/>
        </w:rPr>
        <w:t>10</w:t>
      </w:r>
      <w:r w:rsidR="00BE10C4">
        <w:rPr>
          <w:rFonts w:asciiTheme="majorHAnsi" w:hAnsiTheme="majorHAnsi" w:cstheme="majorHAnsi"/>
        </w:rPr>
        <w:fldChar w:fldCharType="end"/>
      </w:r>
      <w:r w:rsidR="005A5B0B">
        <w:rPr>
          <w:rFonts w:asciiTheme="majorHAnsi" w:hAnsiTheme="majorHAnsi" w:cstheme="majorHAnsi"/>
        </w:rPr>
        <w:t>.</w:t>
      </w:r>
      <w:r w:rsidR="00F05C62">
        <w:rPr>
          <w:rFonts w:asciiTheme="majorHAnsi" w:hAnsiTheme="majorHAnsi" w:cstheme="majorHAnsi"/>
        </w:rPr>
        <w:t xml:space="preserve"> </w:t>
      </w:r>
      <w:r>
        <w:rPr>
          <w:rFonts w:asciiTheme="majorHAnsi" w:hAnsiTheme="majorHAnsi" w:cstheme="majorHAnsi"/>
        </w:rPr>
        <w:t>For protein based</w:t>
      </w:r>
      <w:r w:rsidR="00554F8F">
        <w:rPr>
          <w:rFonts w:asciiTheme="majorHAnsi" w:hAnsiTheme="majorHAnsi" w:cstheme="majorHAnsi"/>
        </w:rPr>
        <w:t xml:space="preserve"> Ac-225</w:t>
      </w:r>
      <w:r>
        <w:rPr>
          <w:rFonts w:asciiTheme="majorHAnsi" w:hAnsiTheme="majorHAnsi" w:cstheme="majorHAnsi"/>
        </w:rPr>
        <w:t xml:space="preserve"> radioimmunoconjugates, </w:t>
      </w:r>
      <w:r w:rsidR="00554F8F">
        <w:rPr>
          <w:rFonts w:asciiTheme="majorHAnsi" w:hAnsiTheme="majorHAnsi" w:cstheme="majorHAnsi"/>
        </w:rPr>
        <w:t xml:space="preserve">clinicaltrials.org shows six recruiting/active/completed </w:t>
      </w:r>
      <w:r w:rsidR="00A463C7">
        <w:rPr>
          <w:rFonts w:asciiTheme="majorHAnsi" w:hAnsiTheme="majorHAnsi" w:cstheme="majorHAnsi"/>
        </w:rPr>
        <w:t xml:space="preserve">phase I studies in the United States, however dose estimate data could </w:t>
      </w:r>
      <w:r w:rsidR="009874E9">
        <w:rPr>
          <w:rFonts w:asciiTheme="majorHAnsi" w:hAnsiTheme="majorHAnsi" w:cstheme="majorHAnsi"/>
        </w:rPr>
        <w:t xml:space="preserve">not be </w:t>
      </w:r>
      <w:r w:rsidR="009874E9">
        <w:rPr>
          <w:rFonts w:asciiTheme="majorHAnsi" w:hAnsiTheme="majorHAnsi" w:cstheme="majorHAnsi"/>
        </w:rPr>
        <w:lastRenderedPageBreak/>
        <w:t>found. Nonetheless for a rough</w:t>
      </w:r>
      <w:r w:rsidR="00A463C7">
        <w:rPr>
          <w:rFonts w:asciiTheme="majorHAnsi" w:hAnsiTheme="majorHAnsi" w:cstheme="majorHAnsi"/>
        </w:rPr>
        <w:t xml:space="preserve"> </w:t>
      </w:r>
      <w:r w:rsidR="009874E9">
        <w:rPr>
          <w:rFonts w:asciiTheme="majorHAnsi" w:hAnsiTheme="majorHAnsi" w:cstheme="majorHAnsi"/>
        </w:rPr>
        <w:t xml:space="preserve">range </w:t>
      </w:r>
      <w:r w:rsidR="00A463C7">
        <w:rPr>
          <w:rFonts w:asciiTheme="majorHAnsi" w:hAnsiTheme="majorHAnsi" w:cstheme="majorHAnsi"/>
        </w:rPr>
        <w:t>estimate, i</w:t>
      </w:r>
      <w:r w:rsidR="00F05C62">
        <w:rPr>
          <w:rFonts w:asciiTheme="majorHAnsi" w:hAnsiTheme="majorHAnsi" w:cstheme="majorHAnsi"/>
        </w:rPr>
        <w:t xml:space="preserve">n mice, </w:t>
      </w:r>
      <w:r w:rsidR="00C609DD">
        <w:rPr>
          <w:rFonts w:asciiTheme="majorHAnsi" w:hAnsiTheme="majorHAnsi" w:cstheme="majorHAnsi"/>
        </w:rPr>
        <w:t xml:space="preserve">there have been a </w:t>
      </w:r>
      <w:r w:rsidR="00C026AE">
        <w:rPr>
          <w:rFonts w:asciiTheme="majorHAnsi" w:hAnsiTheme="majorHAnsi" w:cstheme="majorHAnsi"/>
        </w:rPr>
        <w:t>few</w:t>
      </w:r>
      <w:r w:rsidR="00C609DD">
        <w:rPr>
          <w:rFonts w:asciiTheme="majorHAnsi" w:hAnsiTheme="majorHAnsi" w:cstheme="majorHAnsi"/>
        </w:rPr>
        <w:t xml:space="preserve"> studies </w:t>
      </w:r>
      <w:r w:rsidR="007C360F">
        <w:rPr>
          <w:rFonts w:asciiTheme="majorHAnsi" w:hAnsiTheme="majorHAnsi" w:cstheme="majorHAnsi"/>
        </w:rPr>
        <w:t>reporting</w:t>
      </w:r>
      <w:r w:rsidR="00C609DD">
        <w:rPr>
          <w:rFonts w:asciiTheme="majorHAnsi" w:hAnsiTheme="majorHAnsi" w:cstheme="majorHAnsi"/>
        </w:rPr>
        <w:t xml:space="preserve"> </w:t>
      </w:r>
      <w:r w:rsidR="007C360F">
        <w:rPr>
          <w:rFonts w:asciiTheme="majorHAnsi" w:hAnsiTheme="majorHAnsi" w:cstheme="majorHAnsi"/>
        </w:rPr>
        <w:t xml:space="preserve">radioimmunoconjugates </w:t>
      </w:r>
      <w:r w:rsidR="00C609DD">
        <w:rPr>
          <w:rFonts w:asciiTheme="majorHAnsi" w:hAnsiTheme="majorHAnsi" w:cstheme="majorHAnsi"/>
        </w:rPr>
        <w:t xml:space="preserve">dosimetry. In one study with Ac-225-HuM195 antibody conjugates, </w:t>
      </w:r>
      <w:r w:rsidR="00166AF1">
        <w:rPr>
          <w:rFonts w:asciiTheme="majorHAnsi" w:hAnsiTheme="majorHAnsi" w:cstheme="majorHAnsi"/>
        </w:rPr>
        <w:t>a</w:t>
      </w:r>
      <w:r w:rsidR="009874E9">
        <w:rPr>
          <w:rFonts w:asciiTheme="majorHAnsi" w:hAnsiTheme="majorHAnsi" w:cstheme="majorHAnsi"/>
        </w:rPr>
        <w:t>n upper-end</w:t>
      </w:r>
      <w:r w:rsidR="00166AF1">
        <w:rPr>
          <w:rFonts w:asciiTheme="majorHAnsi" w:hAnsiTheme="majorHAnsi" w:cstheme="majorHAnsi"/>
        </w:rPr>
        <w:t xml:space="preserve"> kidney dose of 27.6 Gy was tolerated with the additional administration</w:t>
      </w:r>
      <w:r w:rsidR="00C026AE">
        <w:rPr>
          <w:rFonts w:asciiTheme="majorHAnsi" w:hAnsiTheme="majorHAnsi" w:cstheme="majorHAnsi"/>
        </w:rPr>
        <w:t xml:space="preserve"> of a protectant from 350 nCi administration</w:t>
      </w:r>
      <w:r w:rsidR="008E62EB">
        <w:rPr>
          <w:rFonts w:asciiTheme="majorHAnsi" w:hAnsiTheme="majorHAnsi" w:cstheme="majorHAnsi"/>
        </w:rPr>
        <w:t xml:space="preserve"> </w:t>
      </w:r>
      <w:r w:rsidR="00C026AE">
        <w:rPr>
          <w:rFonts w:asciiTheme="majorHAnsi" w:hAnsiTheme="majorHAnsi" w:cstheme="majorHAnsi"/>
        </w:rPr>
        <w:t xml:space="preserve">to </w:t>
      </w:r>
      <w:r w:rsidR="008E62EB">
        <w:rPr>
          <w:rFonts w:asciiTheme="majorHAnsi" w:hAnsiTheme="majorHAnsi" w:cstheme="majorHAnsi"/>
        </w:rPr>
        <w:t xml:space="preserve">SCID </w:t>
      </w:r>
      <w:r w:rsidR="00C026AE">
        <w:rPr>
          <w:rFonts w:asciiTheme="majorHAnsi" w:hAnsiTheme="majorHAnsi" w:cstheme="majorHAnsi"/>
        </w:rPr>
        <w:t>mice</w:t>
      </w:r>
      <w:r w:rsidR="00166AF1">
        <w:rPr>
          <w:rFonts w:asciiTheme="majorHAnsi" w:hAnsiTheme="majorHAnsi" w:cstheme="majorHAnsi"/>
        </w:rPr>
        <w:t xml:space="preserve"> </w:t>
      </w:r>
      <w:r w:rsidR="00BF5AB7">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11&lt;/sup&gt;","plainTextFormattedCitation":"11","previouslyFormattedCitation":"&lt;sup&gt;10&lt;/sup&gt;"},"properties":{"noteIndex":0},"schema":"https://github.com/citation-style-language/schema/raw/master/csl-citation.json"}</w:instrText>
      </w:r>
      <w:r w:rsidR="00BF5AB7">
        <w:rPr>
          <w:rFonts w:asciiTheme="majorHAnsi" w:hAnsiTheme="majorHAnsi" w:cstheme="majorHAnsi"/>
        </w:rPr>
        <w:fldChar w:fldCharType="separate"/>
      </w:r>
      <w:r w:rsidR="007E09D5" w:rsidRPr="007E09D5">
        <w:rPr>
          <w:rFonts w:asciiTheme="majorHAnsi" w:hAnsiTheme="majorHAnsi" w:cstheme="majorHAnsi"/>
          <w:noProof/>
          <w:vertAlign w:val="superscript"/>
        </w:rPr>
        <w:t>11</w:t>
      </w:r>
      <w:r w:rsidR="00BF5AB7">
        <w:rPr>
          <w:rFonts w:asciiTheme="majorHAnsi" w:hAnsiTheme="majorHAnsi" w:cstheme="majorHAnsi"/>
        </w:rPr>
        <w:fldChar w:fldCharType="end"/>
      </w:r>
      <w:r w:rsidR="00166AF1">
        <w:rPr>
          <w:rFonts w:asciiTheme="majorHAnsi" w:hAnsiTheme="majorHAnsi" w:cstheme="majorHAnsi"/>
        </w:rPr>
        <w:t>.</w:t>
      </w:r>
      <w:r w:rsidR="00F05C62">
        <w:rPr>
          <w:rFonts w:asciiTheme="majorHAnsi" w:hAnsiTheme="majorHAnsi" w:cstheme="majorHAnsi"/>
        </w:rPr>
        <w:t xml:space="preserve"> </w:t>
      </w:r>
      <w:r w:rsidR="00C609DD">
        <w:rPr>
          <w:rFonts w:asciiTheme="majorHAnsi" w:hAnsiTheme="majorHAnsi" w:cstheme="majorHAnsi"/>
        </w:rPr>
        <w:t>In another with Ac-225-DOTA-anti-PD-L1-BC conjugate</w:t>
      </w:r>
      <w:r w:rsidR="00C026AE">
        <w:rPr>
          <w:rFonts w:asciiTheme="majorHAnsi" w:hAnsiTheme="majorHAnsi" w:cstheme="majorHAnsi"/>
        </w:rPr>
        <w:t xml:space="preserve">s delivered to </w:t>
      </w:r>
      <w:r w:rsidR="00C026AE" w:rsidRPr="00C026AE">
        <w:rPr>
          <w:rFonts w:asciiTheme="majorHAnsi" w:hAnsiTheme="majorHAnsi" w:cstheme="majorHAnsi"/>
          <w:i/>
        </w:rPr>
        <w:t>neu</w:t>
      </w:r>
      <w:r w:rsidR="00C026AE">
        <w:rPr>
          <w:rFonts w:asciiTheme="majorHAnsi" w:hAnsiTheme="majorHAnsi" w:cstheme="majorHAnsi"/>
        </w:rPr>
        <w:t xml:space="preserve">-N </w:t>
      </w:r>
      <w:r w:rsidR="00C026AE" w:rsidRPr="00C026AE">
        <w:rPr>
          <w:rFonts w:asciiTheme="majorHAnsi" w:hAnsiTheme="majorHAnsi" w:cstheme="majorHAnsi"/>
        </w:rPr>
        <w:t>mice</w:t>
      </w:r>
      <w:r w:rsidR="00C609DD">
        <w:rPr>
          <w:rFonts w:asciiTheme="majorHAnsi" w:hAnsiTheme="majorHAnsi" w:cstheme="majorHAnsi"/>
        </w:rPr>
        <w:t xml:space="preserve">, </w:t>
      </w:r>
      <w:r w:rsidR="00C026AE">
        <w:rPr>
          <w:rFonts w:asciiTheme="majorHAnsi" w:hAnsiTheme="majorHAnsi" w:cstheme="majorHAnsi"/>
        </w:rPr>
        <w:t>at a</w:t>
      </w:r>
      <w:r w:rsidR="00C609DD">
        <w:rPr>
          <w:rFonts w:asciiTheme="majorHAnsi" w:hAnsiTheme="majorHAnsi" w:cstheme="majorHAnsi"/>
        </w:rPr>
        <w:t xml:space="preserve"> 15 kBq</w:t>
      </w:r>
      <w:r w:rsidR="00C026AE">
        <w:rPr>
          <w:rFonts w:asciiTheme="majorHAnsi" w:hAnsiTheme="majorHAnsi" w:cstheme="majorHAnsi"/>
        </w:rPr>
        <w:t xml:space="preserve"> dose (405 nCi)</w:t>
      </w:r>
      <w:r w:rsidR="00C609DD">
        <w:rPr>
          <w:rFonts w:asciiTheme="majorHAnsi" w:hAnsiTheme="majorHAnsi" w:cstheme="majorHAnsi"/>
        </w:rPr>
        <w:t xml:space="preserve"> </w:t>
      </w:r>
      <w:r w:rsidR="00C026AE">
        <w:rPr>
          <w:rFonts w:asciiTheme="majorHAnsi" w:hAnsiTheme="majorHAnsi" w:cstheme="majorHAnsi"/>
        </w:rPr>
        <w:t>delivered absorbed doses of</w:t>
      </w:r>
      <w:r w:rsidR="00C609DD">
        <w:rPr>
          <w:rFonts w:asciiTheme="majorHAnsi" w:hAnsiTheme="majorHAnsi" w:cstheme="majorHAnsi"/>
        </w:rPr>
        <w:t xml:space="preserve"> 11.1 Gy liver, 9.2 Gy kidneys, 2 Gy spleen respectively </w:t>
      </w:r>
      <w:r w:rsidR="00C609DD">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12&lt;/sup&gt;","plainTextFormattedCitation":"12","previouslyFormattedCitation":"&lt;sup&gt;11&lt;/sup&gt;"},"properties":{"noteIndex":0},"schema":"https://github.com/citation-style-language/schema/raw/master/csl-citation.json"}</w:instrText>
      </w:r>
      <w:r w:rsidR="00C609DD">
        <w:rPr>
          <w:rFonts w:asciiTheme="majorHAnsi" w:hAnsiTheme="majorHAnsi" w:cstheme="majorHAnsi"/>
        </w:rPr>
        <w:fldChar w:fldCharType="separate"/>
      </w:r>
      <w:r w:rsidR="007E09D5" w:rsidRPr="007E09D5">
        <w:rPr>
          <w:rFonts w:asciiTheme="majorHAnsi" w:hAnsiTheme="majorHAnsi" w:cstheme="majorHAnsi"/>
          <w:noProof/>
          <w:vertAlign w:val="superscript"/>
        </w:rPr>
        <w:t>12</w:t>
      </w:r>
      <w:r w:rsidR="00C609DD">
        <w:rPr>
          <w:rFonts w:asciiTheme="majorHAnsi" w:hAnsiTheme="majorHAnsi" w:cstheme="majorHAnsi"/>
        </w:rPr>
        <w:fldChar w:fldCharType="end"/>
      </w:r>
      <w:r w:rsidR="00C609DD">
        <w:rPr>
          <w:rFonts w:asciiTheme="majorHAnsi" w:hAnsiTheme="majorHAnsi" w:cstheme="majorHAnsi"/>
        </w:rPr>
        <w:t>.</w:t>
      </w:r>
    </w:p>
    <w:p w:rsidR="008E62EB" w:rsidRDefault="008E62EB" w:rsidP="009D74FB">
      <w:pPr>
        <w:spacing w:line="480" w:lineRule="auto"/>
        <w:jc w:val="both"/>
        <w:rPr>
          <w:rFonts w:asciiTheme="majorHAnsi" w:hAnsiTheme="majorHAnsi" w:cstheme="majorHAnsi"/>
        </w:rPr>
      </w:pPr>
    </w:p>
    <w:p w:rsidR="00CC1637" w:rsidRDefault="00CC1637" w:rsidP="009D74FB">
      <w:pPr>
        <w:spacing w:line="480" w:lineRule="auto"/>
        <w:jc w:val="both"/>
        <w:rPr>
          <w:rFonts w:asciiTheme="majorHAnsi" w:hAnsiTheme="majorHAnsi" w:cstheme="majorHAnsi"/>
        </w:rPr>
      </w:pPr>
    </w:p>
    <w:p w:rsidR="00CC1637" w:rsidRDefault="00CC1637" w:rsidP="009D74FB">
      <w:pPr>
        <w:spacing w:line="480" w:lineRule="auto"/>
        <w:jc w:val="both"/>
        <w:rPr>
          <w:rFonts w:asciiTheme="majorHAnsi" w:hAnsiTheme="majorHAnsi" w:cstheme="majorHAnsi"/>
        </w:rPr>
      </w:pPr>
    </w:p>
    <w:p w:rsidR="001F39F7" w:rsidRDefault="009D74FB" w:rsidP="009D74FB">
      <w:pPr>
        <w:spacing w:line="480" w:lineRule="auto"/>
        <w:jc w:val="both"/>
        <w:rPr>
          <w:rFonts w:asciiTheme="majorHAnsi" w:hAnsiTheme="majorHAnsi" w:cstheme="majorHAnsi"/>
        </w:rPr>
      </w:pPr>
      <w:r>
        <w:rPr>
          <w:rFonts w:asciiTheme="majorHAnsi" w:hAnsiTheme="majorHAnsi" w:cstheme="majorHAnsi"/>
        </w:rPr>
        <w:t>Comparing our mouse</w:t>
      </w:r>
      <w:r w:rsidR="00E42290">
        <w:rPr>
          <w:rFonts w:asciiTheme="majorHAnsi" w:hAnsiTheme="majorHAnsi" w:cstheme="majorHAnsi"/>
        </w:rPr>
        <w:t xml:space="preserve"> Ac-225/Ac-227</w:t>
      </w:r>
      <w:r>
        <w:rPr>
          <w:rFonts w:asciiTheme="majorHAnsi" w:hAnsiTheme="majorHAnsi" w:cstheme="majorHAnsi"/>
        </w:rPr>
        <w:t xml:space="preserve"> data to these values, it is clear that the short term Ac-225 dose is similar </w:t>
      </w:r>
      <w:r w:rsidR="00E42290">
        <w:rPr>
          <w:rFonts w:asciiTheme="majorHAnsi" w:hAnsiTheme="majorHAnsi" w:cstheme="majorHAnsi"/>
        </w:rPr>
        <w:t>to</w:t>
      </w:r>
      <w:r>
        <w:rPr>
          <w:rFonts w:asciiTheme="majorHAnsi" w:hAnsiTheme="majorHAnsi" w:cstheme="majorHAnsi"/>
        </w:rPr>
        <w:t xml:space="preserve"> the Zevalin example</w:t>
      </w:r>
      <w:r w:rsidR="00E42290">
        <w:rPr>
          <w:rFonts w:asciiTheme="majorHAnsi" w:hAnsiTheme="majorHAnsi" w:cstheme="majorHAnsi"/>
        </w:rPr>
        <w:t xml:space="preserve"> dose values</w:t>
      </w:r>
      <w:r>
        <w:rPr>
          <w:rFonts w:asciiTheme="majorHAnsi" w:hAnsiTheme="majorHAnsi" w:cstheme="majorHAnsi"/>
        </w:rPr>
        <w:t>, with the largest maximum daily dose of Trastuzumab-DOTA-Ac-225 with an upper end 95% CI of 23.8 Gy cumulative dose, or upper end 95% CI of 1.05 Gy/day. A 5% increase in liver disease occurs in humans with typical gamma radiation treatment of total doses up to 28 Gy</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{"citationItems":[{"id":"ITEM-1","itemData":{"DOI":"10.1016/j.ijrobp.2009.06.092","ISSN":"03603016","abstract":"The liver is a critically important organ that has numerous functions including the production of bile, metabolism of ingested nutrients, elimination of many waste products, glycogen storage, and plasma protein synthesis. The liver is often incidentally irradiated during radiation therapy (RT) for tumors in the upper- abdomen, right lower lung, distal esophagus, or during whole abdomen or whole body RT. This article describes the endpoints, time-course, and dose-volume effect of radiation on the liver.","author":[{"dropping-particle":"","family":"Pan","given":"Charlie C.","non-dropping-particle":"","parse-names":false,"suffix":""},{"dropping-particle":"","family":"Kavanagh","given":"Brian D.","non-dropping-particle":"","parse-names":false,"suffix":""},{"dropping-particle":"","family":"Dawson","given":"Laura A.","non-dropping-particle":"","parse-names":false,"suffix":""},{"dropping-particle":"","family":"Li","given":"X. Allen","non-dropping-particle":"","parse-names":false,"suffix":""},{"dropping-particle":"","family":"Das","given":"Shiva K.","non-dropping-particle":"","parse-names":false,"suffix":""},{"dropping-particle":"","family":"Miften","given":"Moyed","non-dropping-particle":"","parse-names":false,"suffix":""},{"dropping-particle":"","family":"Haken","given":"Randall K.","non-dropping-particle":"Ten","parse-names":false,"suffix":""}],"container-title":"International Journal of Radiation Oncology Biology Physics","id":"ITEM-1","issued":{"date-parts":[["2010"]]},"title":"Radiation-Associated Liver Injury","type":"article-journal"},"uris":["http://www.mendeley.com/documents/?uuid=dc9ec244-a695-418c-8444-97b18d228df4"]}],"mendeley":{"formattedCitation":"&lt;sup&gt;13&lt;/sup&gt;","plainTextFormattedCitation":"13","previouslyFormattedCitation":"&lt;sup&gt;12&lt;/sup&gt;"},"properties":{"noteIndex":0},"schema":"https://github.com/citation-style-language/schema/raw/master/csl-citation.json"}</w:instrText>
      </w:r>
      <w:r w:rsidR="005161CF">
        <w:rPr>
          <w:rFonts w:asciiTheme="majorHAnsi" w:hAnsiTheme="majorHAnsi" w:cstheme="majorHAnsi"/>
        </w:rPr>
        <w:fldChar w:fldCharType="separate"/>
      </w:r>
      <w:r w:rsidR="007E09D5" w:rsidRPr="007E09D5">
        <w:rPr>
          <w:rFonts w:asciiTheme="majorHAnsi" w:hAnsiTheme="majorHAnsi" w:cstheme="majorHAnsi"/>
          <w:noProof/>
          <w:vertAlign w:val="superscript"/>
        </w:rPr>
        <w:t>13</w:t>
      </w:r>
      <w:r w:rsidR="005161CF">
        <w:rPr>
          <w:rFonts w:asciiTheme="majorHAnsi" w:hAnsiTheme="majorHAnsi" w:cstheme="majorHAnsi"/>
        </w:rPr>
        <w:fldChar w:fldCharType="end"/>
      </w:r>
      <w:r w:rsidR="00E42290">
        <w:rPr>
          <w:rFonts w:asciiTheme="majorHAnsi" w:hAnsiTheme="majorHAnsi" w:cstheme="majorHAnsi"/>
        </w:rPr>
        <w:t>, but would</w:t>
      </w:r>
      <w:r w:rsidR="005161CF">
        <w:rPr>
          <w:rFonts w:asciiTheme="majorHAnsi" w:hAnsiTheme="majorHAnsi" w:cstheme="majorHAnsi"/>
        </w:rPr>
        <w:t xml:space="preserve"> be</w:t>
      </w:r>
      <w:r w:rsidR="00E42290">
        <w:rPr>
          <w:rFonts w:asciiTheme="majorHAnsi" w:hAnsiTheme="majorHAnsi" w:cstheme="majorHAnsi"/>
        </w:rPr>
        <w:t xml:space="preserve"> </w:t>
      </w:r>
      <w:r w:rsidR="005161CF">
        <w:rPr>
          <w:rFonts w:asciiTheme="majorHAnsi" w:hAnsiTheme="majorHAnsi" w:cstheme="majorHAnsi"/>
        </w:rPr>
        <w:t xml:space="preserve">highly </w:t>
      </w:r>
      <w:r w:rsidR="00E42290">
        <w:rPr>
          <w:rFonts w:asciiTheme="majorHAnsi" w:hAnsiTheme="majorHAnsi" w:cstheme="majorHAnsi"/>
        </w:rPr>
        <w:t>likely</w:t>
      </w:r>
      <w:r w:rsidR="005161CF">
        <w:rPr>
          <w:rFonts w:asciiTheme="majorHAnsi" w:hAnsiTheme="majorHAnsi" w:cstheme="majorHAnsi"/>
        </w:rPr>
        <w:t xml:space="preserve"> to</w:t>
      </w:r>
      <w:r w:rsidR="00E42290">
        <w:rPr>
          <w:rFonts w:asciiTheme="majorHAnsi" w:hAnsiTheme="majorHAnsi" w:cstheme="majorHAnsi"/>
        </w:rPr>
        <w:t xml:space="preserve"> show a greater rate with alpha radiation</w:t>
      </w:r>
      <w:r w:rsidR="005161CF">
        <w:rPr>
          <w:rFonts w:asciiTheme="majorHAnsi" w:hAnsiTheme="majorHAnsi" w:cstheme="majorHAnsi"/>
        </w:rPr>
        <w:t xml:space="preserve"> of that absorbed dose</w:t>
      </w:r>
      <w:r>
        <w:rPr>
          <w:rFonts w:asciiTheme="majorHAnsi" w:hAnsiTheme="majorHAnsi" w:cstheme="majorHAnsi"/>
        </w:rPr>
        <w:t>.</w:t>
      </w:r>
      <w:r w:rsidR="001F39F7">
        <w:rPr>
          <w:rFonts w:asciiTheme="majorHAnsi" w:hAnsiTheme="majorHAnsi" w:cstheme="majorHAnsi"/>
        </w:rPr>
        <w:t xml:space="preserve"> </w:t>
      </w:r>
    </w:p>
    <w:p w:rsidR="00BF46D0" w:rsidRPr="00BF46D0" w:rsidRDefault="009D74FB" w:rsidP="00BF46D0">
      <w:pPr>
        <w:spacing w:line="480" w:lineRule="auto"/>
        <w:jc w:val="both"/>
        <w:rPr>
          <w:rFonts w:asciiTheme="majorHAnsi" w:hAnsiTheme="majorHAnsi" w:cstheme="majorHAnsi"/>
        </w:rPr>
      </w:pPr>
      <w:r>
        <w:rPr>
          <w:rFonts w:asciiTheme="majorHAnsi" w:hAnsiTheme="majorHAnsi" w:cstheme="majorHAnsi"/>
        </w:rPr>
        <w:t xml:space="preserve">While acute doses </w:t>
      </w:r>
      <w:r w:rsidR="00E42290">
        <w:rPr>
          <w:rFonts w:asciiTheme="majorHAnsi" w:hAnsiTheme="majorHAnsi" w:cstheme="majorHAnsi"/>
        </w:rPr>
        <w:t>create zones of necrosis</w:t>
      </w:r>
      <w:r>
        <w:rPr>
          <w:rFonts w:asciiTheme="majorHAnsi" w:hAnsiTheme="majorHAnsi" w:cstheme="majorHAnsi"/>
        </w:rPr>
        <w:t xml:space="preserve">, long term doses </w:t>
      </w:r>
      <w:r w:rsidR="0025243C">
        <w:rPr>
          <w:rFonts w:asciiTheme="majorHAnsi" w:hAnsiTheme="majorHAnsi" w:cstheme="majorHAnsi"/>
        </w:rPr>
        <w:t xml:space="preserve">tend to </w:t>
      </w:r>
      <w:r>
        <w:rPr>
          <w:rFonts w:asciiTheme="majorHAnsi" w:hAnsiTheme="majorHAnsi" w:cstheme="majorHAnsi"/>
        </w:rPr>
        <w:t>deplete the stem cell compartments, and increase proliferation of multipotent cells</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E09D5">
        <w:rPr>
          <w:rFonts w:ascii="Calibri Light" w:hAnsi="Calibri Light" w:cs="Calibri Light"/>
        </w:rPr>
        <w:instrText></w:instrText>
      </w:r>
      <w:r w:rsidR="007E09D5">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5,14&lt;/sup&gt;","plainTextFormattedCitation":"5,14","previouslyFormattedCitation":"&lt;sup&gt;5,13&lt;/sup&gt;"},"properties":{"noteIndex":0},"schema":"https://github.com/citation-style-language/schema/raw/master/csl-citation.json"}</w:instrText>
      </w:r>
      <w:r w:rsidR="005161CF">
        <w:rPr>
          <w:rFonts w:asciiTheme="majorHAnsi" w:hAnsiTheme="majorHAnsi" w:cstheme="majorHAnsi"/>
        </w:rPr>
        <w:fldChar w:fldCharType="separate"/>
      </w:r>
      <w:r w:rsidR="007E09D5" w:rsidRPr="007E09D5">
        <w:rPr>
          <w:rFonts w:asciiTheme="majorHAnsi" w:hAnsiTheme="majorHAnsi" w:cstheme="majorHAnsi"/>
          <w:noProof/>
          <w:vertAlign w:val="superscript"/>
        </w:rPr>
        <w:t>5,14</w:t>
      </w:r>
      <w:r w:rsidR="005161CF">
        <w:rPr>
          <w:rFonts w:asciiTheme="majorHAnsi" w:hAnsiTheme="majorHAnsi" w:cstheme="majorHAnsi"/>
        </w:rPr>
        <w:fldChar w:fldCharType="end"/>
      </w:r>
      <w:r>
        <w:rPr>
          <w:rFonts w:asciiTheme="majorHAnsi" w:hAnsiTheme="majorHAnsi" w:cstheme="majorHAnsi"/>
        </w:rPr>
        <w:t xml:space="preserve">. </w:t>
      </w:r>
      <w:r w:rsidR="0025243C">
        <w:rPr>
          <w:rFonts w:asciiTheme="majorHAnsi" w:hAnsiTheme="majorHAnsi" w:cstheme="majorHAnsi"/>
        </w:rPr>
        <w:t>In favor of long term Ac-227 dose, i</w:t>
      </w:r>
      <w:r>
        <w:rPr>
          <w:rFonts w:asciiTheme="majorHAnsi" w:hAnsiTheme="majorHAnsi" w:cstheme="majorHAnsi"/>
        </w:rPr>
        <w:t>t has been shown that long term dosing allows for a greater total cumulative dose compared to acute dose</w:t>
      </w:r>
      <w:r w:rsidR="0025243C">
        <w:rPr>
          <w:rFonts w:asciiTheme="majorHAnsi" w:hAnsiTheme="majorHAnsi" w:cstheme="majorHAnsi"/>
        </w:rPr>
        <w:t xml:space="preserve">s </w:t>
      </w:r>
      <w:r w:rsidR="003E6AF1">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E09D5">
        <w:rPr>
          <w:rFonts w:ascii="Calibri Light" w:hAnsi="Calibri Light" w:cs="Calibri Light"/>
        </w:rPr>
        <w:instrText></w:instrText>
      </w:r>
      <w:r w:rsidR="007E09D5">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Context","type":"article-journal","volume":"41"},"uris":["http://www.mendeley.com/documents/?uuid=77dc3328-cfa3-4d81-bcfa-6a649573350d"]},{"id":"ITEM-2","itemData":{"DOI":"10.1093/rpd/ncw207","ISSN":"17423406","abstract":"This paper presents an overview of radiobiological dependences governing the occurrence of tissue (organ) reactions that determine the outcomes of chronic exposure to low-LET ionizing radiation (IR) in humans. The mechanisms involved in the development of tissue reactions (TRs) to long-term exposures to IR and radioadaptation are considered. The overview describes the reactions of the haematopoietic, immune, nervous, reproductive and endocrine systems, lungs, skin and crystalline lens to chronic radiation exposure, which are of fundamental importance in view of radiation protection. It is shown that the individual's physiological tissue (organ) reserve, and also that induced by radiation exposure at low-dose rates are of great significance in the context of TR development.","author":[{"dropping-particle":"V.","family":"Akleyev","given":"A.","non-dropping-particle":"","parse-names":false,"suffix":""}],"container-title":"Radiation Protection Dosimetry","id":"ITEM-2","issued":{"date-parts":[["2016"]]},"title":"Normal tissue reactions to chronic radiation exposure in man","type":"article-journal"},"uris":["http://www.mendeley.com/documents/?uuid=9adf1b1f-4b82-4eb7-adcb-22915671cd77"]}],"mendeley":{"formattedCitation":"&lt;sup&gt;5,15&lt;/sup&gt;","plainTextFormattedCitation":"5,15","previouslyFormattedCitation":"&lt;sup&gt;5,14&lt;/sup&gt;"},"properties":{"noteIndex":0},"schema":"https://github.com/citation-style-language/schema/raw/master/csl-citation.json"}</w:instrText>
      </w:r>
      <w:r w:rsidR="003E6AF1">
        <w:rPr>
          <w:rFonts w:asciiTheme="majorHAnsi" w:hAnsiTheme="majorHAnsi" w:cstheme="majorHAnsi"/>
        </w:rPr>
        <w:fldChar w:fldCharType="separate"/>
      </w:r>
      <w:r w:rsidR="007E09D5" w:rsidRPr="007E09D5">
        <w:rPr>
          <w:rFonts w:asciiTheme="majorHAnsi" w:hAnsiTheme="majorHAnsi" w:cstheme="majorHAnsi"/>
          <w:noProof/>
          <w:vertAlign w:val="superscript"/>
        </w:rPr>
        <w:t>5,15</w:t>
      </w:r>
      <w:r w:rsidR="003E6AF1">
        <w:rPr>
          <w:rFonts w:asciiTheme="majorHAnsi" w:hAnsiTheme="majorHAnsi" w:cstheme="majorHAnsi"/>
        </w:rPr>
        <w:fldChar w:fldCharType="end"/>
      </w:r>
      <w:r>
        <w:rPr>
          <w:rFonts w:asciiTheme="majorHAnsi" w:hAnsiTheme="majorHAnsi" w:cstheme="majorHAnsi"/>
        </w:rPr>
        <w:t>. Considering long term Ac-227 exposure is not directly comparable</w:t>
      </w:r>
      <w:r w:rsidR="001F39F7">
        <w:rPr>
          <w:rFonts w:asciiTheme="majorHAnsi" w:hAnsiTheme="majorHAnsi" w:cstheme="majorHAnsi"/>
        </w:rPr>
        <w:t xml:space="preserve"> to the Ac-225 MTD</w:t>
      </w:r>
      <w:r>
        <w:rPr>
          <w:rFonts w:asciiTheme="majorHAnsi" w:hAnsiTheme="majorHAnsi" w:cstheme="majorHAnsi"/>
        </w:rPr>
        <w:t xml:space="preserve">, estimates may still be made to long term safe exposure rates. </w:t>
      </w:r>
      <w:r w:rsidR="0025243C">
        <w:rPr>
          <w:rFonts w:asciiTheme="majorHAnsi" w:hAnsiTheme="majorHAnsi" w:cstheme="majorHAnsi"/>
        </w:rPr>
        <w:t>In the literature, s</w:t>
      </w:r>
      <w:r w:rsidR="00BF46D0">
        <w:rPr>
          <w:rFonts w:asciiTheme="majorHAnsi" w:hAnsiTheme="majorHAnsi" w:cstheme="majorHAnsi"/>
        </w:rPr>
        <w:t>pleen chronic toxicity</w:t>
      </w:r>
      <w:r w:rsidR="0025243C">
        <w:rPr>
          <w:rFonts w:asciiTheme="majorHAnsi" w:hAnsiTheme="majorHAnsi" w:cstheme="majorHAnsi"/>
        </w:rPr>
        <w:t xml:space="preserve"> has been shown to</w:t>
      </w:r>
      <w:r w:rsidR="00BF46D0">
        <w:rPr>
          <w:rFonts w:asciiTheme="majorHAnsi" w:hAnsiTheme="majorHAnsi" w:cstheme="majorHAnsi"/>
        </w:rPr>
        <w:t xml:space="preserve"> appear in rats and mice exposed to </w:t>
      </w:r>
      <w:r w:rsidR="00BF46D0" w:rsidRPr="00BF46D0">
        <w:rPr>
          <w:rFonts w:asciiTheme="majorHAnsi" w:hAnsiTheme="majorHAnsi" w:cstheme="majorHAnsi"/>
        </w:rPr>
        <w:t>0.01–0.5 Gy/day</w:t>
      </w:r>
      <w:r w:rsidR="00BF46D0">
        <w:rPr>
          <w:rFonts w:asciiTheme="majorHAnsi" w:hAnsiTheme="majorHAnsi" w:cstheme="majorHAnsi"/>
        </w:rPr>
        <w:t xml:space="preserve"> of gamma radiation, which calculates out to 0.01-0.5 Sv/day gamma </w:t>
      </w:r>
      <w:r w:rsidR="00BF46D0">
        <w:rPr>
          <w:rFonts w:asciiTheme="majorHAnsi" w:hAnsiTheme="majorHAnsi" w:cstheme="majorHAnsi"/>
        </w:rPr>
        <w:fldChar w:fldCharType="begin" w:fldLock="1"/>
      </w:r>
      <w:r w:rsidR="000525B1">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0525B1">
        <w:rPr>
          <w:rFonts w:ascii="Calibri Light" w:hAnsi="Calibri Light" w:cs="Calibri Light"/>
        </w:rPr>
        <w:instrText></w:instrText>
      </w:r>
      <w:r w:rsidR="000525B1">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BF46D0">
        <w:rPr>
          <w:rFonts w:asciiTheme="majorHAnsi" w:hAnsiTheme="majorHAnsi" w:cstheme="majorHAnsi"/>
        </w:rPr>
        <w:fldChar w:fldCharType="separate"/>
      </w:r>
      <w:r w:rsidR="00BF46D0" w:rsidRPr="00BF46D0">
        <w:rPr>
          <w:rFonts w:asciiTheme="majorHAnsi" w:hAnsiTheme="majorHAnsi" w:cstheme="majorHAnsi"/>
          <w:noProof/>
          <w:vertAlign w:val="superscript"/>
        </w:rPr>
        <w:t>5</w:t>
      </w:r>
      <w:r w:rsidR="00BF46D0">
        <w:rPr>
          <w:rFonts w:asciiTheme="majorHAnsi" w:hAnsiTheme="majorHAnsi" w:cstheme="majorHAnsi"/>
        </w:rPr>
        <w:fldChar w:fldCharType="end"/>
      </w:r>
      <w:r w:rsidR="00BF46D0">
        <w:rPr>
          <w:rFonts w:asciiTheme="majorHAnsi" w:hAnsiTheme="majorHAnsi" w:cstheme="majorHAnsi"/>
        </w:rPr>
        <w:t xml:space="preserve">, and the liver </w:t>
      </w:r>
      <w:r w:rsidR="0025243C">
        <w:rPr>
          <w:rFonts w:asciiTheme="majorHAnsi" w:hAnsiTheme="majorHAnsi" w:cstheme="majorHAnsi"/>
        </w:rPr>
        <w:t>xxxxxxxx</w:t>
      </w:r>
    </w:p>
    <w:p w:rsidR="00BF46D0" w:rsidRDefault="00BF46D0" w:rsidP="009D74FB">
      <w:pPr>
        <w:spacing w:line="480" w:lineRule="auto"/>
        <w:jc w:val="both"/>
        <w:rPr>
          <w:rFonts w:asciiTheme="majorHAnsi" w:hAnsiTheme="majorHAnsi" w:cstheme="majorHAnsi"/>
        </w:rPr>
      </w:pPr>
    </w:p>
    <w:p w:rsidR="00BF46D0" w:rsidRDefault="009D74FB" w:rsidP="009D74FB">
      <w:pPr>
        <w:spacing w:line="480" w:lineRule="auto"/>
        <w:jc w:val="both"/>
        <w:rPr>
          <w:rFonts w:asciiTheme="majorHAnsi" w:hAnsiTheme="majorHAnsi" w:cstheme="majorHAnsi"/>
        </w:rPr>
      </w:pPr>
      <w:r>
        <w:rPr>
          <w:rFonts w:asciiTheme="majorHAnsi" w:hAnsiTheme="majorHAnsi" w:cstheme="majorHAnsi"/>
        </w:rPr>
        <w:lastRenderedPageBreak/>
        <w:t>The Trastuzumab-DOTA-Ac-227 dose per day is in the order of 5 mGy/day between 100-7000 days for the highest exposed order, the spleen, and 2 mGy for the liver at maximum (</w:t>
      </w:r>
      <w:r>
        <w:rPr>
          <w:rFonts w:asciiTheme="majorHAnsi" w:hAnsiTheme="majorHAnsi" w:cstheme="majorHAnsi"/>
          <w:b/>
        </w:rPr>
        <w:t>Figure 5</w:t>
      </w:r>
      <w:r>
        <w:rPr>
          <w:rFonts w:asciiTheme="majorHAnsi" w:hAnsiTheme="majorHAnsi" w:cstheme="majorHAnsi"/>
        </w:rPr>
        <w:t xml:space="preserve">). This </w:t>
      </w:r>
      <w:r w:rsidR="001F39F7">
        <w:rPr>
          <w:rFonts w:asciiTheme="majorHAnsi" w:hAnsiTheme="majorHAnsi" w:cstheme="majorHAnsi"/>
        </w:rPr>
        <w:t>calculates</w:t>
      </w:r>
      <w:r>
        <w:rPr>
          <w:rFonts w:asciiTheme="majorHAnsi" w:hAnsiTheme="majorHAnsi" w:cstheme="majorHAnsi"/>
        </w:rPr>
        <w:t xml:space="preserve"> to an approximate maximum peak of 1.8 Gy/year for the spleen, and 0.73 Gy/year for the liver</w:t>
      </w:r>
      <w:r w:rsidR="001F39F7">
        <w:rPr>
          <w:rFonts w:asciiTheme="majorHAnsi" w:hAnsiTheme="majorHAnsi" w:cstheme="majorHAnsi"/>
        </w:rPr>
        <w:t xml:space="preserve"> in our data with Trastuzumab-DOTA-Ac-227</w:t>
      </w:r>
      <w:r>
        <w:rPr>
          <w:rFonts w:asciiTheme="majorHAnsi" w:hAnsiTheme="majorHAnsi" w:cstheme="majorHAnsi"/>
        </w:rPr>
        <w:t xml:space="preserve">. </w:t>
      </w:r>
    </w:p>
    <w:p w:rsidR="00BF46D0" w:rsidRDefault="00BF46D0" w:rsidP="009D74FB">
      <w:pPr>
        <w:spacing w:line="480" w:lineRule="auto"/>
        <w:jc w:val="both"/>
        <w:rPr>
          <w:rFonts w:asciiTheme="majorHAnsi" w:hAnsiTheme="majorHAnsi" w:cstheme="majorHAnsi"/>
        </w:rPr>
      </w:pPr>
    </w:p>
    <w:p w:rsidR="00BF46D0" w:rsidRDefault="00BF46D0" w:rsidP="009D74FB">
      <w:pPr>
        <w:spacing w:line="480" w:lineRule="auto"/>
        <w:jc w:val="both"/>
        <w:rPr>
          <w:rFonts w:asciiTheme="majorHAnsi" w:hAnsiTheme="majorHAnsi" w:cstheme="majorHAnsi"/>
        </w:rPr>
      </w:pPr>
    </w:p>
    <w:p w:rsidR="00BF46D0" w:rsidRDefault="00BF46D0" w:rsidP="009D74FB">
      <w:pPr>
        <w:spacing w:line="480" w:lineRule="auto"/>
        <w:jc w:val="both"/>
        <w:rPr>
          <w:rFonts w:asciiTheme="majorHAnsi" w:hAnsiTheme="majorHAnsi" w:cstheme="majorHAnsi"/>
        </w:rPr>
      </w:pPr>
    </w:p>
    <w:p w:rsidR="009D74FB" w:rsidRDefault="00BF46D0" w:rsidP="009D74FB">
      <w:pPr>
        <w:spacing w:line="480" w:lineRule="auto"/>
        <w:jc w:val="both"/>
        <w:rPr>
          <w:rFonts w:asciiTheme="majorHAnsi" w:hAnsiTheme="majorHAnsi" w:cstheme="majorHAnsi"/>
        </w:rPr>
      </w:pPr>
      <w:r>
        <w:rPr>
          <w:rFonts w:asciiTheme="majorHAnsi" w:hAnsiTheme="majorHAnsi" w:cstheme="majorHAnsi"/>
        </w:rPr>
        <w:t>Since our data points for spleen t</w:t>
      </w:r>
      <w:r w:rsidR="009D74FB">
        <w:rPr>
          <w:rFonts w:asciiTheme="majorHAnsi" w:hAnsiTheme="majorHAnsi" w:cstheme="majorHAnsi"/>
        </w:rPr>
        <w:t>he spleen and liver organ radiation exposure equivalency is 0.05 (whole body is 1), which produces approximately 0.09 Sv/year for the spleen and 0.037 Sv/year for the liver</w:t>
      </w:r>
      <w:r w:rsidR="001F39F7">
        <w:rPr>
          <w:rFonts w:asciiTheme="majorHAnsi" w:hAnsiTheme="majorHAnsi" w:cstheme="majorHAnsi"/>
        </w:rPr>
        <w:t xml:space="preserve"> in our data</w:t>
      </w:r>
      <w:r w:rsidR="009D74FB">
        <w:rPr>
          <w:rFonts w:asciiTheme="majorHAnsi" w:hAnsiTheme="majorHAnsi" w:cstheme="majorHAnsi"/>
        </w:rPr>
        <w:t xml:space="preserve">. Considering this as the worst case scenario and that the dose is highly confined to these spaces, the side effects are more likely to be on the safe end with less chance of leukopenia or other immune suppression common with bone marrow exposure (cite  - </w:t>
      </w:r>
      <w:r w:rsidR="009D74FB">
        <w:t>Guskova and Baysogolov, 1971 – Radiation sickness classification</w:t>
      </w:r>
      <w:r w:rsidR="009D74FB">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dose</w:t>
      </w: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For instance, if real time points are from 0-10 days, and we extrapolate out to Ac-227 half-life (7946 days), cubic spline is used between 0-10 days, and from 10.25-7946 days are extrapolated by the final activity and </w:t>
      </w:r>
      <w:r w:rsidRPr="005720C6">
        <w:rPr>
          <w:rFonts w:asciiTheme="majorHAnsi" w:hAnsiTheme="majorHAnsi" w:cstheme="majorHAnsi"/>
        </w:rPr>
        <w:lastRenderedPageBreak/>
        <w:t>decayed as if stationary according to the Ac-22X moving power average per time</w:t>
      </w:r>
      <w:r>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DOTA-Tras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r the 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the %RD/g values of </w:t>
      </w:r>
      <w:r>
        <w:rPr>
          <w:rFonts w:asciiTheme="majorHAnsi" w:hAnsiTheme="majorHAnsi" w:cstheme="majorHAnsi"/>
          <w:b/>
        </w:rPr>
        <w:t xml:space="preserve">Figure </w:t>
      </w:r>
      <w:r w:rsidRPr="009652AA">
        <w:rPr>
          <w:rFonts w:asciiTheme="majorHAnsi" w:hAnsiTheme="majorHAnsi" w:cstheme="majorHAnsi"/>
          <w:b/>
        </w:rPr>
        <w:t>2</w:t>
      </w:r>
      <w:r>
        <w:rPr>
          <w:rFonts w:asciiTheme="majorHAnsi" w:hAnsiTheme="majorHAnsi" w:cstheme="majorHAnsi"/>
        </w:rPr>
        <w:t xml:space="preserve"> </w:t>
      </w:r>
      <w:r w:rsidRPr="009652AA">
        <w:rPr>
          <w:rFonts w:asciiTheme="majorHAnsi" w:hAnsiTheme="majorHAnsi" w:cstheme="majorHAnsi"/>
        </w:rPr>
        <w:t>give</w:t>
      </w:r>
      <w:r>
        <w:rPr>
          <w:rFonts w:asciiTheme="majorHAnsi" w:hAnsiTheme="majorHAnsi" w:cstheme="majorHAnsi"/>
        </w:rPr>
        <w:t xml:space="preserve"> an indication of where parent actinium distributed to at each time point, this method is limited by lack of real-time biodistribution of short lived daughter isotopes. Since high energy alpha decays are many orders of magnitude greater in energy than the coordinate bond strength holding the isotope in ligands, recoil effects may dislodge these isotopes from the ligand carrier (</w:t>
      </w:r>
      <w:r w:rsidRPr="00653A4E">
        <w:rPr>
          <w:rFonts w:asciiTheme="majorHAnsi" w:hAnsiTheme="majorHAnsi" w:cstheme="majorHAnsi"/>
          <w:highlight w:val="yellow"/>
        </w:rPr>
        <w:t>cite de Kruijff 2015 -  A Critical Review of Alpha Radionuclide Therapy-How to Deal with Recoiling Daughters?).</w:t>
      </w:r>
      <w:r>
        <w:rPr>
          <w:rFonts w:asciiTheme="majorHAnsi" w:hAnsiTheme="majorHAnsi" w:cstheme="majorHAnsi"/>
        </w:rPr>
        <w:t xml:space="preserve"> Therefore, re-distributed organs will not have an accumulation of activity to count after organ harvesti</w:t>
      </w:r>
      <w:r w:rsidR="007E6034">
        <w:rPr>
          <w:rFonts w:asciiTheme="majorHAnsi" w:hAnsiTheme="majorHAnsi" w:cstheme="majorHAnsi"/>
        </w:rPr>
        <w:t>ng due to the short time frame.</w:t>
      </w:r>
    </w:p>
    <w:p w:rsidR="009D74FB" w:rsidRDefault="007E6034" w:rsidP="009D74FB">
      <w:pPr>
        <w:spacing w:line="480" w:lineRule="auto"/>
        <w:jc w:val="both"/>
        <w:rPr>
          <w:rFonts w:asciiTheme="majorHAnsi" w:hAnsiTheme="majorHAnsi" w:cstheme="majorHAnsi"/>
        </w:rPr>
      </w:pPr>
      <w:r>
        <w:rPr>
          <w:rFonts w:asciiTheme="majorHAnsi" w:hAnsiTheme="majorHAnsi" w:cstheme="majorHAnsi"/>
        </w:rPr>
        <w:t xml:space="preserve">Based upon </w:t>
      </w:r>
      <w:r>
        <w:rPr>
          <w:rFonts w:asciiTheme="majorHAnsi" w:hAnsiTheme="majorHAnsi" w:cstheme="majorHAnsi"/>
          <w:b/>
        </w:rPr>
        <w:t xml:space="preserve">Figure </w:t>
      </w:r>
      <w:r w:rsidRPr="007E6034">
        <w:rPr>
          <w:rFonts w:asciiTheme="majorHAnsi" w:hAnsiTheme="majorHAnsi" w:cstheme="majorHAnsi"/>
          <w:b/>
        </w:rPr>
        <w:t>3</w:t>
      </w:r>
      <w:r>
        <w:rPr>
          <w:rFonts w:asciiTheme="majorHAnsi" w:hAnsiTheme="majorHAnsi" w:cstheme="majorHAnsi"/>
        </w:rPr>
        <w:t xml:space="preserve">, </w:t>
      </w:r>
      <w:r w:rsidR="009D74FB" w:rsidRPr="007E6034">
        <w:rPr>
          <w:rFonts w:asciiTheme="majorHAnsi" w:hAnsiTheme="majorHAnsi" w:cstheme="majorHAnsi"/>
        </w:rPr>
        <w:t>This</w:t>
      </w:r>
      <w:r w:rsidR="009D74FB">
        <w:rPr>
          <w:rFonts w:asciiTheme="majorHAnsi" w:hAnsiTheme="majorHAnsi" w:cstheme="majorHAnsi"/>
        </w:rPr>
        <w:t xml:space="preserve"> effect may be isotope dependent, as Ac-227 should have greater 1st daughter stability vs Ac-225. The initial decay of Ac-227 to Th-227 is a beta (44.8 keV) and much less energetic than the Ac-225 to Fr-221 alpha decay (5.94 MeV), thus Th-227 (half-life = 18.7 days) construct may persist longer in solution relative to Fr-221 (half-life = 4.8 minutes). Modeling the fraction of activity produced </w:t>
      </w:r>
      <w:r w:rsidR="009D74FB">
        <w:rPr>
          <w:rFonts w:asciiTheme="majorHAnsi" w:hAnsiTheme="majorHAnsi" w:cstheme="majorHAnsi"/>
        </w:rPr>
        <w:lastRenderedPageBreak/>
        <w:t xml:space="preserve">from decays prior to the first alpha decay in each Ac-225 and Ac-227 decay chains produces </w:t>
      </w:r>
      <w:r w:rsidR="009D74FB">
        <w:rPr>
          <w:rFonts w:asciiTheme="majorHAnsi" w:hAnsiTheme="majorHAnsi" w:cstheme="majorHAnsi"/>
          <w:b/>
        </w:rPr>
        <w:t>Figure S8</w:t>
      </w:r>
      <w:r w:rsidR="009D74FB" w:rsidRPr="003F2504">
        <w:rPr>
          <w:rFonts w:asciiTheme="majorHAnsi" w:hAnsiTheme="majorHAnsi" w:cstheme="majorHAnsi"/>
        </w:rPr>
        <w:t>.</w:t>
      </w:r>
      <w:r w:rsidR="009D74FB">
        <w:rPr>
          <w:rFonts w:asciiTheme="majorHAnsi" w:hAnsiTheme="majorHAnsi" w:cstheme="majorHAnsi"/>
        </w:rPr>
        <w:t xml:space="preserve"> This portrays how in the Ac-225 system, the Ac-225 to Fr.221 decay is rapid, whereas the Ac-227 and Th-227 species would have a greatly extended period of time until crossing paths at 54 days, much beyond the typical antibody biodistribution half-life, on the order of 5-20 days (</w:t>
      </w:r>
      <w:r w:rsidR="009D74FB" w:rsidRPr="00653A4E">
        <w:rPr>
          <w:rFonts w:asciiTheme="majorHAnsi" w:hAnsiTheme="majorHAnsi" w:cstheme="majorHAnsi"/>
          <w:highlight w:val="yellow"/>
        </w:rPr>
        <w:t>cite antibody half life</w:t>
      </w:r>
      <w:r w:rsidR="009D74FB">
        <w:rPr>
          <w:rFonts w:asciiTheme="majorHAnsi" w:hAnsiTheme="majorHAnsi" w:cstheme="majorHAnsi"/>
        </w:rPr>
        <w:t xml:space="preserve">). </w:t>
      </w:r>
      <w:r w:rsidR="009D74FB" w:rsidRPr="00653A4E">
        <w:rPr>
          <w:rFonts w:asciiTheme="majorHAnsi" w:hAnsiTheme="majorHAnsi" w:cstheme="majorHAnsi"/>
        </w:rPr>
        <w:t>Daughter</w:t>
      </w:r>
      <w:r w:rsidR="009D74FB">
        <w:rPr>
          <w:rFonts w:asciiTheme="majorHAnsi" w:hAnsiTheme="majorHAnsi" w:cstheme="majorHAnsi"/>
        </w:rPr>
        <w:t xml:space="preserve"> isotope re-distribution has been observed in other studies, and redistribution of Bi-213 has been shown to cause dose-limiting renal toxicity in Ac-225 therapies (</w:t>
      </w:r>
      <w:r w:rsidR="009D74FB" w:rsidRPr="009652AA">
        <w:rPr>
          <w:rFonts w:asciiTheme="majorHAnsi" w:hAnsiTheme="majorHAnsi" w:cstheme="majorHAnsi"/>
          <w:highlight w:val="yellow"/>
        </w:rPr>
        <w:t>cite</w:t>
      </w:r>
      <w:r w:rsidR="009D74FB">
        <w:rPr>
          <w:rFonts w:asciiTheme="majorHAnsi" w:hAnsiTheme="majorHAnsi" w:cstheme="majorHAnsi"/>
          <w:highlight w:val="yellow"/>
        </w:rPr>
        <w:t xml:space="preserve"> Jaggi</w:t>
      </w:r>
      <w:r w:rsidR="009D74FB" w:rsidRPr="009652AA">
        <w:rPr>
          <w:highlight w:val="yellow"/>
        </w:rPr>
        <w:t xml:space="preserve"> </w:t>
      </w:r>
      <w:r w:rsidR="009D74FB">
        <w:rPr>
          <w:highlight w:val="yellow"/>
        </w:rPr>
        <w:t xml:space="preserve">2005 </w:t>
      </w:r>
      <w:r w:rsidR="009D74FB" w:rsidRPr="009652AA">
        <w:rPr>
          <w:rFonts w:asciiTheme="majorHAnsi" w:hAnsiTheme="majorHAnsi" w:cstheme="majorHAnsi"/>
          <w:highlight w:val="yellow"/>
        </w:rPr>
        <w:t>Efforts to control the errant products of a targeted in vivo generator.</w:t>
      </w:r>
      <w:r w:rsidR="009D74FB">
        <w:rPr>
          <w:rFonts w:asciiTheme="majorHAnsi" w:hAnsiTheme="majorHAnsi" w:cstheme="majorHAnsi"/>
        </w:rPr>
        <w:t>). While gamma lines of 218 keV and 440 keV may be used to detect Fr-221 (half-life 4.9 minutes) and Bi-213 (half-life 45.6 minutes), we did not have the capability to do real-time detection with a live animal for this study.</w:t>
      </w: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 effects. As can be seen in LR for all three tested 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 it is a factor other than activity counting conditions that is creating isotopic localization.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 not simply due to rapid decay of Ac-225 vs Ac-227. It is possible that changes in LR may be due to free metal scavenging of DOTA-Ac constructs pre-decay (</w:t>
      </w:r>
      <w:r w:rsidRPr="00DE5901">
        <w:rPr>
          <w:rFonts w:asciiTheme="majorHAnsi" w:hAnsiTheme="majorHAnsi" w:cstheme="majorHAnsi"/>
          <w:highlight w:val="yellow"/>
        </w:rPr>
        <w:t>cite isotopic localization chan</w:t>
      </w:r>
      <w:r w:rsidRPr="005725B1">
        <w:rPr>
          <w:rFonts w:asciiTheme="majorHAnsi" w:hAnsiTheme="majorHAnsi" w:cstheme="majorHAnsi"/>
          <w:highlight w:val="yellow"/>
        </w:rPr>
        <w:t>ges in general, and Ac scavenging in vivo</w:t>
      </w:r>
      <w:r>
        <w:rPr>
          <w:rFonts w:asciiTheme="majorHAnsi" w:hAnsiTheme="majorHAnsi" w:cstheme="majorHAnsi"/>
        </w:rPr>
        <w:t xml:space="preserve">?). This could be tested through further experimentation in mice with variations of actinium isotopes dose in weak ligand carrier solutions to promote biomolecular scavenging.  </w:t>
      </w:r>
    </w:p>
    <w:p w:rsidR="00CE02B6" w:rsidRDefault="00CE02B6" w:rsidP="00504374">
      <w:pPr>
        <w:spacing w:line="480" w:lineRule="auto"/>
        <w:jc w:val="both"/>
        <w:rPr>
          <w:rFonts w:asciiTheme="majorHAnsi" w:hAnsiTheme="majorHAnsi" w:cstheme="majorHAnsi"/>
        </w:rPr>
      </w:pPr>
    </w:p>
    <w:p w:rsidR="00CE02B6" w:rsidRDefault="00CE02B6" w:rsidP="00504374">
      <w:pPr>
        <w:spacing w:line="480" w:lineRule="auto"/>
        <w:jc w:val="both"/>
        <w:rPr>
          <w:rFonts w:asciiTheme="majorHAnsi" w:hAnsiTheme="majorHAnsi" w:cstheme="majorHAnsi"/>
        </w:rPr>
      </w:pPr>
    </w:p>
    <w:p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BF46D0" w:rsidRDefault="00BF46D0" w:rsidP="00504374">
      <w:pPr>
        <w:spacing w:line="480" w:lineRule="auto"/>
        <w:jc w:val="both"/>
        <w:rPr>
          <w:rFonts w:asciiTheme="majorHAnsi" w:hAnsiTheme="majorHAnsi" w:cstheme="majorHAnsi"/>
        </w:rPr>
      </w:pPr>
    </w:p>
    <w:p w:rsidR="00BF46D0" w:rsidRDefault="00BF46D0" w:rsidP="00504374">
      <w:pPr>
        <w:spacing w:line="480" w:lineRule="auto"/>
        <w:jc w:val="both"/>
        <w:rPr>
          <w:rFonts w:asciiTheme="majorHAnsi" w:hAnsiTheme="majorHAnsi" w:cstheme="majorHAnsi"/>
        </w:rPr>
      </w:pPr>
    </w:p>
    <w:p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rsidR="00BF46D0" w:rsidRDefault="00BF46D0" w:rsidP="00BF46D0">
      <w:pPr>
        <w:spacing w:line="480" w:lineRule="auto"/>
        <w:jc w:val="both"/>
        <w:rPr>
          <w:rFonts w:asciiTheme="majorHAnsi" w:hAnsiTheme="majorHAnsi" w:cstheme="majorHAnsi"/>
        </w:rPr>
      </w:pPr>
      <w:r>
        <w:rPr>
          <w:rFonts w:asciiTheme="majorHAnsi" w:hAnsiTheme="majorHAnsi" w:cstheme="majorHAnsi"/>
        </w:rPr>
        <w:t xml:space="preserve">Chronic radiation syndrome for humans requires an annual full-body dose of 0.7-1.0 Gy/year of gamma, and cumulative dose greater than 2-3 Gy for 2-3 years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1F39F7">
        <w:rPr>
          <w:rFonts w:asciiTheme="majorHAnsi" w:hAnsiTheme="majorHAnsi" w:cstheme="majorHAnsi"/>
          <w:noProof/>
          <w:vertAlign w:val="superscript"/>
        </w:rPr>
        <w:t>5</w:t>
      </w:r>
      <w:r>
        <w:rPr>
          <w:rFonts w:asciiTheme="majorHAnsi" w:hAnsiTheme="majorHAnsi" w:cstheme="majorHAnsi"/>
        </w:rPr>
        <w:fldChar w:fldCharType="end"/>
      </w:r>
      <w:r>
        <w:rPr>
          <w:rFonts w:asciiTheme="majorHAnsi" w:hAnsiTheme="majorHAnsi" w:cstheme="majorHAnsi"/>
        </w:rPr>
        <w:t>.</w:t>
      </w:r>
    </w:p>
    <w:p w:rsidR="006479C4" w:rsidRDefault="006479C4"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rsidR="009D74FB" w:rsidRDefault="009D74FB" w:rsidP="00504374">
      <w:pPr>
        <w:spacing w:line="480" w:lineRule="auto"/>
        <w:jc w:val="both"/>
        <w:rPr>
          <w:rFonts w:asciiTheme="majorHAnsi" w:hAnsiTheme="majorHAnsi" w:cstheme="majorHAnsi"/>
        </w:rPr>
      </w:pPr>
    </w:p>
    <w:p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BF46D0" w:rsidRDefault="00BF46D0" w:rsidP="00BF46D0">
      <w:pPr>
        <w:spacing w:line="480" w:lineRule="auto"/>
        <w:jc w:val="both"/>
        <w:rPr>
          <w:rFonts w:asciiTheme="majorHAnsi" w:hAnsiTheme="majorHAnsi" w:cstheme="majorHAnsi"/>
        </w:rPr>
      </w:pPr>
    </w:p>
    <w:p w:rsidR="00381E10" w:rsidRDefault="00381E10" w:rsidP="00504374">
      <w:pPr>
        <w:spacing w:line="480" w:lineRule="auto"/>
        <w:jc w:val="both"/>
        <w:rPr>
          <w:rFonts w:asciiTheme="majorHAnsi" w:hAnsiTheme="majorHAnsi" w:cstheme="majorHAnsi"/>
          <w:b/>
        </w:rPr>
      </w:pPr>
    </w:p>
    <w:p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7E09D5" w:rsidRPr="007E09D5" w:rsidRDefault="004B0392" w:rsidP="007E09D5">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7E09D5" w:rsidRPr="007E09D5">
        <w:rPr>
          <w:rFonts w:ascii="Calibri Light" w:hAnsi="Calibri Light" w:cs="Calibri Light"/>
          <w:noProof/>
          <w:szCs w:val="24"/>
        </w:rPr>
        <w:t xml:space="preserve">1. </w:t>
      </w:r>
      <w:r w:rsidR="007E09D5" w:rsidRPr="007E09D5">
        <w:rPr>
          <w:rFonts w:ascii="Calibri Light" w:hAnsi="Calibri Light" w:cs="Calibri Light"/>
          <w:noProof/>
          <w:szCs w:val="24"/>
        </w:rPr>
        <w:tab/>
        <w:t xml:space="preserve">McDevitt MR, Ma D, Lai L, et al. Tumor Therapy with Targeted Atomic Nanogenerators. </w:t>
      </w:r>
      <w:r w:rsidR="007E09D5" w:rsidRPr="007E09D5">
        <w:rPr>
          <w:rFonts w:ascii="Calibri Light" w:hAnsi="Calibri Light" w:cs="Calibri Light"/>
          <w:i/>
          <w:iCs/>
          <w:noProof/>
          <w:szCs w:val="24"/>
        </w:rPr>
        <w:t>Science (80- )</w:t>
      </w:r>
      <w:r w:rsidR="007E09D5" w:rsidRPr="007E09D5">
        <w:rPr>
          <w:rFonts w:ascii="Calibri Light" w:hAnsi="Calibri Light" w:cs="Calibri Light"/>
          <w:noProof/>
          <w:szCs w:val="24"/>
        </w:rPr>
        <w:t>. 2001;294(5546):1537-1540. doi:10.1126/science.1064126</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2. </w:t>
      </w:r>
      <w:r w:rsidRPr="007E09D5">
        <w:rPr>
          <w:rFonts w:ascii="Calibri Light" w:hAnsi="Calibri Light" w:cs="Calibri Light"/>
          <w:noProof/>
          <w:szCs w:val="24"/>
        </w:rPr>
        <w:tab/>
        <w:t xml:space="preserve">Sharma SK, Chow A, Monette S, et al. Fc-mediated anomalous biodistribution of therapeutic antibodies in immunodeficient mouse models. </w:t>
      </w:r>
      <w:r w:rsidRPr="007E09D5">
        <w:rPr>
          <w:rFonts w:ascii="Calibri Light" w:hAnsi="Calibri Light" w:cs="Calibri Light"/>
          <w:i/>
          <w:iCs/>
          <w:noProof/>
          <w:szCs w:val="24"/>
        </w:rPr>
        <w:t>Cancer Res</w:t>
      </w:r>
      <w:r w:rsidRPr="007E09D5">
        <w:rPr>
          <w:rFonts w:ascii="Calibri Light" w:hAnsi="Calibri Light" w:cs="Calibri Light"/>
          <w:noProof/>
          <w:szCs w:val="24"/>
        </w:rPr>
        <w:t>. 2018;78(7):1820-1832. doi:10.1158/0008-5472.CAN-17-1958</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3. </w:t>
      </w:r>
      <w:r w:rsidRPr="007E09D5">
        <w:rPr>
          <w:rFonts w:ascii="Calibri Light" w:hAnsi="Calibri Light" w:cs="Calibri Light"/>
          <w:noProof/>
          <w:szCs w:val="24"/>
        </w:rPr>
        <w:tab/>
        <w:t xml:space="preserve">A. Scheinberg D, R. McDevitt M. Actinium-225 in Targeted Alpha-Particle Therapeutic Applications. </w:t>
      </w:r>
      <w:r w:rsidRPr="007E09D5">
        <w:rPr>
          <w:rFonts w:ascii="Calibri Light" w:hAnsi="Calibri Light" w:cs="Calibri Light"/>
          <w:i/>
          <w:iCs/>
          <w:noProof/>
          <w:szCs w:val="24"/>
        </w:rPr>
        <w:t>Curr Radiopharm</w:t>
      </w:r>
      <w:r w:rsidRPr="007E09D5">
        <w:rPr>
          <w:rFonts w:ascii="Calibri Light" w:hAnsi="Calibri Light" w:cs="Calibri Light"/>
          <w:noProof/>
          <w:szCs w:val="24"/>
        </w:rPr>
        <w:t>. 2012. doi:10.2174/1874471011104040306</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4. </w:t>
      </w:r>
      <w:r w:rsidRPr="007E09D5">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7E09D5">
        <w:rPr>
          <w:rFonts w:ascii="Calibri Light" w:hAnsi="Calibri Light" w:cs="Calibri Light"/>
          <w:i/>
          <w:iCs/>
          <w:noProof/>
          <w:szCs w:val="24"/>
        </w:rPr>
        <w:t>Sci Rep</w:t>
      </w:r>
      <w:r w:rsidRPr="007E09D5">
        <w:rPr>
          <w:rFonts w:ascii="Calibri Light" w:hAnsi="Calibri Light" w:cs="Calibri Light"/>
          <w:noProof/>
          <w:szCs w:val="24"/>
        </w:rPr>
        <w:t>. 2018;8(1):2-10. doi:10.1038/s41598-018-22511-6</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5. </w:t>
      </w:r>
      <w:r w:rsidRPr="007E09D5">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7E09D5">
        <w:rPr>
          <w:rFonts w:ascii="Calibri Light" w:hAnsi="Calibri Light" w:cs="Calibri Light"/>
          <w:i/>
          <w:iCs/>
          <w:noProof/>
          <w:szCs w:val="24"/>
        </w:rPr>
        <w:t>Ann ICRP</w:t>
      </w:r>
      <w:r w:rsidRPr="007E09D5">
        <w:rPr>
          <w:rFonts w:ascii="Calibri Light" w:hAnsi="Calibri Light" w:cs="Calibri Light"/>
          <w:noProof/>
          <w:szCs w:val="24"/>
        </w:rPr>
        <w:t>. 2012;41(1-2):1-322. doi:10.1016/j.icrp.2012.02.001</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6. </w:t>
      </w:r>
      <w:r w:rsidRPr="007E09D5">
        <w:rPr>
          <w:rFonts w:ascii="Calibri Light" w:hAnsi="Calibri Light" w:cs="Calibri Light"/>
          <w:noProof/>
          <w:szCs w:val="24"/>
        </w:rPr>
        <w:tab/>
        <w:t xml:space="preserve">U.S.NRC. </w:t>
      </w:r>
      <w:r w:rsidRPr="007E09D5">
        <w:rPr>
          <w:rFonts w:ascii="Calibri Light" w:hAnsi="Calibri Light" w:cs="Calibri Light"/>
          <w:i/>
          <w:iCs/>
          <w:noProof/>
          <w:szCs w:val="24"/>
        </w:rPr>
        <w:t>NRC Regulations 10 CFR Subpart C--Occupational Dose Limits--20.1201</w:t>
      </w:r>
      <w:r w:rsidRPr="007E09D5">
        <w:rPr>
          <w:rFonts w:ascii="Calibri Light" w:hAnsi="Calibri Light" w:cs="Calibri Light"/>
          <w:noProof/>
          <w:szCs w:val="24"/>
        </w:rPr>
        <w:t>. https://www.nrc.gov/reading-rm/doc-collections/cfr/part020/part020-1201.html.</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7. </w:t>
      </w:r>
      <w:r w:rsidRPr="007E09D5">
        <w:rPr>
          <w:rFonts w:ascii="Calibri Light" w:hAnsi="Calibri Light" w:cs="Calibri Light"/>
          <w:noProof/>
          <w:szCs w:val="24"/>
        </w:rPr>
        <w:tab/>
        <w:t xml:space="preserve">Higley K, Real A, Chambers D. Annals of the ICRP Annals of the ICRP. </w:t>
      </w:r>
      <w:r w:rsidRPr="007E09D5">
        <w:rPr>
          <w:rFonts w:ascii="Calibri Light" w:hAnsi="Calibri Light" w:cs="Calibri Light"/>
          <w:i/>
          <w:iCs/>
          <w:noProof/>
          <w:szCs w:val="24"/>
        </w:rPr>
        <w:t>Ann ICRP</w:t>
      </w:r>
      <w:r w:rsidRPr="007E09D5">
        <w:rPr>
          <w:rFonts w:ascii="Calibri Light" w:hAnsi="Calibri Light" w:cs="Calibri Light"/>
          <w:noProof/>
          <w:szCs w:val="24"/>
        </w:rPr>
        <w:t>. 2018;ICRP ref:</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8. </w:t>
      </w:r>
      <w:r w:rsidRPr="007E09D5">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7E09D5">
        <w:rPr>
          <w:rFonts w:ascii="Calibri Light" w:hAnsi="Calibri Light" w:cs="Calibri Light"/>
          <w:i/>
          <w:iCs/>
          <w:noProof/>
          <w:szCs w:val="24"/>
        </w:rPr>
        <w:t>J Nucl Med</w:t>
      </w:r>
      <w:r w:rsidRPr="007E09D5">
        <w:rPr>
          <w:rFonts w:ascii="Calibri Light" w:hAnsi="Calibri Light" w:cs="Calibri Light"/>
          <w:noProof/>
          <w:szCs w:val="24"/>
        </w:rPr>
        <w:t>. 2017;58(10):1624-1631. doi:10.2967/jnumed.117.191395</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lastRenderedPageBreak/>
        <w:t xml:space="preserve">9. </w:t>
      </w:r>
      <w:r w:rsidRPr="007E09D5">
        <w:rPr>
          <w:rFonts w:ascii="Calibri Light" w:hAnsi="Calibri Light" w:cs="Calibri Light"/>
          <w:noProof/>
          <w:szCs w:val="24"/>
        </w:rPr>
        <w:tab/>
        <w:t xml:space="preserve">Lengana T, Mahapane J, Lawal I, et al. 225Ac-PSMA-617 in chemotherapy-naive patients with advanced prostate cancer: a pilot study. </w:t>
      </w:r>
      <w:r w:rsidRPr="007E09D5">
        <w:rPr>
          <w:rFonts w:ascii="Calibri Light" w:hAnsi="Calibri Light" w:cs="Calibri Light"/>
          <w:i/>
          <w:iCs/>
          <w:noProof/>
          <w:szCs w:val="24"/>
        </w:rPr>
        <w:t>Eur J Nucl Med Mol Imaging</w:t>
      </w:r>
      <w:r w:rsidRPr="007E09D5">
        <w:rPr>
          <w:rFonts w:ascii="Calibri Light" w:hAnsi="Calibri Light" w:cs="Calibri Light"/>
          <w:noProof/>
          <w:szCs w:val="24"/>
        </w:rPr>
        <w:t>. 2018;46(1):129-138. doi:10.1007/s00259-018-4167-0</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10. </w:t>
      </w:r>
      <w:r w:rsidRPr="007E09D5">
        <w:rPr>
          <w:rFonts w:ascii="Calibri Light" w:hAnsi="Calibri Light" w:cs="Calibri Light"/>
          <w:noProof/>
          <w:szCs w:val="24"/>
        </w:rPr>
        <w:tab/>
        <w:t xml:space="preserve">Kratochwil C, Schmidt K, Afshar-Oromieh A, et al. Targeted alpha therapy of mCRPC: Dosimetry estimate of 213Bismuth-PSMA-617. </w:t>
      </w:r>
      <w:r w:rsidRPr="007E09D5">
        <w:rPr>
          <w:rFonts w:ascii="Calibri Light" w:hAnsi="Calibri Light" w:cs="Calibri Light"/>
          <w:i/>
          <w:iCs/>
          <w:noProof/>
          <w:szCs w:val="24"/>
        </w:rPr>
        <w:t>Eur J Nucl Med Mol Imaging</w:t>
      </w:r>
      <w:r w:rsidRPr="007E09D5">
        <w:rPr>
          <w:rFonts w:ascii="Calibri Light" w:hAnsi="Calibri Light" w:cs="Calibri Light"/>
          <w:noProof/>
          <w:szCs w:val="24"/>
        </w:rPr>
        <w:t>. 2018;45(1):31-37. doi:10.1007/s00259-017-3817-y</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11. </w:t>
      </w:r>
      <w:r w:rsidRPr="007E09D5">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7E09D5">
        <w:rPr>
          <w:rFonts w:ascii="Calibri Light" w:hAnsi="Calibri Light" w:cs="Calibri Light"/>
          <w:i/>
          <w:iCs/>
          <w:noProof/>
          <w:szCs w:val="24"/>
        </w:rPr>
        <w:t>Int J Radiat Oncol Biol Phys</w:t>
      </w:r>
      <w:r w:rsidRPr="007E09D5">
        <w:rPr>
          <w:rFonts w:ascii="Calibri Light" w:hAnsi="Calibri Light" w:cs="Calibri Light"/>
          <w:noProof/>
          <w:szCs w:val="24"/>
        </w:rPr>
        <w:t>. 2006;64(5):1503-1512. doi:10.1016/j.ijrobp.2005.11.036</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12. </w:t>
      </w:r>
      <w:r w:rsidRPr="007E09D5">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7E09D5">
        <w:rPr>
          <w:rFonts w:ascii="Calibri Light" w:hAnsi="Calibri Light" w:cs="Calibri Light"/>
          <w:i/>
          <w:iCs/>
          <w:noProof/>
          <w:szCs w:val="24"/>
        </w:rPr>
        <w:t>EJNMMI Res</w:t>
      </w:r>
      <w:r w:rsidRPr="007E09D5">
        <w:rPr>
          <w:rFonts w:ascii="Calibri Light" w:hAnsi="Calibri Light" w:cs="Calibri Light"/>
          <w:noProof/>
          <w:szCs w:val="24"/>
        </w:rPr>
        <w:t>. 2017;7. doi:10.1186/s13550-017-0303-2</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13. </w:t>
      </w:r>
      <w:r w:rsidRPr="007E09D5">
        <w:rPr>
          <w:rFonts w:ascii="Calibri Light" w:hAnsi="Calibri Light" w:cs="Calibri Light"/>
          <w:noProof/>
          <w:szCs w:val="24"/>
        </w:rPr>
        <w:tab/>
        <w:t xml:space="preserve">Pan CC, Kavanagh BD, Dawson LA, et al. Radiation-Associated Liver Injury. </w:t>
      </w:r>
      <w:r w:rsidRPr="007E09D5">
        <w:rPr>
          <w:rFonts w:ascii="Calibri Light" w:hAnsi="Calibri Light" w:cs="Calibri Light"/>
          <w:i/>
          <w:iCs/>
          <w:noProof/>
          <w:szCs w:val="24"/>
        </w:rPr>
        <w:t>Int J Radiat Oncol Biol Phys</w:t>
      </w:r>
      <w:r w:rsidRPr="007E09D5">
        <w:rPr>
          <w:rFonts w:ascii="Calibri Light" w:hAnsi="Calibri Light" w:cs="Calibri Light"/>
          <w:noProof/>
          <w:szCs w:val="24"/>
        </w:rPr>
        <w:t>. 2010. doi:10.1016/j.ijrobp.2009.06.092</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14. </w:t>
      </w:r>
      <w:r w:rsidRPr="007E09D5">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7E09D5">
        <w:rPr>
          <w:rFonts w:ascii="Calibri Light" w:hAnsi="Calibri Light" w:cs="Calibri Light"/>
          <w:i/>
          <w:iCs/>
          <w:noProof/>
          <w:szCs w:val="24"/>
        </w:rPr>
        <w:t>Dose-Response</w:t>
      </w:r>
      <w:r w:rsidRPr="007E09D5">
        <w:rPr>
          <w:rFonts w:ascii="Calibri Light" w:hAnsi="Calibri Light" w:cs="Calibri Light"/>
          <w:noProof/>
          <w:szCs w:val="24"/>
        </w:rPr>
        <w:t>. 2012. doi:10.2203/dose-response.12-014.Feinendegen</w:t>
      </w:r>
    </w:p>
    <w:p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rPr>
      </w:pPr>
      <w:r w:rsidRPr="007E09D5">
        <w:rPr>
          <w:rFonts w:ascii="Calibri Light" w:hAnsi="Calibri Light" w:cs="Calibri Light"/>
          <w:noProof/>
          <w:szCs w:val="24"/>
        </w:rPr>
        <w:t xml:space="preserve">15. </w:t>
      </w:r>
      <w:r w:rsidRPr="007E09D5">
        <w:rPr>
          <w:rFonts w:ascii="Calibri Light" w:hAnsi="Calibri Light" w:cs="Calibri Light"/>
          <w:noProof/>
          <w:szCs w:val="24"/>
        </w:rPr>
        <w:tab/>
        <w:t xml:space="preserve">Akleyev A V. Normal tissue reactions to chronic radiation exposure in man. </w:t>
      </w:r>
      <w:r w:rsidRPr="007E09D5">
        <w:rPr>
          <w:rFonts w:ascii="Calibri Light" w:hAnsi="Calibri Light" w:cs="Calibri Light"/>
          <w:i/>
          <w:iCs/>
          <w:noProof/>
          <w:szCs w:val="24"/>
        </w:rPr>
        <w:t>Radiat Prot Dosimetry</w:t>
      </w:r>
      <w:r w:rsidRPr="007E09D5">
        <w:rPr>
          <w:rFonts w:ascii="Calibri Light" w:hAnsi="Calibri Light" w:cs="Calibri Light"/>
          <w:noProof/>
          <w:szCs w:val="24"/>
        </w:rPr>
        <w:t>. 2016. doi:10.1093/rpd/ncw207</w:t>
      </w:r>
    </w:p>
    <w:p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lastRenderedPageBreak/>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3ACC1447" wp14:editId="4232AC2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CC1447"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2D023AA4" wp14:editId="49907873">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4669A992" wp14:editId="5E9B1F0D">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00032DD6" wp14:editId="150224BD">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rsidR="00DE5EED" w:rsidRDefault="00DE5EED" w:rsidP="00504374">
      <w:pPr>
        <w:jc w:val="both"/>
        <w:rPr>
          <w:rFonts w:asciiTheme="majorHAnsi" w:hAnsiTheme="majorHAnsi" w:cstheme="majorHAnsi"/>
        </w:rPr>
      </w:pPr>
    </w:p>
    <w:p w:rsidR="00435035" w:rsidRDefault="00435035" w:rsidP="00504374">
      <w:pPr>
        <w:jc w:val="both"/>
        <w:rPr>
          <w:rFonts w:asciiTheme="majorHAnsi" w:hAnsiTheme="majorHAnsi" w:cstheme="majorHAnsi"/>
        </w:rPr>
      </w:pPr>
      <w:r>
        <w:rPr>
          <w:rFonts w:asciiTheme="majorHAnsi" w:hAnsiTheme="majorHAnsi" w:cstheme="majorHAnsi"/>
        </w:rPr>
        <w:br w:type="page"/>
      </w:r>
    </w:p>
    <w:p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rsidP="00504374">
      <w:pPr>
        <w:jc w:val="both"/>
        <w:rPr>
          <w:rFonts w:asciiTheme="majorHAnsi" w:hAnsiTheme="majorHAnsi" w:cstheme="majorHAnsi"/>
        </w:rPr>
      </w:pPr>
      <w:r>
        <w:rPr>
          <w:rFonts w:asciiTheme="majorHAnsi" w:hAnsiTheme="majorHAnsi" w:cstheme="majorHAnsi"/>
        </w:rPr>
        <w:br w:type="page"/>
      </w:r>
    </w:p>
    <w:p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504374">
      <w:pPr>
        <w:spacing w:line="480" w:lineRule="auto"/>
        <w:jc w:val="both"/>
        <w:rPr>
          <w:rFonts w:asciiTheme="majorHAnsi" w:hAnsiTheme="majorHAnsi" w:cstheme="majorHAnsi"/>
          <w:b/>
        </w:rPr>
      </w:pPr>
    </w:p>
    <w:p w:rsidR="00563D98" w:rsidRDefault="00563D98" w:rsidP="00504374">
      <w:pPr>
        <w:jc w:val="both"/>
        <w:rPr>
          <w:rFonts w:asciiTheme="majorHAnsi" w:hAnsiTheme="majorHAnsi" w:cstheme="majorHAnsi"/>
          <w:b/>
        </w:rPr>
      </w:pPr>
      <w:r>
        <w:rPr>
          <w:rFonts w:asciiTheme="majorHAnsi" w:hAnsiTheme="majorHAnsi" w:cstheme="majorHAnsi"/>
          <w:b/>
        </w:rPr>
        <w:br w:type="page"/>
      </w:r>
    </w:p>
    <w:p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504374">
      <w:pPr>
        <w:spacing w:line="480" w:lineRule="auto"/>
        <w:jc w:val="both"/>
        <w:rPr>
          <w:rFonts w:asciiTheme="majorHAnsi" w:hAnsiTheme="majorHAnsi" w:cstheme="majorHAnsi"/>
        </w:rPr>
      </w:pPr>
    </w:p>
    <w:p w:rsidR="00582129" w:rsidRDefault="00582129" w:rsidP="00504374">
      <w:pPr>
        <w:jc w:val="both"/>
        <w:rPr>
          <w:rFonts w:asciiTheme="majorHAnsi" w:hAnsiTheme="majorHAnsi" w:cstheme="majorHAnsi"/>
          <w:b/>
        </w:rPr>
      </w:pPr>
      <w:r>
        <w:rPr>
          <w:rFonts w:asciiTheme="majorHAnsi" w:hAnsiTheme="majorHAnsi" w:cstheme="majorHAnsi"/>
          <w:b/>
        </w:rPr>
        <w:br w:type="page"/>
      </w:r>
    </w:p>
    <w:p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E4830C5" wp14:editId="0283A92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0FFD2C7A" wp14:editId="7EA00458">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D2C7A"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5BD3B01F" wp14:editId="63187924">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D3B01F"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rsidP="00504374">
      <w:pPr>
        <w:jc w:val="both"/>
        <w:rPr>
          <w:rFonts w:asciiTheme="majorHAnsi" w:hAnsiTheme="majorHAnsi" w:cstheme="majorHAnsi"/>
        </w:rPr>
      </w:pPr>
      <w:r>
        <w:rPr>
          <w:rFonts w:asciiTheme="majorHAnsi" w:hAnsiTheme="majorHAnsi" w:cstheme="majorHAnsi"/>
        </w:rPr>
        <w:br w:type="page"/>
      </w:r>
    </w:p>
    <w:p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rsidR="00CD587F" w:rsidRDefault="00CD587F">
      <w:pPr>
        <w:rPr>
          <w:rFonts w:asciiTheme="majorHAnsi" w:hAnsiTheme="majorHAnsi" w:cstheme="majorHAnsi"/>
        </w:rPr>
      </w:pPr>
      <w:r>
        <w:rPr>
          <w:rFonts w:asciiTheme="majorHAnsi" w:hAnsiTheme="majorHAnsi" w:cstheme="majorHAnsi"/>
        </w:rPr>
        <w:br w:type="page"/>
      </w:r>
    </w:p>
    <w:p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3CEC38CA" wp14:editId="4D4B67A3">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3CEC38CA"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0D3B247" wp14:editId="346B345F">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0D3B247"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26BE2"/>
    <w:rsid w:val="00031F3A"/>
    <w:rsid w:val="00042F11"/>
    <w:rsid w:val="00044576"/>
    <w:rsid w:val="00047FA0"/>
    <w:rsid w:val="000525B1"/>
    <w:rsid w:val="00065026"/>
    <w:rsid w:val="000668AB"/>
    <w:rsid w:val="00066B20"/>
    <w:rsid w:val="00081F16"/>
    <w:rsid w:val="00082B36"/>
    <w:rsid w:val="000867BD"/>
    <w:rsid w:val="000875D0"/>
    <w:rsid w:val="000B26C0"/>
    <w:rsid w:val="000E016E"/>
    <w:rsid w:val="000E31FA"/>
    <w:rsid w:val="000E698C"/>
    <w:rsid w:val="000F047C"/>
    <w:rsid w:val="00101D64"/>
    <w:rsid w:val="00112CFC"/>
    <w:rsid w:val="00113F18"/>
    <w:rsid w:val="001241BF"/>
    <w:rsid w:val="0013203E"/>
    <w:rsid w:val="00137814"/>
    <w:rsid w:val="001400E2"/>
    <w:rsid w:val="00143FE0"/>
    <w:rsid w:val="0015344D"/>
    <w:rsid w:val="00155432"/>
    <w:rsid w:val="00165CD1"/>
    <w:rsid w:val="00166AF1"/>
    <w:rsid w:val="001707AE"/>
    <w:rsid w:val="00186DD6"/>
    <w:rsid w:val="001A49A2"/>
    <w:rsid w:val="001B6560"/>
    <w:rsid w:val="001C20EC"/>
    <w:rsid w:val="001C51D0"/>
    <w:rsid w:val="001D1790"/>
    <w:rsid w:val="001D4AE3"/>
    <w:rsid w:val="001E75F4"/>
    <w:rsid w:val="001F39F7"/>
    <w:rsid w:val="00223A76"/>
    <w:rsid w:val="00237E06"/>
    <w:rsid w:val="00241575"/>
    <w:rsid w:val="002443D0"/>
    <w:rsid w:val="002474C9"/>
    <w:rsid w:val="0025243C"/>
    <w:rsid w:val="0025683D"/>
    <w:rsid w:val="0026230D"/>
    <w:rsid w:val="00270D54"/>
    <w:rsid w:val="00272FF3"/>
    <w:rsid w:val="00276FC0"/>
    <w:rsid w:val="0029181E"/>
    <w:rsid w:val="002929D8"/>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4D0AE6"/>
    <w:rsid w:val="004E0487"/>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BA4"/>
    <w:rsid w:val="005C6C33"/>
    <w:rsid w:val="005F1DCF"/>
    <w:rsid w:val="005F5EFB"/>
    <w:rsid w:val="005F772F"/>
    <w:rsid w:val="006012E3"/>
    <w:rsid w:val="006043F9"/>
    <w:rsid w:val="0062220D"/>
    <w:rsid w:val="00633C1F"/>
    <w:rsid w:val="006479C4"/>
    <w:rsid w:val="00653A4E"/>
    <w:rsid w:val="00657B63"/>
    <w:rsid w:val="00667620"/>
    <w:rsid w:val="00677A09"/>
    <w:rsid w:val="00681DC6"/>
    <w:rsid w:val="00687C85"/>
    <w:rsid w:val="00690B7B"/>
    <w:rsid w:val="006A1879"/>
    <w:rsid w:val="006B024D"/>
    <w:rsid w:val="006C1847"/>
    <w:rsid w:val="006C7A50"/>
    <w:rsid w:val="00706049"/>
    <w:rsid w:val="00722B68"/>
    <w:rsid w:val="0073529E"/>
    <w:rsid w:val="007565E7"/>
    <w:rsid w:val="00765788"/>
    <w:rsid w:val="00782A95"/>
    <w:rsid w:val="00782E1D"/>
    <w:rsid w:val="00787894"/>
    <w:rsid w:val="0079797F"/>
    <w:rsid w:val="007A00B2"/>
    <w:rsid w:val="007C120E"/>
    <w:rsid w:val="007C360F"/>
    <w:rsid w:val="007C435E"/>
    <w:rsid w:val="007C5A41"/>
    <w:rsid w:val="007E09D5"/>
    <w:rsid w:val="007E3A6C"/>
    <w:rsid w:val="007E6034"/>
    <w:rsid w:val="007F2318"/>
    <w:rsid w:val="00803EB3"/>
    <w:rsid w:val="00804805"/>
    <w:rsid w:val="00810AA5"/>
    <w:rsid w:val="00827A42"/>
    <w:rsid w:val="00841B05"/>
    <w:rsid w:val="00861B35"/>
    <w:rsid w:val="0086594B"/>
    <w:rsid w:val="008806D1"/>
    <w:rsid w:val="008807CD"/>
    <w:rsid w:val="00883B0B"/>
    <w:rsid w:val="0089058B"/>
    <w:rsid w:val="00896D09"/>
    <w:rsid w:val="008A3CE1"/>
    <w:rsid w:val="008A6021"/>
    <w:rsid w:val="008B1A72"/>
    <w:rsid w:val="008B1E20"/>
    <w:rsid w:val="008C03B5"/>
    <w:rsid w:val="008C67B8"/>
    <w:rsid w:val="008C7A7C"/>
    <w:rsid w:val="008C7C57"/>
    <w:rsid w:val="008E4DE5"/>
    <w:rsid w:val="008E62EB"/>
    <w:rsid w:val="008F235B"/>
    <w:rsid w:val="008F6E8B"/>
    <w:rsid w:val="009079E2"/>
    <w:rsid w:val="009273B0"/>
    <w:rsid w:val="00936059"/>
    <w:rsid w:val="009651F3"/>
    <w:rsid w:val="009652AA"/>
    <w:rsid w:val="00965420"/>
    <w:rsid w:val="009770CC"/>
    <w:rsid w:val="00980AF2"/>
    <w:rsid w:val="009874E9"/>
    <w:rsid w:val="009B3AF2"/>
    <w:rsid w:val="009B5463"/>
    <w:rsid w:val="009B57A8"/>
    <w:rsid w:val="009D3005"/>
    <w:rsid w:val="009D74FB"/>
    <w:rsid w:val="009E563F"/>
    <w:rsid w:val="009E5990"/>
    <w:rsid w:val="009E5B8D"/>
    <w:rsid w:val="00A24E78"/>
    <w:rsid w:val="00A463C7"/>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41D32"/>
    <w:rsid w:val="00B51AEF"/>
    <w:rsid w:val="00B535CB"/>
    <w:rsid w:val="00B553A6"/>
    <w:rsid w:val="00B56B08"/>
    <w:rsid w:val="00B614C6"/>
    <w:rsid w:val="00B64C11"/>
    <w:rsid w:val="00B721EB"/>
    <w:rsid w:val="00B9671C"/>
    <w:rsid w:val="00BA53AD"/>
    <w:rsid w:val="00BB0C69"/>
    <w:rsid w:val="00BB313B"/>
    <w:rsid w:val="00BD2433"/>
    <w:rsid w:val="00BE10C4"/>
    <w:rsid w:val="00BE3D23"/>
    <w:rsid w:val="00BE4B84"/>
    <w:rsid w:val="00BF46D0"/>
    <w:rsid w:val="00BF4891"/>
    <w:rsid w:val="00BF5AB7"/>
    <w:rsid w:val="00C026AE"/>
    <w:rsid w:val="00C06710"/>
    <w:rsid w:val="00C12BBB"/>
    <w:rsid w:val="00C16D83"/>
    <w:rsid w:val="00C25F05"/>
    <w:rsid w:val="00C351F1"/>
    <w:rsid w:val="00C53CAB"/>
    <w:rsid w:val="00C609DD"/>
    <w:rsid w:val="00C61142"/>
    <w:rsid w:val="00C6542C"/>
    <w:rsid w:val="00C66364"/>
    <w:rsid w:val="00C73F8F"/>
    <w:rsid w:val="00C74806"/>
    <w:rsid w:val="00C769C3"/>
    <w:rsid w:val="00C81EF2"/>
    <w:rsid w:val="00C875BC"/>
    <w:rsid w:val="00C90718"/>
    <w:rsid w:val="00C91C83"/>
    <w:rsid w:val="00CA2C43"/>
    <w:rsid w:val="00CB6D0D"/>
    <w:rsid w:val="00CC1637"/>
    <w:rsid w:val="00CC6756"/>
    <w:rsid w:val="00CC765A"/>
    <w:rsid w:val="00CD587F"/>
    <w:rsid w:val="00CD6374"/>
    <w:rsid w:val="00CE02B6"/>
    <w:rsid w:val="00CF2B00"/>
    <w:rsid w:val="00CF3C1B"/>
    <w:rsid w:val="00D04A6D"/>
    <w:rsid w:val="00D05504"/>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74ACE"/>
    <w:rsid w:val="00E87AE7"/>
    <w:rsid w:val="00E91DBE"/>
    <w:rsid w:val="00E922DD"/>
    <w:rsid w:val="00E95790"/>
    <w:rsid w:val="00E965F7"/>
    <w:rsid w:val="00EB5409"/>
    <w:rsid w:val="00EC658F"/>
    <w:rsid w:val="00EE3F64"/>
    <w:rsid w:val="00EF6630"/>
    <w:rsid w:val="00F053C3"/>
    <w:rsid w:val="00F05C62"/>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9E7DF"/>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ndrewllakes@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6E1F9-07B7-47AC-80F1-AA745809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38</Pages>
  <Words>15493</Words>
  <Characters>88311</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3</cp:revision>
  <dcterms:created xsi:type="dcterms:W3CDTF">2019-08-06T17:50:00Z</dcterms:created>
  <dcterms:modified xsi:type="dcterms:W3CDTF">2019-08-07T22:28:00Z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