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5DBF9" w14:textId="77777777"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14:paraId="1A84B268" w14:textId="77777777" w:rsidR="00D72D66" w:rsidRDefault="00D72D66" w:rsidP="00504374">
      <w:pPr>
        <w:spacing w:line="480" w:lineRule="auto"/>
        <w:jc w:val="both"/>
        <w:rPr>
          <w:rFonts w:asciiTheme="majorHAnsi" w:hAnsiTheme="majorHAnsi" w:cstheme="majorHAnsi"/>
          <w:b/>
        </w:rPr>
      </w:pPr>
    </w:p>
    <w:p w14:paraId="6FBCF62D" w14:textId="1D0725C3" w:rsidR="008C67B8" w:rsidRPr="00C06710" w:rsidRDefault="00C2163A" w:rsidP="00504374">
      <w:pPr>
        <w:spacing w:line="480" w:lineRule="auto"/>
        <w:jc w:val="both"/>
        <w:rPr>
          <w:rFonts w:asciiTheme="majorHAnsi" w:hAnsiTheme="majorHAnsi" w:cstheme="majorHAnsi"/>
          <w:b/>
        </w:rPr>
      </w:pPr>
      <w:r>
        <w:rPr>
          <w:rFonts w:asciiTheme="majorHAnsi" w:hAnsiTheme="majorHAnsi" w:cstheme="majorHAnsi"/>
          <w:b/>
        </w:rPr>
        <w:t xml:space="preserve">Long-term </w:t>
      </w:r>
      <w:r w:rsidR="004D0AE6">
        <w:rPr>
          <w:rFonts w:asciiTheme="majorHAnsi" w:hAnsiTheme="majorHAnsi" w:cstheme="majorHAnsi"/>
          <w:b/>
        </w:rPr>
        <w:t>Ac-227 Dose of Accelerator Generated</w:t>
      </w:r>
      <w:r w:rsidR="00C91C83">
        <w:rPr>
          <w:rFonts w:asciiTheme="majorHAnsi" w:hAnsiTheme="majorHAnsi" w:cstheme="majorHAnsi"/>
          <w:b/>
        </w:rPr>
        <w:t xml:space="preserve"> Ac-225 in Mice</w:t>
      </w:r>
    </w:p>
    <w:p w14:paraId="3F3D179B" w14:textId="77777777"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w:t>
      </w:r>
      <w:proofErr w:type="gramStart"/>
      <w:r w:rsidRPr="00C06710">
        <w:rPr>
          <w:rFonts w:asciiTheme="majorHAnsi" w:hAnsiTheme="majorHAnsi" w:cstheme="majorHAnsi"/>
        </w:rPr>
        <w:t>An</w:t>
      </w:r>
      <w:proofErr w:type="gramEnd"/>
      <w:r w:rsidRPr="00C06710">
        <w:rPr>
          <w:rFonts w:asciiTheme="majorHAnsi" w:hAnsiTheme="majorHAnsi" w:cstheme="majorHAnsi"/>
        </w:rPr>
        <w:t xml:space="preserve">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14:paraId="25BF6782"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14:paraId="3AF2A3AB"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14:paraId="097DAEDE" w14:textId="77777777" w:rsidR="00D72D66" w:rsidRPr="00D72D66" w:rsidRDefault="00D72D66" w:rsidP="00504374">
      <w:pPr>
        <w:spacing w:line="480" w:lineRule="auto"/>
        <w:jc w:val="both"/>
        <w:rPr>
          <w:rFonts w:asciiTheme="majorHAnsi" w:hAnsiTheme="majorHAnsi" w:cstheme="majorHAnsi"/>
        </w:rPr>
      </w:pPr>
    </w:p>
    <w:p w14:paraId="35AA22A9" w14:textId="77777777"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14:paraId="5B008715" w14:textId="77777777"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14:paraId="3E4B1ABA" w14:textId="77777777" w:rsidR="00C12BBB" w:rsidRDefault="00C12BBB" w:rsidP="00504374">
      <w:pPr>
        <w:spacing w:line="480" w:lineRule="auto"/>
        <w:jc w:val="both"/>
        <w:rPr>
          <w:rFonts w:asciiTheme="majorHAnsi" w:hAnsiTheme="majorHAnsi" w:cstheme="majorHAnsi"/>
          <w:b/>
        </w:rPr>
      </w:pPr>
    </w:p>
    <w:p w14:paraId="624D3333" w14:textId="3FE56D94" w:rsidR="00C12BBB" w:rsidRDefault="00C12BBB" w:rsidP="00504374">
      <w:pPr>
        <w:spacing w:line="480" w:lineRule="auto"/>
        <w:jc w:val="both"/>
        <w:rPr>
          <w:rFonts w:asciiTheme="majorHAnsi" w:hAnsiTheme="majorHAnsi" w:cstheme="majorHAnsi"/>
          <w:b/>
        </w:rPr>
      </w:pPr>
    </w:p>
    <w:p w14:paraId="46B21F5E" w14:textId="77777777"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proofErr w:type="spellStart"/>
      <w:r w:rsidR="00C91C83">
        <w:rPr>
          <w:rFonts w:asciiTheme="majorHAnsi" w:hAnsiTheme="majorHAnsi" w:cstheme="majorHAnsi"/>
        </w:rPr>
        <w:t>xxxx</w:t>
      </w:r>
      <w:proofErr w:type="spellEnd"/>
      <w:r w:rsidR="00C91C83">
        <w:rPr>
          <w:rFonts w:asciiTheme="majorHAnsi" w:hAnsiTheme="majorHAnsi" w:cstheme="majorHAnsi"/>
        </w:rPr>
        <w:t>.</w:t>
      </w:r>
      <w:r w:rsidR="00BE3D23">
        <w:rPr>
          <w:rFonts w:asciiTheme="majorHAnsi" w:hAnsiTheme="majorHAnsi" w:cstheme="majorHAnsi"/>
        </w:rPr>
        <w:t xml:space="preserve"> </w:t>
      </w:r>
      <w:r w:rsidR="00BE3D23">
        <w:rPr>
          <w:rFonts w:asciiTheme="majorHAnsi" w:hAnsiTheme="majorHAnsi" w:cstheme="majorHAnsi"/>
          <w:b/>
        </w:rPr>
        <w:t xml:space="preserve">References: </w:t>
      </w:r>
      <w:proofErr w:type="spellStart"/>
      <w:r w:rsidR="00C91C83">
        <w:rPr>
          <w:rFonts w:asciiTheme="majorHAnsi" w:hAnsiTheme="majorHAnsi" w:cstheme="majorHAnsi"/>
        </w:rPr>
        <w:t>xxxx</w:t>
      </w:r>
      <w:proofErr w:type="spellEnd"/>
    </w:p>
    <w:p w14:paraId="3A6A2BF2" w14:textId="77777777"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14:paraId="1624B1BE" w14:textId="77777777"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14:paraId="18C37CCC" w14:textId="77777777"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14:paraId="1E976F7C" w14:textId="77777777"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14:paraId="329CA590"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14:paraId="3E886406"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14:paraId="11720470" w14:textId="69FF9851"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With three different Ac-225 constructs, we model </w:t>
      </w:r>
      <w:r w:rsidR="00CD322C">
        <w:rPr>
          <w:rFonts w:asciiTheme="majorHAnsi" w:hAnsiTheme="majorHAnsi" w:cstheme="majorHAnsi"/>
        </w:rPr>
        <w:t>static-distribution</w:t>
      </w:r>
      <w:r>
        <w:rPr>
          <w:rFonts w:asciiTheme="majorHAnsi" w:hAnsiTheme="majorHAnsi" w:cstheme="majorHAnsi"/>
        </w:rPr>
        <w:t xml:space="preserve"> future dose rate for Ac-227 contamination in Ac-225 doses in mice out to one Ac-227 </w:t>
      </w:r>
      <w:proofErr w:type="spellStart"/>
      <w:r>
        <w:rPr>
          <w:rFonts w:asciiTheme="majorHAnsi" w:hAnsiTheme="majorHAnsi" w:cstheme="majorHAnsi"/>
        </w:rPr>
        <w:t>half life</w:t>
      </w:r>
      <w:proofErr w:type="spellEnd"/>
      <w:r>
        <w:rPr>
          <w:rFonts w:asciiTheme="majorHAnsi" w:hAnsiTheme="majorHAnsi" w:cstheme="majorHAnsi"/>
        </w:rPr>
        <w:t>, 21.77 years.</w:t>
      </w:r>
    </w:p>
    <w:p w14:paraId="5E20F063" w14:textId="77777777" w:rsidR="00DC487F" w:rsidRPr="00C06710" w:rsidRDefault="00DC487F" w:rsidP="00504374">
      <w:pPr>
        <w:spacing w:line="480" w:lineRule="auto"/>
        <w:jc w:val="both"/>
        <w:rPr>
          <w:rFonts w:asciiTheme="majorHAnsi" w:hAnsiTheme="majorHAnsi" w:cstheme="majorHAnsi"/>
        </w:rPr>
      </w:pPr>
    </w:p>
    <w:p w14:paraId="30B2EC8B"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B295D85"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14:paraId="0BDE3A4D" w14:textId="0BE48520" w:rsidR="008F53BE" w:rsidRDefault="008F53BE" w:rsidP="00504374">
      <w:pPr>
        <w:spacing w:line="480" w:lineRule="auto"/>
        <w:jc w:val="both"/>
        <w:rPr>
          <w:rFonts w:asciiTheme="majorHAnsi" w:hAnsiTheme="majorHAnsi" w:cstheme="majorHAnsi"/>
        </w:rPr>
      </w:pPr>
      <w:r>
        <w:rPr>
          <w:rFonts w:asciiTheme="majorHAnsi" w:hAnsiTheme="majorHAnsi" w:cstheme="majorHAnsi"/>
        </w:rPr>
        <w:t xml:space="preserve">Ac-225 </w:t>
      </w:r>
      <w:r>
        <w:rPr>
          <w:rFonts w:asciiTheme="majorHAnsi" w:hAnsiTheme="majorHAnsi" w:cstheme="majorHAnsi"/>
        </w:rPr>
        <w:t xml:space="preserve">radiotherapeutics are </w:t>
      </w:r>
      <w:r w:rsidR="00831AD2">
        <w:rPr>
          <w:rFonts w:asciiTheme="majorHAnsi" w:hAnsiTheme="majorHAnsi" w:cstheme="majorHAnsi"/>
        </w:rPr>
        <w:t>full of anticipation</w:t>
      </w:r>
      <w:r w:rsidR="00C84139">
        <w:rPr>
          <w:rFonts w:asciiTheme="majorHAnsi" w:hAnsiTheme="majorHAnsi" w:cstheme="majorHAnsi"/>
        </w:rPr>
        <w:t>, and yet face real challenges in</w:t>
      </w:r>
      <w:r>
        <w:rPr>
          <w:rFonts w:asciiTheme="majorHAnsi" w:hAnsiTheme="majorHAnsi" w:cstheme="majorHAnsi"/>
        </w:rPr>
        <w:t xml:space="preserve"> expanding </w:t>
      </w:r>
      <w:r w:rsidR="00C84139">
        <w:rPr>
          <w:rFonts w:asciiTheme="majorHAnsi" w:hAnsiTheme="majorHAnsi" w:cstheme="majorHAnsi"/>
        </w:rPr>
        <w:t xml:space="preserve">the </w:t>
      </w:r>
      <w:r>
        <w:rPr>
          <w:rFonts w:asciiTheme="majorHAnsi" w:hAnsiTheme="majorHAnsi" w:cstheme="majorHAnsi"/>
        </w:rPr>
        <w:t xml:space="preserve">targeted alpha therapy paradigm. On one side, there are beyond </w:t>
      </w:r>
      <w:r w:rsidR="00C84139">
        <w:rPr>
          <w:rFonts w:asciiTheme="majorHAnsi" w:hAnsiTheme="majorHAnsi" w:cstheme="majorHAnsi"/>
        </w:rPr>
        <w:t>expected</w:t>
      </w:r>
      <w:r>
        <w:rPr>
          <w:rFonts w:asciiTheme="majorHAnsi" w:hAnsiTheme="majorHAnsi" w:cstheme="majorHAnsi"/>
        </w:rPr>
        <w:t xml:space="preserve"> results being produced in experimental treatments (</w:t>
      </w:r>
      <w:r w:rsidRPr="008F53BE">
        <w:rPr>
          <w:rFonts w:asciiTheme="majorHAnsi" w:hAnsiTheme="majorHAnsi" w:cstheme="majorHAnsi"/>
          <w:highlight w:val="yellow"/>
        </w:rPr>
        <w:t>cite PSMA man</w:t>
      </w:r>
      <w:r>
        <w:rPr>
          <w:rFonts w:asciiTheme="majorHAnsi" w:hAnsiTheme="majorHAnsi" w:cstheme="majorHAnsi"/>
        </w:rPr>
        <w:t xml:space="preserve">), and yet </w:t>
      </w:r>
    </w:p>
    <w:p w14:paraId="5CF5AD07" w14:textId="3B5E8833" w:rsidR="009E5B8D" w:rsidRPr="005A72C3" w:rsidRDefault="009E5B8D" w:rsidP="005A72C3">
      <w:pPr>
        <w:pStyle w:val="ListParagraph"/>
        <w:numPr>
          <w:ilvl w:val="0"/>
          <w:numId w:val="4"/>
        </w:numPr>
        <w:spacing w:line="480" w:lineRule="auto"/>
        <w:jc w:val="both"/>
        <w:rPr>
          <w:rFonts w:asciiTheme="majorHAnsi" w:hAnsiTheme="majorHAnsi" w:cstheme="majorHAnsi"/>
        </w:rPr>
      </w:pPr>
      <w:r w:rsidRPr="005A72C3">
        <w:rPr>
          <w:rFonts w:asciiTheme="majorHAnsi" w:hAnsiTheme="majorHAnsi" w:cstheme="majorHAnsi"/>
        </w:rPr>
        <w:t>Ac-225 isotope production</w:t>
      </w:r>
    </w:p>
    <w:p w14:paraId="64195854" w14:textId="009D51DE" w:rsidR="005A72C3" w:rsidRDefault="005A72C3" w:rsidP="005A72C3">
      <w:pPr>
        <w:pStyle w:val="ListParagraph"/>
        <w:numPr>
          <w:ilvl w:val="0"/>
          <w:numId w:val="4"/>
        </w:numPr>
        <w:spacing w:line="480" w:lineRule="auto"/>
        <w:jc w:val="both"/>
        <w:rPr>
          <w:rFonts w:asciiTheme="majorHAnsi" w:hAnsiTheme="majorHAnsi" w:cstheme="majorHAnsi"/>
        </w:rPr>
      </w:pPr>
      <w:r>
        <w:rPr>
          <w:rFonts w:asciiTheme="majorHAnsi" w:hAnsiTheme="majorHAnsi" w:cstheme="majorHAnsi"/>
        </w:rPr>
        <w:t xml:space="preserve">227 </w:t>
      </w:r>
      <w:proofErr w:type="spellStart"/>
      <w:r>
        <w:rPr>
          <w:rFonts w:asciiTheme="majorHAnsi" w:hAnsiTheme="majorHAnsi" w:cstheme="majorHAnsi"/>
        </w:rPr>
        <w:t>prob</w:t>
      </w:r>
      <w:proofErr w:type="spellEnd"/>
    </w:p>
    <w:p w14:paraId="2E5A6414" w14:textId="78A2DFD0" w:rsidR="005A72C3" w:rsidRDefault="005A72C3" w:rsidP="005A72C3">
      <w:pPr>
        <w:pStyle w:val="ListParagraph"/>
        <w:numPr>
          <w:ilvl w:val="0"/>
          <w:numId w:val="4"/>
        </w:numPr>
        <w:spacing w:line="480" w:lineRule="auto"/>
        <w:jc w:val="both"/>
        <w:rPr>
          <w:rFonts w:asciiTheme="majorHAnsi" w:hAnsiTheme="majorHAnsi" w:cstheme="majorHAnsi"/>
        </w:rPr>
      </w:pPr>
      <w:r>
        <w:rPr>
          <w:rFonts w:asciiTheme="majorHAnsi" w:hAnsiTheme="majorHAnsi" w:cstheme="majorHAnsi"/>
        </w:rPr>
        <w:t>Issue?</w:t>
      </w:r>
    </w:p>
    <w:p w14:paraId="1B7118E3" w14:textId="0F6E3703" w:rsidR="005A72C3" w:rsidRPr="005A72C3" w:rsidRDefault="005A72C3" w:rsidP="005A72C3">
      <w:pPr>
        <w:pStyle w:val="ListParagraph"/>
        <w:numPr>
          <w:ilvl w:val="0"/>
          <w:numId w:val="4"/>
        </w:numPr>
        <w:spacing w:line="480" w:lineRule="auto"/>
        <w:jc w:val="both"/>
        <w:rPr>
          <w:rFonts w:asciiTheme="majorHAnsi" w:hAnsiTheme="majorHAnsi" w:cstheme="majorHAnsi"/>
        </w:rPr>
      </w:pPr>
      <w:r>
        <w:rPr>
          <w:rFonts w:asciiTheme="majorHAnsi" w:hAnsiTheme="majorHAnsi" w:cstheme="majorHAnsi"/>
        </w:rPr>
        <w:t>How to test</w:t>
      </w:r>
    </w:p>
    <w:p w14:paraId="6A608A70" w14:textId="77777777" w:rsidR="005A72C3" w:rsidRDefault="005A72C3" w:rsidP="00504374">
      <w:pPr>
        <w:spacing w:line="480" w:lineRule="auto"/>
        <w:jc w:val="both"/>
        <w:rPr>
          <w:rFonts w:asciiTheme="majorHAnsi" w:hAnsiTheme="majorHAnsi" w:cstheme="majorHAnsi"/>
        </w:rPr>
      </w:pPr>
    </w:p>
    <w:p w14:paraId="1E6E0BE5" w14:textId="77777777" w:rsidR="005A72C3" w:rsidRDefault="005A72C3" w:rsidP="00504374">
      <w:pPr>
        <w:spacing w:line="480" w:lineRule="auto"/>
        <w:jc w:val="both"/>
        <w:rPr>
          <w:rFonts w:asciiTheme="majorHAnsi" w:hAnsiTheme="majorHAnsi" w:cstheme="majorHAnsi"/>
        </w:rPr>
      </w:pPr>
    </w:p>
    <w:p w14:paraId="4F3CDCCF" w14:textId="14ABD098"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total energy released during the Ac-227 decay chain is approximately 20% greater than the Ac-225 chain.</w:t>
      </w:r>
      <w:bookmarkStart w:id="0" w:name="_GoBack"/>
      <w:bookmarkEnd w:id="0"/>
    </w:p>
    <w:p w14:paraId="69ADEEC2" w14:textId="77777777" w:rsidR="009E5B8D" w:rsidRDefault="009E5B8D" w:rsidP="00504374">
      <w:pPr>
        <w:spacing w:line="480" w:lineRule="auto"/>
        <w:jc w:val="both"/>
        <w:rPr>
          <w:rFonts w:asciiTheme="majorHAnsi" w:hAnsiTheme="majorHAnsi" w:cstheme="majorHAnsi"/>
        </w:rPr>
      </w:pPr>
    </w:p>
    <w:p w14:paraId="50AD74D2" w14:textId="77777777" w:rsidR="009E5B8D" w:rsidRPr="00C06710" w:rsidRDefault="009E5B8D" w:rsidP="00504374">
      <w:pPr>
        <w:spacing w:line="480" w:lineRule="auto"/>
        <w:jc w:val="both"/>
        <w:rPr>
          <w:rFonts w:asciiTheme="majorHAnsi" w:hAnsiTheme="majorHAnsi" w:cstheme="majorHAnsi"/>
        </w:rPr>
      </w:pPr>
    </w:p>
    <w:p w14:paraId="29678F28"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14:paraId="04EBB678" w14:textId="77777777"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14:paraId="61C3D144" w14:textId="77777777"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t xml:space="preserve">3,4,3-LI(1,2-HOPO), referred to as HOPO, was </w:t>
      </w:r>
      <w:proofErr w:type="spellStart"/>
      <w:r w:rsidRPr="00270D54">
        <w:rPr>
          <w:rFonts w:asciiTheme="majorHAnsi" w:hAnsiTheme="majorHAnsi" w:cstheme="majorHAnsi"/>
          <w:highlight w:val="yellow"/>
        </w:rPr>
        <w:t>XXXXX</w:t>
      </w:r>
      <w:r w:rsidR="00C351F1">
        <w:rPr>
          <w:rFonts w:asciiTheme="majorHAnsi" w:hAnsiTheme="majorHAnsi" w:cstheme="majorHAnsi"/>
          <w:highlight w:val="yellow"/>
        </w:rPr>
        <w:t>purchased</w:t>
      </w:r>
      <w:proofErr w:type="spellEnd"/>
      <w:r w:rsidR="00C351F1">
        <w:rPr>
          <w:rFonts w:asciiTheme="majorHAnsi" w:hAnsiTheme="majorHAnsi" w:cstheme="majorHAnsi"/>
          <w:highlight w:val="yellow"/>
        </w:rPr>
        <w:t xml:space="preserve"> or </w:t>
      </w:r>
      <w:proofErr w:type="spellStart"/>
      <w:proofErr w:type="gramStart"/>
      <w:r w:rsidR="00C351F1">
        <w:rPr>
          <w:rFonts w:asciiTheme="majorHAnsi" w:hAnsiTheme="majorHAnsi" w:cstheme="majorHAnsi"/>
          <w:highlight w:val="yellow"/>
        </w:rPr>
        <w:t>synthesized?</w:t>
      </w:r>
      <w:r w:rsidRPr="00270D54">
        <w:rPr>
          <w:rFonts w:asciiTheme="majorHAnsi" w:hAnsiTheme="majorHAnsi" w:cstheme="majorHAnsi"/>
          <w:highlight w:val="yellow"/>
        </w:rPr>
        <w:t>XXXXXXX</w:t>
      </w:r>
      <w:proofErr w:type="spellEnd"/>
      <w:proofErr w:type="gramEnd"/>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proofErr w:type="spellStart"/>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w:t>
      </w:r>
      <w:proofErr w:type="spellEnd"/>
      <w:r w:rsidR="00C351F1">
        <w:rPr>
          <w:rFonts w:asciiTheme="majorHAnsi" w:hAnsiTheme="majorHAnsi" w:cstheme="majorHAnsi"/>
          <w:highlight w:val="yellow"/>
        </w:rPr>
        <w:t xml:space="preserve"> or </w:t>
      </w:r>
      <w:proofErr w:type="spellStart"/>
      <w:proofErr w:type="gramStart"/>
      <w:r w:rsidR="00C351F1">
        <w:rPr>
          <w:rFonts w:asciiTheme="majorHAnsi" w:hAnsiTheme="majorHAnsi" w:cstheme="majorHAnsi"/>
          <w:highlight w:val="yellow"/>
        </w:rPr>
        <w:t>purchased?</w:t>
      </w:r>
      <w:r w:rsidR="008E4DE5" w:rsidRPr="008E4DE5">
        <w:rPr>
          <w:rFonts w:asciiTheme="majorHAnsi" w:hAnsiTheme="majorHAnsi" w:cstheme="majorHAnsi"/>
          <w:highlight w:val="yellow"/>
        </w:rPr>
        <w:t>XXXXXXX</w:t>
      </w:r>
      <w:proofErr w:type="spellEnd"/>
      <w:proofErr w:type="gramEnd"/>
      <w:r w:rsidR="008E4DE5">
        <w:rPr>
          <w:rFonts w:asciiTheme="majorHAnsi" w:hAnsiTheme="majorHAnsi" w:cstheme="majorHAnsi"/>
        </w:rPr>
        <w:t xml:space="preserve">. </w:t>
      </w:r>
      <w:r w:rsidR="008E4DE5" w:rsidRPr="008E4DE5">
        <w:rPr>
          <w:rFonts w:asciiTheme="majorHAnsi" w:hAnsiTheme="majorHAnsi" w:cstheme="majorHAnsi"/>
        </w:rPr>
        <w:t xml:space="preserve">1,4,7,10-Tetraazacyclododecane-1,4,7-tris-acetic acid-10-maleimidoethylacetamide (DOTA-MMA) was purchased from </w:t>
      </w:r>
      <w:proofErr w:type="spellStart"/>
      <w:r w:rsidR="008E4DE5" w:rsidRPr="008E4DE5">
        <w:rPr>
          <w:rFonts w:asciiTheme="majorHAnsi" w:hAnsiTheme="majorHAnsi" w:cstheme="majorHAnsi"/>
        </w:rPr>
        <w:t>Macrocyclics</w:t>
      </w:r>
      <w:proofErr w:type="spellEnd"/>
      <w:r w:rsidR="008E4DE5" w:rsidRPr="008E4DE5">
        <w:rPr>
          <w:rFonts w:asciiTheme="majorHAnsi" w:hAnsiTheme="majorHAnsi" w:cstheme="majorHAnsi"/>
        </w:rPr>
        <w:t xml:space="preserve">, Bradford reagent was purchased from </w:t>
      </w:r>
      <w:proofErr w:type="spellStart"/>
      <w:r w:rsidR="008E4DE5" w:rsidRPr="008E4DE5">
        <w:rPr>
          <w:rFonts w:asciiTheme="majorHAnsi" w:hAnsiTheme="majorHAnsi" w:cstheme="majorHAnsi"/>
        </w:rPr>
        <w:t>Bio-rad</w:t>
      </w:r>
      <w:proofErr w:type="spellEnd"/>
      <w:r w:rsidR="008E4DE5" w:rsidRPr="008E4DE5">
        <w:rPr>
          <w:rFonts w:asciiTheme="majorHAnsi" w:hAnsiTheme="majorHAnsi" w:cstheme="majorHAnsi"/>
        </w:rPr>
        <w:t xml:space="preserve">, and </w:t>
      </w:r>
      <w:proofErr w:type="spellStart"/>
      <w:r w:rsidR="008E4DE5" w:rsidRPr="008E4DE5">
        <w:rPr>
          <w:rFonts w:asciiTheme="majorHAnsi" w:hAnsiTheme="majorHAnsi" w:cstheme="majorHAnsi"/>
        </w:rPr>
        <w:t>tris</w:t>
      </w:r>
      <w:proofErr w:type="spellEnd"/>
      <w:r w:rsidR="008E4DE5" w:rsidRPr="008E4DE5">
        <w:rPr>
          <w:rFonts w:asciiTheme="majorHAnsi" w:hAnsiTheme="majorHAnsi" w:cstheme="majorHAnsi"/>
        </w:rPr>
        <w:t>(2-</w:t>
      </w:r>
      <w:proofErr w:type="gramStart"/>
      <w:r w:rsidR="008E4DE5" w:rsidRPr="008E4DE5">
        <w:rPr>
          <w:rFonts w:asciiTheme="majorHAnsi" w:hAnsiTheme="majorHAnsi" w:cstheme="majorHAnsi"/>
        </w:rPr>
        <w:t>carboxyethyl)phosphine</w:t>
      </w:r>
      <w:proofErr w:type="gramEnd"/>
      <w:r w:rsidR="008E4DE5" w:rsidRPr="008E4DE5">
        <w:rPr>
          <w:rFonts w:asciiTheme="majorHAnsi" w:hAnsiTheme="majorHAnsi" w:cstheme="majorHAnsi"/>
        </w:rPr>
        <w:t xml:space="preserve"> </w:t>
      </w:r>
      <w:r w:rsidR="008E4DE5" w:rsidRPr="008E4DE5">
        <w:rPr>
          <w:rFonts w:asciiTheme="majorHAnsi" w:hAnsiTheme="majorHAnsi" w:cstheme="majorHAnsi"/>
        </w:rPr>
        <w:lastRenderedPageBreak/>
        <w:t xml:space="preserve">hydrochloride (TCEP </w:t>
      </w:r>
      <w:proofErr w:type="spellStart"/>
      <w:r w:rsidR="008E4DE5" w:rsidRPr="008E4DE5">
        <w:rPr>
          <w:rFonts w:asciiTheme="majorHAnsi" w:hAnsiTheme="majorHAnsi" w:cstheme="majorHAnsi"/>
        </w:rPr>
        <w:t>HCl</w:t>
      </w:r>
      <w:proofErr w:type="spellEnd"/>
      <w:r w:rsidR="008E4DE5" w:rsidRPr="008E4DE5">
        <w:rPr>
          <w:rFonts w:asciiTheme="majorHAnsi" w:hAnsiTheme="majorHAnsi" w:cstheme="majorHAnsi"/>
        </w:rPr>
        <w:t>), L-glutathione reduced, and all other chemicals were purchased from Sigma-Aldrich.</w:t>
      </w:r>
    </w:p>
    <w:p w14:paraId="303FF5F8" w14:textId="77777777"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14:paraId="20CC03E3" w14:textId="77777777"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 xml:space="preserve">10 mL of </w:t>
      </w:r>
      <w:proofErr w:type="spellStart"/>
      <w:r w:rsidR="00677A09" w:rsidRPr="00C06710">
        <w:rPr>
          <w:rFonts w:asciiTheme="majorHAnsi" w:hAnsiTheme="majorHAnsi" w:cstheme="majorHAnsi"/>
        </w:rPr>
        <w:t>Ultima</w:t>
      </w:r>
      <w:proofErr w:type="spellEnd"/>
      <w:r w:rsidR="00677A09" w:rsidRPr="00C06710">
        <w:rPr>
          <w:rFonts w:asciiTheme="majorHAnsi" w:hAnsiTheme="majorHAnsi" w:cstheme="majorHAnsi"/>
        </w:rPr>
        <w:t xml:space="preserve">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w:t>
      </w:r>
      <w:proofErr w:type="spellStart"/>
      <w:r>
        <w:rPr>
          <w:rFonts w:asciiTheme="majorHAnsi" w:hAnsiTheme="majorHAnsi" w:cstheme="majorHAnsi"/>
        </w:rPr>
        <w:t>ashed</w:t>
      </w:r>
      <w:proofErr w:type="spellEnd"/>
      <w:r>
        <w:rPr>
          <w:rFonts w:asciiTheme="majorHAnsi" w:hAnsiTheme="majorHAnsi" w:cstheme="majorHAnsi"/>
        </w:rPr>
        <w:t xml:space="preserve"> in a furnace, dissolved in nitric acid, and diluted into 10 mL </w:t>
      </w:r>
      <w:proofErr w:type="spellStart"/>
      <w:r>
        <w:rPr>
          <w:rFonts w:asciiTheme="majorHAnsi" w:hAnsiTheme="majorHAnsi" w:cstheme="majorHAnsi"/>
        </w:rPr>
        <w:t>Ultima</w:t>
      </w:r>
      <w:proofErr w:type="spellEnd"/>
      <w:r>
        <w:rPr>
          <w:rFonts w:asciiTheme="majorHAnsi" w:hAnsiTheme="majorHAnsi" w:cstheme="majorHAnsi"/>
        </w:rPr>
        <w:t xml:space="preserve"> Gold LLT scintillation cocktail.</w:t>
      </w:r>
    </w:p>
    <w:p w14:paraId="4DBDD84E" w14:textId="77777777"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14:paraId="07201510" w14:textId="77777777"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14:paraId="74D4A96D" w14:textId="77777777"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w:t>
      </w:r>
      <w:proofErr w:type="spellStart"/>
      <w:r>
        <w:rPr>
          <w:rFonts w:asciiTheme="majorHAnsi" w:hAnsiTheme="majorHAnsi" w:cstheme="majorHAnsi"/>
        </w:rPr>
        <w:t>mM</w:t>
      </w:r>
      <w:proofErr w:type="spellEnd"/>
      <w:r>
        <w:rPr>
          <w:rFonts w:asciiTheme="majorHAnsi" w:hAnsiTheme="majorHAnsi" w:cstheme="majorHAnsi"/>
        </w:rPr>
        <w:t xml:space="preserve"> </w:t>
      </w:r>
      <w:r w:rsidRPr="00C06710">
        <w:rPr>
          <w:rFonts w:asciiTheme="majorHAnsi" w:hAnsiTheme="majorHAnsi" w:cstheme="majorHAnsi"/>
        </w:rPr>
        <w:t xml:space="preserve">phosphate buffered saline (PBS) </w:t>
      </w:r>
      <w:r>
        <w:rPr>
          <w:rFonts w:asciiTheme="majorHAnsi" w:hAnsiTheme="majorHAnsi" w:cstheme="majorHAnsi"/>
        </w:rPr>
        <w:t xml:space="preserve">at 200:1 excess </w:t>
      </w:r>
      <w:proofErr w:type="spellStart"/>
      <w:proofErr w:type="gramStart"/>
      <w:r>
        <w:rPr>
          <w:rFonts w:asciiTheme="majorHAnsi" w:hAnsiTheme="majorHAnsi" w:cstheme="majorHAnsi"/>
        </w:rPr>
        <w:t>Ligand:Metal</w:t>
      </w:r>
      <w:proofErr w:type="spellEnd"/>
      <w:proofErr w:type="gramEnd"/>
      <w:r>
        <w:rPr>
          <w:rFonts w:asciiTheme="majorHAnsi" w:hAnsiTheme="majorHAnsi" w:cstheme="majorHAnsi"/>
        </w:rPr>
        <w:t>.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w:t>
      </w:r>
      <w:proofErr w:type="spellStart"/>
      <w:r w:rsidR="00677A09" w:rsidRPr="00C06710">
        <w:rPr>
          <w:rFonts w:asciiTheme="majorHAnsi" w:hAnsiTheme="majorHAnsi" w:cstheme="majorHAnsi"/>
        </w:rPr>
        <w:t>HCl</w:t>
      </w:r>
      <w:proofErr w:type="spellEnd"/>
      <w:r w:rsidR="00677A09" w:rsidRPr="00C06710">
        <w:rPr>
          <w:rFonts w:asciiTheme="majorHAnsi" w:hAnsiTheme="majorHAnsi" w:cstheme="majorHAnsi"/>
        </w:rPr>
        <w:t xml:space="preserve"> was added at </w:t>
      </w:r>
      <w:r>
        <w:rPr>
          <w:rFonts w:asciiTheme="majorHAnsi" w:hAnsiTheme="majorHAnsi" w:cstheme="majorHAnsi"/>
        </w:rPr>
        <w:t>200</w:t>
      </w:r>
      <w:r w:rsidR="00677A09" w:rsidRPr="00C06710">
        <w:rPr>
          <w:rFonts w:asciiTheme="majorHAnsi" w:hAnsiTheme="majorHAnsi" w:cstheme="majorHAnsi"/>
        </w:rPr>
        <w:t xml:space="preserve">x excess </w:t>
      </w:r>
      <w:proofErr w:type="spellStart"/>
      <w:proofErr w:type="gramStart"/>
      <w:r>
        <w:rPr>
          <w:rFonts w:asciiTheme="majorHAnsi" w:hAnsiTheme="majorHAnsi" w:cstheme="majorHAnsi"/>
        </w:rPr>
        <w:t>Ligand:Metal</w:t>
      </w:r>
      <w:proofErr w:type="spellEnd"/>
      <w:proofErr w:type="gramEnd"/>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w:t>
      </w:r>
      <w:proofErr w:type="spellStart"/>
      <w:r w:rsidR="00677A09" w:rsidRPr="00C06710">
        <w:rPr>
          <w:rFonts w:asciiTheme="majorHAnsi" w:hAnsiTheme="majorHAnsi" w:cstheme="majorHAnsi"/>
        </w:rPr>
        <w:t>retentate</w:t>
      </w:r>
      <w:proofErr w:type="spellEnd"/>
      <w:r w:rsidR="00677A09" w:rsidRPr="00C06710">
        <w:rPr>
          <w:rFonts w:asciiTheme="majorHAnsi" w:hAnsiTheme="majorHAnsi" w:cstheme="majorHAnsi"/>
        </w:rPr>
        <w:t xml:space="preserve"> were taken for final activity and yield verification. </w:t>
      </w:r>
    </w:p>
    <w:p w14:paraId="1D74B7A8" w14:textId="77777777"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t>Animal Handling</w:t>
      </w:r>
    </w:p>
    <w:p w14:paraId="21B661A7" w14:textId="77777777"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14:paraId="6CCD114B" w14:textId="77777777"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14:paraId="121D4AFB" w14:textId="77777777"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lastRenderedPageBreak/>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14:paraId="08D245D8" w14:textId="77777777"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14:paraId="05CE2DF6" w14:textId="77777777"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proofErr w:type="spellStart"/>
      <w:r w:rsidR="00C74806" w:rsidRPr="00C74806">
        <w:rPr>
          <w:rFonts w:asciiTheme="majorHAnsi" w:hAnsiTheme="majorHAnsi" w:cstheme="majorHAnsi"/>
          <w:highlight w:val="yellow"/>
        </w:rPr>
        <w:t>xxxxxxxxxxxxxxxxxx</w:t>
      </w:r>
      <w:proofErr w:type="spellEnd"/>
    </w:p>
    <w:p w14:paraId="51C5FC93" w14:textId="77777777"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14:paraId="337774CF" w14:textId="77777777"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xml:space="preserve">. The input dose bolus was 200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Ac-225 and 1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 xml:space="preserve">een real recorded time point values of 1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4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24 </w:t>
      </w:r>
      <w:proofErr w:type="spellStart"/>
      <w:r w:rsidR="00C769C3">
        <w:rPr>
          <w:rFonts w:asciiTheme="majorHAnsi" w:hAnsiTheme="majorHAnsi" w:cstheme="majorHAnsi"/>
        </w:rPr>
        <w:t>hr</w:t>
      </w:r>
      <w:proofErr w:type="spellEnd"/>
      <w:r w:rsidR="00C769C3">
        <w:rPr>
          <w:rFonts w:asciiTheme="majorHAnsi" w:hAnsiTheme="majorHAnsi" w:cstheme="majorHAnsi"/>
        </w:rPr>
        <w:t>, 4 days, 6 days (and 10 days for Trastuzumab-DOTA only)</w:t>
      </w:r>
      <w:r w:rsidR="005720C6">
        <w:rPr>
          <w:rFonts w:asciiTheme="majorHAnsi" w:hAnsiTheme="majorHAnsi" w:cstheme="majorHAnsi"/>
        </w:rPr>
        <w:t xml:space="preserve">, small step changes 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w:t>
      </w:r>
      <w:r w:rsidR="00031F3A">
        <w:rPr>
          <w:rFonts w:asciiTheme="majorHAnsi" w:hAnsiTheme="majorHAnsi" w:cstheme="majorHAnsi"/>
        </w:rPr>
        <w:lastRenderedPageBreak/>
        <w:t xml:space="preserve">data assumes no change in biodistribution, and only decay occurs (see </w:t>
      </w:r>
      <w:r w:rsidR="00031F3A">
        <w:rPr>
          <w:rFonts w:asciiTheme="majorHAnsi" w:hAnsiTheme="majorHAnsi" w:cstheme="majorHAnsi"/>
          <w:b/>
        </w:rPr>
        <w:t xml:space="preserve">Figure </w:t>
      </w:r>
      <w:proofErr w:type="spellStart"/>
      <w:r w:rsidR="00031F3A">
        <w:rPr>
          <w:rFonts w:asciiTheme="majorHAnsi" w:hAnsiTheme="majorHAnsi" w:cstheme="majorHAnsi"/>
          <w:b/>
        </w:rPr>
        <w:t>Sxxx</w:t>
      </w:r>
      <w:proofErr w:type="spellEnd"/>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14:paraId="08C90823"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14:paraId="2349DF83" w14:textId="77777777"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w:t>
      </w:r>
      <w:proofErr w:type="spellStart"/>
      <w:r w:rsidR="008B1A72">
        <w:rPr>
          <w:rFonts w:asciiTheme="majorHAnsi" w:hAnsiTheme="majorHAnsi" w:cstheme="majorHAnsi"/>
        </w:rPr>
        <w:t>nCi</w:t>
      </w:r>
      <w:proofErr w:type="spellEnd"/>
      <w:r w:rsidR="008B1A72">
        <w:rPr>
          <w:rFonts w:asciiTheme="majorHAnsi" w:hAnsiTheme="majorHAnsi" w:cstheme="majorHAnsi"/>
        </w:rPr>
        <w:t xml:space="preserve">/g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w:t>
      </w:r>
      <w:proofErr w:type="spellStart"/>
      <w:r w:rsidR="00C74806">
        <w:rPr>
          <w:rFonts w:asciiTheme="majorHAnsi" w:hAnsiTheme="majorHAnsi" w:cstheme="majorHAnsi"/>
        </w:rPr>
        <w:t>bifunctional</w:t>
      </w:r>
      <w:proofErr w:type="spellEnd"/>
      <w:r w:rsidR="00C74806">
        <w:rPr>
          <w:rFonts w:asciiTheme="majorHAnsi" w:hAnsiTheme="majorHAnsi" w:cstheme="majorHAnsi"/>
        </w:rPr>
        <w:t xml:space="preserve"> </w:t>
      </w:r>
      <w:proofErr w:type="spellStart"/>
      <w:r w:rsidR="00C74806">
        <w:rPr>
          <w:rFonts w:asciiTheme="majorHAnsi" w:hAnsiTheme="majorHAnsi" w:cstheme="majorHAnsi"/>
        </w:rPr>
        <w:t>chelator</w:t>
      </w:r>
      <w:proofErr w:type="spellEnd"/>
      <w:r w:rsidR="00C74806">
        <w:rPr>
          <w:rFonts w:asciiTheme="majorHAnsi" w:hAnsiTheme="majorHAnsi" w:cstheme="majorHAnsi"/>
        </w:rPr>
        <w:t xml:space="preserve"> (</w:t>
      </w:r>
      <w:r w:rsidR="00C74806" w:rsidRPr="00F66D21">
        <w:rPr>
          <w:rFonts w:asciiTheme="majorHAnsi" w:hAnsiTheme="majorHAnsi" w:cstheme="majorHAnsi"/>
          <w:highlight w:val="yellow"/>
        </w:rPr>
        <w:t xml:space="preserve">cite </w:t>
      </w:r>
      <w:proofErr w:type="spellStart"/>
      <w:r w:rsidR="00C74806" w:rsidRPr="00F66D21">
        <w:rPr>
          <w:rFonts w:asciiTheme="majorHAnsi" w:hAnsiTheme="majorHAnsi" w:cstheme="majorHAnsi"/>
          <w:highlight w:val="yellow"/>
        </w:rPr>
        <w:t>Robertsom</w:t>
      </w:r>
      <w:proofErr w:type="spellEnd"/>
      <w:r w:rsidR="00C74806" w:rsidRPr="00F66D21">
        <w:rPr>
          <w:rFonts w:asciiTheme="majorHAnsi" w:hAnsiTheme="majorHAnsi" w:cstheme="majorHAnsi"/>
          <w:highlight w:val="yellow"/>
        </w:rPr>
        <w:t xml:space="preserve"> </w:t>
      </w:r>
      <w:proofErr w:type="spellStart"/>
      <w:r w:rsidR="00C74806" w:rsidRPr="00F66D21">
        <w:rPr>
          <w:rFonts w:asciiTheme="majorHAnsi" w:hAnsiTheme="majorHAnsi" w:cstheme="majorHAnsi"/>
          <w:highlight w:val="yellow"/>
        </w:rPr>
        <w:t>curr</w:t>
      </w:r>
      <w:proofErr w:type="spellEnd"/>
      <w:r w:rsidR="00C74806" w:rsidRPr="00F66D21">
        <w:rPr>
          <w:rFonts w:asciiTheme="majorHAnsi" w:hAnsiTheme="majorHAnsi" w:cstheme="majorHAnsi"/>
          <w:highlight w:val="yellow"/>
        </w:rPr>
        <w:t xml:space="preserve"> </w:t>
      </w:r>
      <w:proofErr w:type="spellStart"/>
      <w:r w:rsidR="00C74806" w:rsidRPr="00F66D21">
        <w:rPr>
          <w:rFonts w:asciiTheme="majorHAnsi" w:hAnsiTheme="majorHAnsi" w:cstheme="majorHAnsi"/>
          <w:highlight w:val="yellow"/>
        </w:rPr>
        <w:t>radiopharm</w:t>
      </w:r>
      <w:proofErr w:type="spellEnd"/>
      <w:r w:rsidR="00C74806" w:rsidRPr="00F66D21">
        <w:rPr>
          <w:rFonts w:asciiTheme="majorHAnsi" w:hAnsiTheme="majorHAnsi" w:cstheme="majorHAnsi"/>
          <w:highlight w:val="yellow"/>
        </w:rPr>
        <w:t xml:space="preserve"> 2015 - Development of 225Ac Radiopharmaceuticals: TRIUMF Perspectives and Experiences</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14:paraId="6410724A" w14:textId="77777777"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14:paraId="65FD6895" w14:textId="77777777"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14:paraId="45A204F4" w14:textId="6B8CF7F4" w:rsidR="00C61142" w:rsidRDefault="00AD2DFE" w:rsidP="00504374">
      <w:pPr>
        <w:spacing w:line="480" w:lineRule="auto"/>
        <w:jc w:val="both"/>
        <w:rPr>
          <w:rFonts w:asciiTheme="majorHAnsi" w:hAnsiTheme="majorHAnsi" w:cstheme="majorHAnsi"/>
        </w:rPr>
      </w:pPr>
      <w:r>
        <w:rPr>
          <w:rFonts w:asciiTheme="majorHAnsi" w:hAnsiTheme="majorHAnsi" w:cstheme="majorHAnsi"/>
        </w:rPr>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 xml:space="preserve">Ac-227 </w:t>
      </w:r>
      <w:r w:rsidR="00724596">
        <w:rPr>
          <w:rFonts w:asciiTheme="majorHAnsi" w:hAnsiTheme="majorHAnsi" w:cstheme="majorHAnsi"/>
        </w:rPr>
        <w:t>bio</w:t>
      </w:r>
      <w:r w:rsidR="00861B35">
        <w:rPr>
          <w:rFonts w:asciiTheme="majorHAnsi" w:hAnsiTheme="majorHAnsi" w:cstheme="majorHAnsi"/>
        </w:rPr>
        <w:t>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w:t>
      </w:r>
      <w:r w:rsidR="000E31FA">
        <w:rPr>
          <w:rFonts w:asciiTheme="majorHAnsi" w:hAnsiTheme="majorHAnsi" w:cstheme="majorHAnsi"/>
        </w:rPr>
        <w:lastRenderedPageBreak/>
        <w:t>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w:t>
      </w:r>
      <w:r w:rsidR="00724596">
        <w:rPr>
          <w:rFonts w:asciiTheme="majorHAnsi" w:hAnsiTheme="majorHAnsi" w:cstheme="majorHAnsi"/>
        </w:rPr>
        <w:t>bio</w:t>
      </w:r>
      <w:r w:rsidR="00C61142">
        <w:rPr>
          <w:rFonts w:asciiTheme="majorHAnsi" w:hAnsiTheme="majorHAnsi" w:cstheme="majorHAnsi"/>
        </w:rPr>
        <w:t>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14:paraId="73A4E2E6" w14:textId="77777777"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14:paraId="17A17EBA" w14:textId="77777777"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w:t>
      </w:r>
      <w:proofErr w:type="spellStart"/>
      <w:r w:rsidR="00D04A6D">
        <w:rPr>
          <w:rFonts w:asciiTheme="majorHAnsi" w:hAnsiTheme="majorHAnsi" w:cstheme="majorHAnsi"/>
        </w:rPr>
        <w:t>ashed</w:t>
      </w:r>
      <w:proofErr w:type="spellEnd"/>
      <w:r w:rsidR="00D04A6D">
        <w:rPr>
          <w:rFonts w:asciiTheme="majorHAnsi" w:hAnsiTheme="majorHAnsi" w:cstheme="majorHAnsi"/>
        </w:rPr>
        <w:t xml:space="preserve">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w:t>
      </w:r>
      <w:proofErr w:type="gramStart"/>
      <w:r w:rsidR="004B408E">
        <w:rPr>
          <w:rFonts w:asciiTheme="majorHAnsi" w:hAnsiTheme="majorHAnsi" w:cstheme="majorHAnsi"/>
        </w:rPr>
        <w:t>10 day</w:t>
      </w:r>
      <w:proofErr w:type="gramEnd"/>
      <w:r w:rsidR="004B408E">
        <w:rPr>
          <w:rFonts w:asciiTheme="majorHAnsi" w:hAnsiTheme="majorHAnsi" w:cstheme="majorHAnsi"/>
        </w:rPr>
        <w:t xml:space="preserve">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and ART. For the organ with greatest localized uptake with both isotopes, the liver, the LR at the final time point at 6 days was not statistically significant from unity.</w:t>
      </w:r>
    </w:p>
    <w:p w14:paraId="29877213" w14:textId="77777777"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14:paraId="4C3007D6" w14:textId="77777777" w:rsidR="002C4963" w:rsidRDefault="00365116" w:rsidP="00504374">
      <w:pPr>
        <w:spacing w:line="480" w:lineRule="auto"/>
        <w:jc w:val="both"/>
        <w:rPr>
          <w:rFonts w:asciiTheme="majorHAnsi" w:hAnsiTheme="majorHAnsi" w:cstheme="majorHAnsi"/>
        </w:rPr>
      </w:pPr>
      <w:r>
        <w:rPr>
          <w:rFonts w:asciiTheme="majorHAnsi" w:hAnsiTheme="majorHAnsi" w:cstheme="majorHAnsi"/>
        </w:rPr>
        <w:lastRenderedPageBreak/>
        <w:t xml:space="preserve">After dose interpolation and extrapolation of each organ’s RD/g assuming an equal 200 </w:t>
      </w:r>
      <w:proofErr w:type="spellStart"/>
      <w:r>
        <w:rPr>
          <w:rFonts w:asciiTheme="majorHAnsi" w:hAnsiTheme="majorHAnsi" w:cstheme="majorHAnsi"/>
        </w:rPr>
        <w:t>nCi</w:t>
      </w:r>
      <w:proofErr w:type="spellEnd"/>
      <w:r>
        <w:rPr>
          <w:rFonts w:asciiTheme="majorHAnsi" w:hAnsiTheme="majorHAnsi" w:cstheme="majorHAnsi"/>
        </w:rPr>
        <w:t xml:space="preserve"> Ac-225 and 1 </w:t>
      </w:r>
      <w:proofErr w:type="spellStart"/>
      <w:r>
        <w:rPr>
          <w:rFonts w:asciiTheme="majorHAnsi" w:hAnsiTheme="majorHAnsi" w:cstheme="majorHAnsi"/>
        </w:rPr>
        <w:t>nCi</w:t>
      </w:r>
      <w:proofErr w:type="spellEnd"/>
      <w:r>
        <w:rPr>
          <w:rFonts w:asciiTheme="majorHAnsi" w:hAnsiTheme="majorHAnsi" w:cstheme="majorHAnsi"/>
        </w:rPr>
        <w:t xml:space="preserve"> Ac-227 (0.5%), output measurements of dose vs time, dose ratio (Ac-227/Ac-225) vs time, and dose/day vs time were calculated.</w:t>
      </w:r>
    </w:p>
    <w:p w14:paraId="69A97AC6" w14:textId="77777777"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14:paraId="25D7FC8F" w14:textId="24ABB4F5"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DOTA-Ac had the greatest</w:t>
      </w:r>
      <w:r w:rsidR="00FB58CC">
        <w:rPr>
          <w:rFonts w:asciiTheme="majorHAnsi" w:hAnsiTheme="majorHAnsi" w:cstheme="majorHAnsi"/>
        </w:rPr>
        <w:t xml:space="preserve"> cumulative</w:t>
      </w:r>
      <w:r>
        <w:rPr>
          <w:rFonts w:asciiTheme="majorHAnsi" w:hAnsiTheme="majorHAnsi" w:cstheme="majorHAnsi"/>
        </w:rPr>
        <w:t xml:space="preserve"> Ac-225 dose to the kidneys, with a dose of </w:t>
      </w:r>
      <w:r w:rsidR="00BB313B">
        <w:rPr>
          <w:rFonts w:asciiTheme="majorHAnsi" w:hAnsiTheme="majorHAnsi" w:cstheme="majorHAnsi"/>
        </w:rPr>
        <w:t xml:space="preserve">0.0167 </w:t>
      </w:r>
      <w:proofErr w:type="spellStart"/>
      <w:r w:rsidR="00BB313B">
        <w:rPr>
          <w:rFonts w:asciiTheme="majorHAnsi" w:hAnsiTheme="majorHAnsi" w:cstheme="majorHAnsi"/>
        </w:rPr>
        <w:t>Gy</w:t>
      </w:r>
      <w:proofErr w:type="spellEnd"/>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w:t>
      </w:r>
      <w:proofErr w:type="spellStart"/>
      <w:r>
        <w:rPr>
          <w:rFonts w:asciiTheme="majorHAnsi" w:hAnsiTheme="majorHAnsi" w:cstheme="majorHAnsi"/>
        </w:rPr>
        <w:t>Gy</w:t>
      </w:r>
      <w:proofErr w:type="spellEnd"/>
      <w:r>
        <w:rPr>
          <w:rFonts w:asciiTheme="majorHAnsi" w:hAnsiTheme="majorHAnsi" w:cstheme="majorHAnsi"/>
        </w:rPr>
        <w:t>)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w:t>
      </w:r>
      <w:proofErr w:type="spellStart"/>
      <w:r w:rsidR="00DC66B7">
        <w:rPr>
          <w:rFonts w:asciiTheme="majorHAnsi" w:hAnsiTheme="majorHAnsi" w:cstheme="majorHAnsi"/>
        </w:rPr>
        <w:t>Gy</w:t>
      </w:r>
      <w:proofErr w:type="spellEnd"/>
      <w:r w:rsidR="00DC66B7">
        <w:rPr>
          <w:rFonts w:asciiTheme="majorHAnsi" w:hAnsiTheme="majorHAnsi" w:cstheme="majorHAnsi"/>
        </w:rPr>
        <w:t xml:space="preserve"> (95% CI </w:t>
      </w:r>
      <w:r w:rsidR="00E15D12">
        <w:rPr>
          <w:rFonts w:asciiTheme="majorHAnsi" w:hAnsiTheme="majorHAnsi" w:cstheme="majorHAnsi"/>
        </w:rPr>
        <w:t>0.00315-0.00347</w:t>
      </w:r>
      <w:r w:rsidR="00DC66B7">
        <w:rPr>
          <w:rFonts w:asciiTheme="majorHAnsi" w:hAnsiTheme="majorHAnsi" w:cstheme="majorHAnsi"/>
        </w:rPr>
        <w:t xml:space="preserve"> </w:t>
      </w:r>
      <w:proofErr w:type="spellStart"/>
      <w:r w:rsidR="00DC66B7">
        <w:rPr>
          <w:rFonts w:asciiTheme="majorHAnsi" w:hAnsiTheme="majorHAnsi" w:cstheme="majorHAnsi"/>
        </w:rPr>
        <w:t>Gy</w:t>
      </w:r>
      <w:proofErr w:type="spellEnd"/>
      <w:r w:rsidR="00DC66B7">
        <w:rPr>
          <w:rFonts w:asciiTheme="majorHAnsi" w:hAnsiTheme="majorHAnsi" w:cstheme="majorHAnsi"/>
        </w:rPr>
        <w:t>)</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 xml:space="preserve">However, the estimated Ac-227 cumulative dose continued to increase to 0.311 </w:t>
      </w:r>
      <w:proofErr w:type="spellStart"/>
      <w:r w:rsidR="00237E06">
        <w:rPr>
          <w:rFonts w:asciiTheme="majorHAnsi" w:hAnsiTheme="majorHAnsi" w:cstheme="majorHAnsi"/>
        </w:rPr>
        <w:t>Gy</w:t>
      </w:r>
      <w:proofErr w:type="spellEnd"/>
      <w:r w:rsidR="00237E06">
        <w:rPr>
          <w:rFonts w:asciiTheme="majorHAnsi" w:hAnsiTheme="majorHAnsi" w:cstheme="majorHAnsi"/>
        </w:rPr>
        <w:t xml:space="preserve"> (95% CI 0.296-0.326 </w:t>
      </w:r>
      <w:proofErr w:type="spellStart"/>
      <w:r w:rsidR="00237E06">
        <w:rPr>
          <w:rFonts w:asciiTheme="majorHAnsi" w:hAnsiTheme="majorHAnsi" w:cstheme="majorHAnsi"/>
        </w:rPr>
        <w:t>Gy</w:t>
      </w:r>
      <w:proofErr w:type="spellEnd"/>
      <w:r w:rsidR="00237E06">
        <w:rPr>
          <w:rFonts w:asciiTheme="majorHAnsi" w:hAnsiTheme="majorHAnsi" w:cstheme="majorHAnsi"/>
        </w:rPr>
        <w:t>)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w:t>
      </w:r>
      <w:proofErr w:type="spellStart"/>
      <w:r w:rsidR="003F1D71">
        <w:rPr>
          <w:rFonts w:asciiTheme="majorHAnsi" w:hAnsiTheme="majorHAnsi" w:cstheme="majorHAnsi"/>
        </w:rPr>
        <w:t>Gy</w:t>
      </w:r>
      <w:proofErr w:type="spellEnd"/>
      <w:r w:rsidR="003F1D71">
        <w:rPr>
          <w:rFonts w:asciiTheme="majorHAnsi" w:hAnsiTheme="majorHAnsi" w:cstheme="majorHAnsi"/>
        </w:rPr>
        <w:t xml:space="preserve">/day (95% CI 5.09E-5 – 5.60E-5 </w:t>
      </w:r>
      <w:proofErr w:type="spellStart"/>
      <w:r w:rsidR="003F1D71">
        <w:rPr>
          <w:rFonts w:asciiTheme="majorHAnsi" w:hAnsiTheme="majorHAnsi" w:cstheme="majorHAnsi"/>
        </w:rPr>
        <w:t>Gy</w:t>
      </w:r>
      <w:proofErr w:type="spellEnd"/>
      <w:r w:rsidR="003F1D71">
        <w:rPr>
          <w:rFonts w:asciiTheme="majorHAnsi" w:hAnsiTheme="majorHAnsi" w:cstheme="majorHAnsi"/>
        </w:rPr>
        <w:t>/day)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14:paraId="6A00D2BD" w14:textId="77777777"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14:paraId="3CA17FDE" w14:textId="2669C30E"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 xml:space="preserve">20.4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17.0-23.8 </w:t>
      </w:r>
      <w:proofErr w:type="spellStart"/>
      <w:r w:rsidR="00F053C3">
        <w:rPr>
          <w:rFonts w:asciiTheme="majorHAnsi" w:hAnsiTheme="majorHAnsi" w:cstheme="majorHAnsi"/>
        </w:rPr>
        <w:t>Gy</w:t>
      </w:r>
      <w:proofErr w:type="spellEnd"/>
      <w:r w:rsidR="00F053C3">
        <w:rPr>
          <w:rFonts w:asciiTheme="majorHAnsi" w:hAnsiTheme="majorHAnsi" w:cstheme="majorHAnsi"/>
        </w:rPr>
        <w:t>)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xml:space="preserve">, and after 7946 days Ac-227 showed a slowing cumulative dose of 33.7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29.6-37.7 </w:t>
      </w:r>
      <w:proofErr w:type="spellStart"/>
      <w:r w:rsidR="00F053C3">
        <w:rPr>
          <w:rFonts w:asciiTheme="majorHAnsi" w:hAnsiTheme="majorHAnsi" w:cstheme="majorHAnsi"/>
        </w:rPr>
        <w:t>Gy</w:t>
      </w:r>
      <w:proofErr w:type="spellEnd"/>
      <w:r w:rsidR="00F053C3">
        <w:rPr>
          <w:rFonts w:asciiTheme="majorHAnsi" w:hAnsiTheme="majorHAnsi" w:cstheme="majorHAnsi"/>
        </w:rPr>
        <w:t>)</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w:t>
      </w:r>
      <w:proofErr w:type="gramStart"/>
      <w:r w:rsidR="00C25F05">
        <w:rPr>
          <w:rFonts w:asciiTheme="majorHAnsi" w:hAnsiTheme="majorHAnsi" w:cstheme="majorHAnsi"/>
        </w:rPr>
        <w:t>227:Ac</w:t>
      </w:r>
      <w:proofErr w:type="gramEnd"/>
      <w:r w:rsidR="00C25F05">
        <w:rPr>
          <w:rFonts w:asciiTheme="majorHAnsi" w:hAnsiTheme="majorHAnsi" w:cstheme="majorHAnsi"/>
        </w:rPr>
        <w:t>-225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2F0417">
        <w:rPr>
          <w:rFonts w:asciiTheme="majorHAnsi" w:hAnsiTheme="majorHAnsi" w:cstheme="majorHAnsi"/>
        </w:rPr>
        <w:t>0.88</w:t>
      </w:r>
      <w:r w:rsidR="00CF2B00">
        <w:rPr>
          <w:rFonts w:asciiTheme="majorHAnsi" w:hAnsiTheme="majorHAnsi" w:cstheme="majorHAnsi"/>
        </w:rPr>
        <w:t xml:space="preserve"> </w:t>
      </w:r>
      <w:proofErr w:type="spellStart"/>
      <w:r w:rsidR="00CF2B00">
        <w:rPr>
          <w:rFonts w:asciiTheme="majorHAnsi" w:hAnsiTheme="majorHAnsi" w:cstheme="majorHAnsi"/>
        </w:rPr>
        <w:t>Gy</w:t>
      </w:r>
      <w:proofErr w:type="spellEnd"/>
      <w:r w:rsidR="00CF2B00">
        <w:rPr>
          <w:rFonts w:asciiTheme="majorHAnsi" w:hAnsiTheme="majorHAnsi" w:cstheme="majorHAnsi"/>
        </w:rPr>
        <w:t>/day (95% CI 0.7</w:t>
      </w:r>
      <w:r w:rsidR="002F0417">
        <w:rPr>
          <w:rFonts w:asciiTheme="majorHAnsi" w:hAnsiTheme="majorHAnsi" w:cstheme="majorHAnsi"/>
        </w:rPr>
        <w:t>1-1.1</w:t>
      </w:r>
      <w:r w:rsidR="00CF2B00">
        <w:rPr>
          <w:rFonts w:asciiTheme="majorHAnsi" w:hAnsiTheme="majorHAnsi" w:cstheme="majorHAnsi"/>
        </w:rPr>
        <w:t xml:space="preserve">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for Trastuzumab-DOTA-Ac-225 </w:t>
      </w:r>
      <w:r w:rsidR="002F0417">
        <w:rPr>
          <w:rFonts w:asciiTheme="majorHAnsi" w:hAnsiTheme="majorHAnsi" w:cstheme="majorHAnsi"/>
        </w:rPr>
        <w:t xml:space="preserve">at 7 days </w:t>
      </w:r>
      <w:r w:rsidR="00CF2B00">
        <w:rPr>
          <w:rFonts w:asciiTheme="majorHAnsi" w:hAnsiTheme="majorHAnsi" w:cstheme="majorHAnsi"/>
        </w:rPr>
        <w:t>(</w:t>
      </w:r>
      <w:r w:rsidR="00CF2B00">
        <w:rPr>
          <w:rFonts w:asciiTheme="majorHAnsi" w:hAnsiTheme="majorHAnsi" w:cstheme="majorHAnsi"/>
          <w:b/>
        </w:rPr>
        <w:t>Figure 3E</w:t>
      </w:r>
      <w:r w:rsidR="002F0417">
        <w:rPr>
          <w:rFonts w:asciiTheme="majorHAnsi" w:hAnsiTheme="majorHAnsi" w:cstheme="majorHAnsi"/>
        </w:rPr>
        <w:t>), and at 200 days 0.058</w:t>
      </w:r>
      <w:r w:rsidR="00CF2B00">
        <w:rPr>
          <w:rFonts w:asciiTheme="majorHAnsi" w:hAnsiTheme="majorHAnsi" w:cstheme="majorHAnsi"/>
        </w:rPr>
        <w:t xml:space="preserve"> </w:t>
      </w:r>
      <w:proofErr w:type="spellStart"/>
      <w:r w:rsidR="00CF2B00">
        <w:rPr>
          <w:rFonts w:asciiTheme="majorHAnsi" w:hAnsiTheme="majorHAnsi" w:cstheme="majorHAnsi"/>
        </w:rPr>
        <w:t>Gy</w:t>
      </w:r>
      <w:proofErr w:type="spellEnd"/>
      <w:r w:rsidR="00CF2B00">
        <w:rPr>
          <w:rFonts w:asciiTheme="majorHAnsi" w:hAnsiTheme="majorHAnsi" w:cstheme="majorHAnsi"/>
        </w:rPr>
        <w:t>/day (95% CI 0.05</w:t>
      </w:r>
      <w:r w:rsidR="002F0417">
        <w:rPr>
          <w:rFonts w:asciiTheme="majorHAnsi" w:hAnsiTheme="majorHAnsi" w:cstheme="majorHAnsi"/>
        </w:rPr>
        <w:t>1</w:t>
      </w:r>
      <w:r w:rsidR="00CF2B00">
        <w:rPr>
          <w:rFonts w:asciiTheme="majorHAnsi" w:hAnsiTheme="majorHAnsi" w:cstheme="majorHAnsi"/>
        </w:rPr>
        <w:t>-0.06</w:t>
      </w:r>
      <w:r w:rsidR="002F0417">
        <w:rPr>
          <w:rFonts w:asciiTheme="majorHAnsi" w:hAnsiTheme="majorHAnsi" w:cstheme="majorHAnsi"/>
        </w:rPr>
        <w:t>5</w:t>
      </w:r>
      <w:r w:rsidR="00CF2B00">
        <w:rPr>
          <w:rFonts w:asciiTheme="majorHAnsi" w:hAnsiTheme="majorHAnsi" w:cstheme="majorHAnsi"/>
        </w:rPr>
        <w:t xml:space="preserve">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Trastuzumab-DOTA-Ac-227 (</w:t>
      </w:r>
      <w:r w:rsidR="00CF2B00">
        <w:rPr>
          <w:rFonts w:asciiTheme="majorHAnsi" w:hAnsiTheme="majorHAnsi" w:cstheme="majorHAnsi"/>
          <w:b/>
        </w:rPr>
        <w:t>Figure 3F</w:t>
      </w:r>
      <w:r w:rsidR="00CF2B00">
        <w:rPr>
          <w:rFonts w:asciiTheme="majorHAnsi" w:hAnsiTheme="majorHAnsi" w:cstheme="majorHAnsi"/>
        </w:rPr>
        <w:t>).</w:t>
      </w:r>
      <w:r w:rsidR="00B45EF9">
        <w:rPr>
          <w:rFonts w:asciiTheme="majorHAnsi" w:hAnsiTheme="majorHAnsi" w:cstheme="majorHAnsi"/>
        </w:rPr>
        <w:t xml:space="preserve"> </w:t>
      </w:r>
      <w:r w:rsidR="007B016F">
        <w:rPr>
          <w:rFonts w:asciiTheme="majorHAnsi" w:hAnsiTheme="majorHAnsi" w:cstheme="majorHAnsi"/>
        </w:rPr>
        <w:t>Cumulative d</w:t>
      </w:r>
      <w:r w:rsidR="00B45EF9">
        <w:rPr>
          <w:rFonts w:asciiTheme="majorHAnsi" w:hAnsiTheme="majorHAnsi" w:cstheme="majorHAnsi"/>
        </w:rPr>
        <w:t>ose to the kidneys was</w:t>
      </w:r>
      <w:r w:rsidR="007B016F">
        <w:rPr>
          <w:rFonts w:asciiTheme="majorHAnsi" w:hAnsiTheme="majorHAnsi" w:cstheme="majorHAnsi"/>
        </w:rPr>
        <w:t xml:space="preserve"> found to be</w:t>
      </w:r>
      <w:r w:rsidR="00B45EF9">
        <w:rPr>
          <w:rFonts w:asciiTheme="majorHAnsi" w:hAnsiTheme="majorHAnsi" w:cstheme="majorHAnsi"/>
        </w:rPr>
        <w:t xml:space="preserve"> </w:t>
      </w:r>
      <w:r w:rsidR="007B016F">
        <w:rPr>
          <w:rFonts w:asciiTheme="majorHAnsi" w:hAnsiTheme="majorHAnsi" w:cstheme="majorHAnsi"/>
        </w:rPr>
        <w:t xml:space="preserve">low for both Ac-225 and Ac-227, at 0.54 </w:t>
      </w:r>
      <w:proofErr w:type="spellStart"/>
      <w:r w:rsidR="007B016F">
        <w:rPr>
          <w:rFonts w:asciiTheme="majorHAnsi" w:hAnsiTheme="majorHAnsi" w:cstheme="majorHAnsi"/>
        </w:rPr>
        <w:t>Gy</w:t>
      </w:r>
      <w:proofErr w:type="spellEnd"/>
      <w:r w:rsidR="007B016F">
        <w:rPr>
          <w:rFonts w:asciiTheme="majorHAnsi" w:hAnsiTheme="majorHAnsi" w:cstheme="majorHAnsi"/>
        </w:rPr>
        <w:t xml:space="preserve"> (95% CI 0.49-0.58 </w:t>
      </w:r>
      <w:proofErr w:type="spellStart"/>
      <w:r w:rsidR="007B016F">
        <w:rPr>
          <w:rFonts w:asciiTheme="majorHAnsi" w:hAnsiTheme="majorHAnsi" w:cstheme="majorHAnsi"/>
        </w:rPr>
        <w:t>Gy</w:t>
      </w:r>
      <w:proofErr w:type="spellEnd"/>
      <w:r w:rsidR="007B016F">
        <w:rPr>
          <w:rFonts w:asciiTheme="majorHAnsi" w:hAnsiTheme="majorHAnsi" w:cstheme="majorHAnsi"/>
        </w:rPr>
        <w:t xml:space="preserve">) and 1.42 </w:t>
      </w:r>
      <w:r w:rsidR="00485645">
        <w:rPr>
          <w:rFonts w:asciiTheme="majorHAnsi" w:hAnsiTheme="majorHAnsi" w:cstheme="majorHAnsi"/>
        </w:rPr>
        <w:t xml:space="preserve">(95% CI 1.35-1.49) respectively, as was the kidney dose per day, with Ac-225 at 3 </w:t>
      </w:r>
      <w:proofErr w:type="spellStart"/>
      <w:r w:rsidR="00485645">
        <w:rPr>
          <w:rFonts w:asciiTheme="majorHAnsi" w:hAnsiTheme="majorHAnsi" w:cstheme="majorHAnsi"/>
        </w:rPr>
        <w:t>mGy</w:t>
      </w:r>
      <w:proofErr w:type="spellEnd"/>
      <w:r w:rsidR="00485645">
        <w:rPr>
          <w:rFonts w:asciiTheme="majorHAnsi" w:hAnsiTheme="majorHAnsi" w:cstheme="majorHAnsi"/>
        </w:rPr>
        <w:t xml:space="preserve">/day (95% CI 2.9-3.1 </w:t>
      </w:r>
      <w:proofErr w:type="spellStart"/>
      <w:r w:rsidR="00485645">
        <w:rPr>
          <w:rFonts w:asciiTheme="majorHAnsi" w:hAnsiTheme="majorHAnsi" w:cstheme="majorHAnsi"/>
        </w:rPr>
        <w:t>mGy</w:t>
      </w:r>
      <w:proofErr w:type="spellEnd"/>
      <w:r w:rsidR="00485645">
        <w:rPr>
          <w:rFonts w:asciiTheme="majorHAnsi" w:hAnsiTheme="majorHAnsi" w:cstheme="majorHAnsi"/>
        </w:rPr>
        <w:t>/day) and Ac-227 at 54 µ</w:t>
      </w:r>
      <w:proofErr w:type="spellStart"/>
      <w:r w:rsidR="00485645">
        <w:rPr>
          <w:rFonts w:asciiTheme="majorHAnsi" w:hAnsiTheme="majorHAnsi" w:cstheme="majorHAnsi"/>
        </w:rPr>
        <w:t>Gy</w:t>
      </w:r>
      <w:proofErr w:type="spellEnd"/>
      <w:r w:rsidR="00485645">
        <w:rPr>
          <w:rFonts w:asciiTheme="majorHAnsi" w:hAnsiTheme="majorHAnsi" w:cstheme="majorHAnsi"/>
        </w:rPr>
        <w:t>/day (95% CI 51-56 µ</w:t>
      </w:r>
      <w:proofErr w:type="spellStart"/>
      <w:r w:rsidR="00485645">
        <w:rPr>
          <w:rFonts w:asciiTheme="majorHAnsi" w:hAnsiTheme="majorHAnsi" w:cstheme="majorHAnsi"/>
        </w:rPr>
        <w:t>Gy</w:t>
      </w:r>
      <w:proofErr w:type="spellEnd"/>
      <w:r w:rsidR="00485645">
        <w:rPr>
          <w:rFonts w:asciiTheme="majorHAnsi" w:hAnsiTheme="majorHAnsi" w:cstheme="majorHAnsi"/>
        </w:rPr>
        <w:t>/day).</w:t>
      </w:r>
    </w:p>
    <w:p w14:paraId="1AB32E02" w14:textId="77777777" w:rsidR="00C74806" w:rsidRDefault="00C74806" w:rsidP="00504374">
      <w:pPr>
        <w:jc w:val="both"/>
        <w:rPr>
          <w:rFonts w:asciiTheme="majorHAnsi" w:hAnsiTheme="majorHAnsi" w:cstheme="majorHAnsi"/>
          <w:b/>
          <w:sz w:val="24"/>
        </w:rPr>
      </w:pPr>
    </w:p>
    <w:p w14:paraId="66F8CBB4"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14:paraId="71ABB571" w14:textId="3BD53F1C"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w:t>
      </w:r>
      <w:proofErr w:type="spellStart"/>
      <w:r w:rsidR="003720E2">
        <w:rPr>
          <w:rFonts w:asciiTheme="majorHAnsi" w:hAnsiTheme="majorHAnsi" w:cstheme="majorHAnsi"/>
        </w:rPr>
        <w:t>nCi</w:t>
      </w:r>
      <w:proofErr w:type="spellEnd"/>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724596">
        <w:rPr>
          <w:rFonts w:asciiTheme="majorHAnsi" w:hAnsiTheme="majorHAnsi" w:cstheme="majorHAnsi"/>
        </w:rPr>
        <w:t xml:space="preserve">in time, disallowing future distribution, </w:t>
      </w:r>
      <w:r w:rsidR="00B9671C">
        <w:rPr>
          <w:rFonts w:asciiTheme="majorHAnsi" w:hAnsiTheme="majorHAnsi" w:cstheme="majorHAnsi"/>
        </w:rPr>
        <w:t xml:space="preserve">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B71CFF">
        <w:rPr>
          <w:rFonts w:asciiTheme="majorHAnsi" w:hAnsiTheme="majorHAnsi" w:cstheme="majorHAnsi"/>
        </w:rPr>
        <w:t>Also, all samples were left to sit to secular equilibrium for Ac-225 and Ac-227 counting</w:t>
      </w:r>
      <w:r w:rsidR="0074554B">
        <w:rPr>
          <w:rFonts w:asciiTheme="majorHAnsi" w:hAnsiTheme="majorHAnsi" w:cstheme="majorHAnsi"/>
        </w:rPr>
        <w:t xml:space="preserve"> (see </w:t>
      </w:r>
      <w:r w:rsidR="0074554B">
        <w:rPr>
          <w:rFonts w:asciiTheme="majorHAnsi" w:hAnsiTheme="majorHAnsi" w:cstheme="majorHAnsi"/>
          <w:b/>
        </w:rPr>
        <w:t>Figure 1</w:t>
      </w:r>
      <w:r w:rsidR="0074554B">
        <w:rPr>
          <w:rFonts w:asciiTheme="majorHAnsi" w:hAnsiTheme="majorHAnsi" w:cstheme="majorHAnsi"/>
        </w:rPr>
        <w:t>)</w:t>
      </w:r>
      <w:r w:rsidR="00B71CF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w:t>
      </w:r>
      <w:proofErr w:type="spellStart"/>
      <w:r w:rsidR="00F42A11">
        <w:rPr>
          <w:rFonts w:asciiTheme="majorHAnsi" w:hAnsiTheme="majorHAnsi" w:cstheme="majorHAnsi"/>
        </w:rPr>
        <w:t>nCi</w:t>
      </w:r>
      <w:proofErr w:type="spellEnd"/>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w:t>
      </w:r>
      <w:r w:rsidR="001241BF">
        <w:rPr>
          <w:rFonts w:asciiTheme="majorHAnsi" w:hAnsiTheme="majorHAnsi" w:cstheme="majorHAnsi"/>
        </w:rPr>
        <w:t>maximum tolerated dose (</w:t>
      </w:r>
      <w:r w:rsidR="00323B3C">
        <w:rPr>
          <w:rFonts w:asciiTheme="majorHAnsi" w:hAnsiTheme="majorHAnsi" w:cstheme="majorHAnsi"/>
        </w:rPr>
        <w:t>MTD</w:t>
      </w:r>
      <w:r w:rsidR="001241BF">
        <w:rPr>
          <w:rFonts w:asciiTheme="majorHAnsi" w:hAnsiTheme="majorHAnsi" w:cstheme="majorHAnsi"/>
        </w:rPr>
        <w:t>)</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732CA3" w:rsidRPr="00732CA3">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w:t>
      </w:r>
      <w:r w:rsidR="001241BF">
        <w:rPr>
          <w:rFonts w:asciiTheme="majorHAnsi" w:hAnsiTheme="majorHAnsi" w:cstheme="majorHAnsi"/>
        </w:rPr>
        <w:t>MTD</w:t>
      </w:r>
      <w:r w:rsidR="00FC4EE4">
        <w:rPr>
          <w:rFonts w:asciiTheme="majorHAnsi" w:hAnsiTheme="majorHAnsi" w:cstheme="majorHAnsi"/>
        </w:rPr>
        <w:t xml:space="preserve"> is based on </w:t>
      </w:r>
      <w:r w:rsidR="00E2330E">
        <w:rPr>
          <w:rFonts w:asciiTheme="majorHAnsi" w:hAnsiTheme="majorHAnsi" w:cstheme="majorHAnsi"/>
        </w:rPr>
        <w:t xml:space="preserve">acute </w:t>
      </w:r>
      <w:r w:rsidR="00FC4EE4">
        <w:rPr>
          <w:rFonts w:asciiTheme="majorHAnsi" w:hAnsiTheme="majorHAnsi" w:cstheme="majorHAnsi"/>
        </w:rPr>
        <w:t xml:space="preserve">effects of Ac-225 (no Ac-227) out to 35 days, </w:t>
      </w:r>
      <w:r w:rsidR="00E2330E">
        <w:rPr>
          <w:rFonts w:asciiTheme="majorHAnsi" w:hAnsiTheme="majorHAnsi" w:cstheme="majorHAnsi"/>
        </w:rPr>
        <w:t>it does not speak for long term dose effects of Ac-227, and is taken only as a</w:t>
      </w:r>
      <w:r w:rsidR="001241BF">
        <w:rPr>
          <w:rFonts w:asciiTheme="majorHAnsi" w:hAnsiTheme="majorHAnsi" w:cstheme="majorHAnsi"/>
        </w:rPr>
        <w:t>n acute</w:t>
      </w:r>
      <w:r w:rsidR="00E2330E">
        <w:rPr>
          <w:rFonts w:asciiTheme="majorHAnsi" w:hAnsiTheme="majorHAnsi" w:cstheme="majorHAnsi"/>
        </w:rPr>
        <w:t xml:space="preserve"> guideline.</w:t>
      </w:r>
      <w:r w:rsidR="001241BF">
        <w:rPr>
          <w:rFonts w:asciiTheme="majorHAnsi" w:hAnsiTheme="majorHAnsi" w:cstheme="majorHAnsi"/>
        </w:rPr>
        <w:t xml:space="preserve"> </w:t>
      </w:r>
    </w:p>
    <w:p w14:paraId="71816E0D" w14:textId="313A2D31" w:rsidR="000E698C" w:rsidRDefault="00026BE2" w:rsidP="009D74FB">
      <w:pPr>
        <w:spacing w:line="480" w:lineRule="auto"/>
        <w:jc w:val="both"/>
        <w:rPr>
          <w:rFonts w:asciiTheme="majorHAnsi" w:hAnsiTheme="majorHAnsi" w:cstheme="majorHAnsi"/>
        </w:rPr>
      </w:pPr>
      <w:r>
        <w:rPr>
          <w:rFonts w:asciiTheme="majorHAnsi" w:hAnsiTheme="majorHAnsi" w:cstheme="majorHAnsi"/>
        </w:rPr>
        <w:t xml:space="preserve">In </w:t>
      </w:r>
      <w:r w:rsidR="00D05504">
        <w:rPr>
          <w:rFonts w:asciiTheme="majorHAnsi" w:hAnsiTheme="majorHAnsi" w:cstheme="majorHAnsi"/>
        </w:rPr>
        <w:t>general, for</w:t>
      </w:r>
      <w:r w:rsidR="008B6689">
        <w:rPr>
          <w:rFonts w:asciiTheme="majorHAnsi" w:hAnsiTheme="majorHAnsi" w:cstheme="majorHAnsi"/>
        </w:rPr>
        <w:t xml:space="preserve"> radiotherapies, as well as</w:t>
      </w:r>
      <w:r>
        <w:rPr>
          <w:rFonts w:asciiTheme="majorHAnsi" w:hAnsiTheme="majorHAnsi" w:cstheme="majorHAnsi"/>
        </w:rPr>
        <w:t xml:space="preserve"> targeted alpha therapies</w:t>
      </w:r>
      <w:r w:rsidR="00D05504">
        <w:rPr>
          <w:rFonts w:asciiTheme="majorHAnsi" w:hAnsiTheme="majorHAnsi" w:cstheme="majorHAnsi"/>
        </w:rPr>
        <w:t>, the dose limiting factor tends to be</w:t>
      </w:r>
      <w:r>
        <w:rPr>
          <w:rFonts w:asciiTheme="majorHAnsi" w:hAnsiTheme="majorHAnsi" w:cstheme="majorHAnsi"/>
        </w:rPr>
        <w:t xml:space="preserve"> renal toxicity</w:t>
      </w:r>
      <w:r w:rsidR="008B6689">
        <w:rPr>
          <w:rFonts w:asciiTheme="majorHAnsi" w:hAnsiTheme="majorHAnsi" w:cstheme="majorHAnsi"/>
        </w:rPr>
        <w:t xml:space="preserve"> </w:t>
      </w:r>
      <w:r w:rsidR="004C76AA">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{"citationItems":[{"id":"ITEM-1","itemData":{"DOI":"10.2967/jnumed.110.075101","ISSN":"0161-5505","abstract":"Peptide-receptor radionuclide therapy (PRRT) with radiolabeled somatostatin analogs such as octreotide is an effective therapy against neuroendocrine tumors. Other radiolabeled peptides and antibody fragments are under investigation. Most of these compounds are cleared through the kidneys and reabsorbed and partially retained in the proximal tubules, causing dose-limiting nephrotoxicity. An overview of renal handling of radiolabeled peptides and resulting nephrotoxicity is presented, and strategies to reduce nephrotoxicity are discussed. Modification of size, charge, or structure of radiolabeled peptides can alter glomerular filtration and tubular reabsorption. Coinfusion of competitive inhibitors of reabsorption also interferes with the interaction of peptides with renal endocytic receptors; coinfusion of basic amino acids is currently used for kidney protection in clinical PRRT. Furthermore, nephrotoxicity may be reduced by dose fractionation, use of radioprotectors, or use of mitigating agents. Decreasing the risk of nephrotoxicity allows for administration of higher radiation doses, increasing the effectiveness of PRRT. COPYRIGHT © 2010 by the Society of Nuclear Medicine, Inc.","author":[{"dropping-particle":"","family":"Vegt","given":"E.","non-dropping-particle":"","parse-names":false,"suffix":""},{"dropping-particle":"","family":"Jong","given":"M.","non-dropping-particle":"de","parse-names":false,"suffix":""},{"dropping-particle":"","family":"Wetzels","given":"J. F. M.","non-dropping-particle":"","parse-names":false,"suffix":""},{"dropping-particle":"","family":"Masereeuw","given":"R.","non-dropping-particle":"","parse-names":false,"suffix":""},{"dropping-particle":"","family":"Melis","given":"M.","non-dropping-particle":"","parse-names":false,"suffix":""},{"dropping-particle":"","family":"Oyen","given":"W. J. G.","non-dropping-particle":"","parse-names":false,"suffix":""},{"dropping-particle":"","family":"Gotthardt","given":"M.","non-dropping-particle":"","parse-names":false,"suffix":""},{"dropping-particle":"","family":"Boerman","given":"O. C.","non-dropping-particle":"","parse-names":false,"suffix":""}],"container-title":"Journal of Nuclear Medicine","id":"ITEM-1","issued":{"date-parts":[["2010"]]},"title":"Renal Toxicity of Radiolabeled Peptides and Antibody Fragments: Mechanisms, Impact on Radionuclide Therapy, and Strategies for Prevention","type":"article-journal"},"uris":["http://www.mendeley.com/documents/?uuid=9deb9ff0-e97e-4a73-ae95-4f88a91e0d78"]},{"id":"ITEM-2","itemData":{"DOI":"10.1016/B978-0-12-415948-8.00007-6","ISBN":"9780124159488","abstract":"Radiation-associated kidney injury, also known as radiation nephropathy, can occur in both the acute and chronic phase, but most commonly occurs 612 months after exposure. It is difficult to predict who is at risk for radiation nephropathy because of the varying doses, dosing fractionation and other systemic treatments cancer patients receive. Patients typically present with hypertension, edema and proteinuria consistent with an acute kidney injury but can also be accompanied by microangiopathic hemolytic anemia with schistocytes and thrombocytopenia. Renal biopsy findings are not specific to radiation injury and are more typical of HUS. Progression to chronic renal failure and ultimately to dialysis dependence is common. ACE inhibitors and ARBs are increasingly being used as successful treatment. The development of end stage renal disease is a poor prognostic event in these patients and survival on chronic dialysis is poor compared to that of age-matched non-diabetic and diabetic patients. © 2014 Elsevier Inc. All rights reserved.","author":[{"dropping-particle":"","family":"Podoll","given":"Amber S.","non-dropping-particle":"","parse-names":false,"suffix":""},{"dropping-particle":"","family":"Amsbaugh","given":"Mark J.","non-dropping-particle":"","parse-names":false,"suffix":""}],"container-title":"Renal Disease in Cancer Patients","id":"ITEM-2","issued":{"date-parts":[["2013"]]},"title":"Radiation-associated Kidney Injury","type":"chapter"},"uris":["http://www.mendeley.com/documents/?uuid=b99ba3b6-c60b-4fb9-8e88-e0f420b857ab"]},{"id":"ITEM-3","itemData":{"DOI":"10.2174/1874471011104040306","ISSN":"18744710","abstract":"Alpha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Radiopharmaceuticalse","id":"ITEM-3","issued":{"date-parts":[["2012"]]},"title":"Actinium-225 in Targeted Alpha-Particle Therapeutic Applications","type":"article-journal"},"uris":["http://www.mendeley.com/documents/?uuid=cdc15e80-a60e-47fa-8337-7dfbc43ce93a"]}],"mendeley":{"formattedCitation":"&lt;sup&gt;2–4&lt;/sup&gt;","plainTextFormattedCitation":"2–4","previouslyFormattedCitation":"&lt;sup&gt;2–4&lt;/sup&gt;"},"properties":{"noteIndex":0},"schema":"https://github.com/citation-style-language/schema/raw/master/csl-citation.json"}</w:instrText>
      </w:r>
      <w:r w:rsidR="004C76AA">
        <w:rPr>
          <w:rFonts w:asciiTheme="majorHAnsi" w:hAnsiTheme="majorHAnsi" w:cstheme="majorHAnsi"/>
        </w:rPr>
        <w:fldChar w:fldCharType="separate"/>
      </w:r>
      <w:r w:rsidR="00732CA3" w:rsidRPr="00732CA3">
        <w:rPr>
          <w:rFonts w:asciiTheme="majorHAnsi" w:hAnsiTheme="majorHAnsi" w:cstheme="majorHAnsi"/>
          <w:noProof/>
          <w:vertAlign w:val="superscript"/>
        </w:rPr>
        <w:t>2–4</w:t>
      </w:r>
      <w:r w:rsidR="004C76AA">
        <w:rPr>
          <w:rFonts w:asciiTheme="majorHAnsi" w:hAnsiTheme="majorHAnsi" w:cstheme="majorHAnsi"/>
        </w:rPr>
        <w:fldChar w:fldCharType="end"/>
      </w:r>
      <w:r w:rsidR="00D05504">
        <w:rPr>
          <w:rFonts w:asciiTheme="majorHAnsi" w:hAnsiTheme="majorHAnsi" w:cstheme="majorHAnsi"/>
        </w:rPr>
        <w:t>. I</w:t>
      </w:r>
      <w:r>
        <w:rPr>
          <w:rFonts w:asciiTheme="majorHAnsi" w:hAnsiTheme="majorHAnsi" w:cstheme="majorHAnsi"/>
        </w:rPr>
        <w:t>n humans,</w:t>
      </w:r>
      <w:r w:rsidR="00D05504">
        <w:rPr>
          <w:rFonts w:asciiTheme="majorHAnsi" w:hAnsiTheme="majorHAnsi" w:cstheme="majorHAnsi"/>
        </w:rPr>
        <w:t xml:space="preserve"> short half-life radiotherapies typically present a delayed toxicity well beyond the </w:t>
      </w:r>
      <w:r w:rsidR="000E698C">
        <w:rPr>
          <w:rFonts w:asciiTheme="majorHAnsi" w:hAnsiTheme="majorHAnsi" w:cstheme="majorHAnsi"/>
        </w:rPr>
        <w:t xml:space="preserve">decay of the radioisotopes, and is </w:t>
      </w:r>
      <w:r>
        <w:rPr>
          <w:rFonts w:asciiTheme="majorHAnsi" w:hAnsiTheme="majorHAnsi" w:cstheme="majorHAnsi"/>
        </w:rPr>
        <w:t xml:space="preserve">known to occur between months and years after radiation treatment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ICRP","id":"ITEM-2","issue":"1-2","issued":{"date-parts":[["2012"]]},"page":"1-322","title":"ICRP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5,6&lt;/sup&gt;","plainTextFormattedCitation":"5,6","previouslyFormattedCitation":"&lt;sup&gt;5,6&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5,6</w:t>
      </w:r>
      <w:r>
        <w:rPr>
          <w:rFonts w:asciiTheme="majorHAnsi" w:hAnsiTheme="majorHAnsi" w:cstheme="majorHAnsi"/>
        </w:rPr>
        <w:fldChar w:fldCharType="end"/>
      </w:r>
      <w:r w:rsidR="00D05504">
        <w:rPr>
          <w:rFonts w:asciiTheme="majorHAnsi" w:hAnsiTheme="majorHAnsi" w:cstheme="majorHAnsi"/>
        </w:rPr>
        <w:t>.</w:t>
      </w:r>
      <w:r w:rsidR="009874E9">
        <w:rPr>
          <w:rFonts w:asciiTheme="majorHAnsi" w:hAnsiTheme="majorHAnsi" w:cstheme="majorHAnsi"/>
        </w:rPr>
        <w:t xml:space="preserve"> </w:t>
      </w:r>
      <w:r w:rsidR="000E698C">
        <w:rPr>
          <w:rFonts w:asciiTheme="majorHAnsi" w:hAnsiTheme="majorHAnsi" w:cstheme="majorHAnsi"/>
        </w:rPr>
        <w:t>Based upon the literature, we can create ballpark estimates to deter</w:t>
      </w:r>
      <w:r w:rsidR="0048141A">
        <w:rPr>
          <w:rFonts w:asciiTheme="majorHAnsi" w:hAnsiTheme="majorHAnsi" w:cstheme="majorHAnsi"/>
        </w:rPr>
        <w:t>mine for both Ac-225 and Ac-227 if</w:t>
      </w:r>
      <w:r w:rsidR="000E698C">
        <w:rPr>
          <w:rFonts w:asciiTheme="majorHAnsi" w:hAnsiTheme="majorHAnsi" w:cstheme="majorHAnsi"/>
        </w:rPr>
        <w:t xml:space="preserve"> </w:t>
      </w:r>
      <w:r w:rsidR="0048141A">
        <w:rPr>
          <w:rFonts w:asciiTheme="majorHAnsi" w:hAnsiTheme="majorHAnsi" w:cstheme="majorHAnsi"/>
        </w:rPr>
        <w:t>,</w:t>
      </w:r>
      <w:r w:rsidR="000E698C">
        <w:rPr>
          <w:rFonts w:asciiTheme="majorHAnsi" w:hAnsiTheme="majorHAnsi" w:cstheme="majorHAnsi"/>
        </w:rPr>
        <w:t xml:space="preserve">1) is the </w:t>
      </w:r>
      <w:r w:rsidR="0048141A">
        <w:rPr>
          <w:rFonts w:asciiTheme="majorHAnsi" w:hAnsiTheme="majorHAnsi" w:cstheme="majorHAnsi"/>
        </w:rPr>
        <w:t xml:space="preserve">cumulative </w:t>
      </w:r>
      <w:r w:rsidR="000E698C">
        <w:rPr>
          <w:rFonts w:asciiTheme="majorHAnsi" w:hAnsiTheme="majorHAnsi" w:cstheme="majorHAnsi"/>
        </w:rPr>
        <w:t xml:space="preserve">dose to vital organs </w:t>
      </w:r>
      <w:r w:rsidR="0048141A">
        <w:rPr>
          <w:rFonts w:asciiTheme="majorHAnsi" w:hAnsiTheme="majorHAnsi" w:cstheme="majorHAnsi"/>
        </w:rPr>
        <w:t>at or below the acute threshold</w:t>
      </w:r>
      <w:r w:rsidR="000E698C">
        <w:rPr>
          <w:rFonts w:asciiTheme="majorHAnsi" w:hAnsiTheme="majorHAnsi" w:cstheme="majorHAnsi"/>
        </w:rPr>
        <w:t>, and</w:t>
      </w:r>
      <w:r w:rsidR="0048141A">
        <w:rPr>
          <w:rFonts w:asciiTheme="majorHAnsi" w:hAnsiTheme="majorHAnsi" w:cstheme="majorHAnsi"/>
        </w:rPr>
        <w:t xml:space="preserve"> if not,</w:t>
      </w:r>
      <w:r w:rsidR="000E698C">
        <w:rPr>
          <w:rFonts w:asciiTheme="majorHAnsi" w:hAnsiTheme="majorHAnsi" w:cstheme="majorHAnsi"/>
        </w:rPr>
        <w:t xml:space="preserve"> 2) are the dose-per-day values </w:t>
      </w:r>
      <w:r w:rsidR="0048141A">
        <w:rPr>
          <w:rFonts w:asciiTheme="majorHAnsi" w:hAnsiTheme="majorHAnsi" w:cstheme="majorHAnsi"/>
        </w:rPr>
        <w:t>reasonable due to cumulative dose occurring over an extended period.</w:t>
      </w:r>
    </w:p>
    <w:p w14:paraId="0AF2C71D" w14:textId="24F35B3F" w:rsidR="00F07D79" w:rsidRDefault="00F07D79" w:rsidP="00F07D79">
      <w:pPr>
        <w:spacing w:line="480" w:lineRule="auto"/>
        <w:jc w:val="both"/>
        <w:rPr>
          <w:rFonts w:asciiTheme="majorHAnsi" w:hAnsiTheme="majorHAnsi" w:cstheme="majorHAnsi"/>
        </w:rPr>
      </w:pPr>
      <w:r>
        <w:rPr>
          <w:rFonts w:asciiTheme="majorHAnsi" w:hAnsiTheme="majorHAnsi" w:cstheme="majorHAnsi"/>
        </w:rPr>
        <w:t>Considering small molecule therapies with Ac-225, in human patients off-trial using experimental Ac-225-PSMA-617 peptide conjugate, the maximum</w:t>
      </w:r>
      <w:r w:rsidR="0048141A">
        <w:rPr>
          <w:rFonts w:asciiTheme="majorHAnsi" w:hAnsiTheme="majorHAnsi" w:cstheme="majorHAnsi"/>
        </w:rPr>
        <w:t xml:space="preserve"> cumulative</w:t>
      </w:r>
      <w:r>
        <w:rPr>
          <w:rFonts w:asciiTheme="majorHAnsi" w:hAnsiTheme="majorHAnsi" w:cstheme="majorHAnsi"/>
        </w:rPr>
        <w:t xml:space="preserve"> dose to the kidneys was tolerated at 16.8 Sv</w:t>
      </w:r>
      <w:r>
        <w:rPr>
          <w:rFonts w:asciiTheme="majorHAnsi" w:hAnsiTheme="majorHAnsi" w:cstheme="majorHAnsi"/>
          <w:vertAlign w:val="subscript"/>
        </w:rPr>
        <w:t>RBE5</w:t>
      </w:r>
      <w:r>
        <w:rPr>
          <w:rFonts w:asciiTheme="majorHAnsi" w:hAnsiTheme="majorHAnsi" w:cstheme="majorHAnsi"/>
        </w:rPr>
        <w:t xml:space="preserve"> (3.36 </w:t>
      </w:r>
      <w:proofErr w:type="spellStart"/>
      <w:r>
        <w:rPr>
          <w:rFonts w:asciiTheme="majorHAnsi" w:hAnsiTheme="majorHAnsi" w:cstheme="majorHAnsi"/>
        </w:rPr>
        <w:t>Gy</w:t>
      </w:r>
      <w:proofErr w:type="spellEnd"/>
      <w:r>
        <w:rPr>
          <w:rFonts w:asciiTheme="majorHAnsi" w:hAnsiTheme="majorHAnsi" w:cstheme="majorHAnsi"/>
        </w:rPr>
        <w:t xml:space="preserve">) from 3x fractionated ~7.4 </w:t>
      </w:r>
      <w:proofErr w:type="spellStart"/>
      <w:r>
        <w:rPr>
          <w:rFonts w:asciiTheme="majorHAnsi" w:hAnsiTheme="majorHAnsi" w:cstheme="majorHAnsi"/>
        </w:rPr>
        <w:t>MBq</w:t>
      </w:r>
      <w:proofErr w:type="spellEnd"/>
      <w:r>
        <w:rPr>
          <w:rFonts w:asciiTheme="majorHAnsi" w:hAnsiTheme="majorHAnsi" w:cstheme="majorHAnsi"/>
        </w:rPr>
        <w:t xml:space="preserve"> doses (200 </w:t>
      </w:r>
      <w:proofErr w:type="spellStart"/>
      <w:r>
        <w:rPr>
          <w:rFonts w:asciiTheme="majorHAnsi" w:hAnsiTheme="majorHAnsi" w:cstheme="majorHAnsi"/>
        </w:rPr>
        <w:t>nCi</w:t>
      </w:r>
      <w:proofErr w:type="spellEnd"/>
      <w:r>
        <w:rPr>
          <w:rFonts w:asciiTheme="majorHAnsi" w:hAnsiTheme="majorHAnsi" w:cstheme="majorHAnsi"/>
        </w:rPr>
        <w:t xml:space="preserve"> each, 5.6 </w:t>
      </w:r>
      <w:proofErr w:type="spellStart"/>
      <w:r>
        <w:rPr>
          <w:rFonts w:asciiTheme="majorHAnsi" w:hAnsiTheme="majorHAnsi" w:cstheme="majorHAnsi"/>
        </w:rPr>
        <w:t>Gy</w:t>
      </w:r>
      <w:proofErr w:type="spellEnd"/>
      <w:r>
        <w:rPr>
          <w:rFonts w:asciiTheme="majorHAnsi" w:hAnsiTheme="majorHAnsi" w:cstheme="majorHAnsi"/>
        </w:rPr>
        <w:t xml:space="preserve">/µCi)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5,7&lt;/sup&gt;","plainTextFormattedCitation":"5,7","previouslyFormattedCitation":"&lt;sup&gt;5,7&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5,7</w:t>
      </w:r>
      <w:r>
        <w:rPr>
          <w:rFonts w:asciiTheme="majorHAnsi" w:hAnsiTheme="majorHAnsi" w:cstheme="majorHAnsi"/>
        </w:rPr>
        <w:fldChar w:fldCharType="end"/>
      </w:r>
      <w:r w:rsidR="008B6689">
        <w:rPr>
          <w:rFonts w:asciiTheme="majorHAnsi" w:hAnsiTheme="majorHAnsi" w:cstheme="majorHAnsi"/>
        </w:rPr>
        <w:t>, with an approximate</w:t>
      </w:r>
      <w:r>
        <w:rPr>
          <w:rFonts w:asciiTheme="majorHAnsi" w:hAnsiTheme="majorHAnsi" w:cstheme="majorHAnsi"/>
        </w:rPr>
        <w:t xml:space="preserve"> 27 Sv</w:t>
      </w:r>
      <w:r>
        <w:rPr>
          <w:rFonts w:asciiTheme="majorHAnsi" w:hAnsiTheme="majorHAnsi" w:cstheme="majorHAnsi"/>
          <w:vertAlign w:val="subscript"/>
        </w:rPr>
        <w:t>RBE5</w:t>
      </w:r>
      <w:r>
        <w:rPr>
          <w:rFonts w:asciiTheme="majorHAnsi" w:hAnsiTheme="majorHAnsi" w:cstheme="majorHAnsi"/>
        </w:rPr>
        <w:t xml:space="preserve"> as the MTD (5.4 </w:t>
      </w:r>
      <w:proofErr w:type="spellStart"/>
      <w:r>
        <w:rPr>
          <w:rFonts w:asciiTheme="majorHAnsi" w:hAnsiTheme="majorHAnsi" w:cstheme="majorHAnsi"/>
        </w:rPr>
        <w:t>Gy</w:t>
      </w:r>
      <w:proofErr w:type="spellEnd"/>
      <w:r>
        <w:rPr>
          <w:rFonts w:asciiTheme="majorHAnsi" w:hAnsiTheme="majorHAnsi" w:cstheme="majorHAnsi"/>
        </w:rPr>
        <w:t xml:space="preserv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8&lt;/sup&gt;","plainTextFormattedCitation":"8","previouslyFormattedCitation":"&lt;sup&gt;8&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8</w:t>
      </w:r>
      <w:r>
        <w:rPr>
          <w:rFonts w:asciiTheme="majorHAnsi" w:hAnsiTheme="majorHAnsi" w:cstheme="majorHAnsi"/>
        </w:rPr>
        <w:fldChar w:fldCharType="end"/>
      </w:r>
      <w:r>
        <w:rPr>
          <w:rFonts w:asciiTheme="majorHAnsi" w:hAnsiTheme="majorHAnsi" w:cstheme="majorHAnsi"/>
        </w:rPr>
        <w:t xml:space="preserve">. </w:t>
      </w:r>
      <w:commentRangeStart w:id="1"/>
      <w:r>
        <w:rPr>
          <w:rFonts w:asciiTheme="majorHAnsi" w:hAnsiTheme="majorHAnsi" w:cstheme="majorHAnsi"/>
        </w:rPr>
        <w:t>For protein based Ac-225 radioimmunoconjugates, clinicaltrials.org shows six recruiting/active/completed phase I studies in the United States, however dose estimate data could not be found.</w:t>
      </w:r>
      <w:commentRangeEnd w:id="1"/>
      <w:r>
        <w:rPr>
          <w:rStyle w:val="CommentReference"/>
        </w:rPr>
        <w:commentReference w:id="1"/>
      </w:r>
      <w:r>
        <w:rPr>
          <w:rFonts w:asciiTheme="majorHAnsi" w:hAnsiTheme="majorHAnsi" w:cstheme="majorHAnsi"/>
        </w:rPr>
        <w:t xml:space="preserve"> Nonetheless for an estimate, in mice, there have been a few studies reporting a variety of ranges </w:t>
      </w:r>
      <w:r>
        <w:rPr>
          <w:rFonts w:asciiTheme="majorHAnsi" w:hAnsiTheme="majorHAnsi" w:cstheme="majorHAnsi"/>
        </w:rPr>
        <w:lastRenderedPageBreak/>
        <w:t xml:space="preserve">for radioimmunoconjugate dosimetry. In one study with Ac-225-HuM195 antibody conjugates, an upper-end kidney dose of 27.6 </w:t>
      </w:r>
      <w:proofErr w:type="spellStart"/>
      <w:r>
        <w:rPr>
          <w:rFonts w:asciiTheme="majorHAnsi" w:hAnsiTheme="majorHAnsi" w:cstheme="majorHAnsi"/>
        </w:rPr>
        <w:t>Gy</w:t>
      </w:r>
      <w:proofErr w:type="spellEnd"/>
      <w:r>
        <w:rPr>
          <w:rFonts w:asciiTheme="majorHAnsi" w:hAnsiTheme="majorHAnsi" w:cstheme="majorHAnsi"/>
        </w:rPr>
        <w:t xml:space="preserve"> (138 Sv</w:t>
      </w:r>
      <w:r>
        <w:rPr>
          <w:rFonts w:asciiTheme="majorHAnsi" w:hAnsiTheme="majorHAnsi" w:cstheme="majorHAnsi"/>
          <w:vertAlign w:val="subscript"/>
        </w:rPr>
        <w:t>RBE5</w:t>
      </w:r>
      <w:r>
        <w:rPr>
          <w:rFonts w:asciiTheme="majorHAnsi" w:hAnsiTheme="majorHAnsi" w:cstheme="majorHAnsi"/>
        </w:rPr>
        <w:t xml:space="preserve">) was tolerated with the additional administration of a kidney protectant from 350 </w:t>
      </w:r>
      <w:proofErr w:type="spellStart"/>
      <w:r>
        <w:rPr>
          <w:rFonts w:asciiTheme="majorHAnsi" w:hAnsiTheme="majorHAnsi" w:cstheme="majorHAnsi"/>
        </w:rPr>
        <w:t>nCi</w:t>
      </w:r>
      <w:proofErr w:type="spellEnd"/>
      <w:r>
        <w:rPr>
          <w:rFonts w:asciiTheme="majorHAnsi" w:hAnsiTheme="majorHAnsi" w:cstheme="majorHAnsi"/>
        </w:rPr>
        <w:t xml:space="preserve"> administration to SCID mice, giving (79 </w:t>
      </w:r>
      <w:proofErr w:type="spellStart"/>
      <w:r>
        <w:rPr>
          <w:rFonts w:asciiTheme="majorHAnsi" w:hAnsiTheme="majorHAnsi" w:cstheme="majorHAnsi"/>
        </w:rPr>
        <w:t>Gy</w:t>
      </w:r>
      <w:proofErr w:type="spellEnd"/>
      <w:r>
        <w:rPr>
          <w:rFonts w:asciiTheme="majorHAnsi" w:hAnsiTheme="majorHAnsi" w:cstheme="majorHAnsi"/>
        </w:rPr>
        <w:t xml:space="preserve">/µCi)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9&lt;/sup&gt;","plainTextFormattedCitation":"9","previouslyFormattedCitation":"&lt;sup&gt;9&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9</w:t>
      </w:r>
      <w:r>
        <w:rPr>
          <w:rFonts w:asciiTheme="majorHAnsi" w:hAnsiTheme="majorHAnsi" w:cstheme="majorHAnsi"/>
        </w:rPr>
        <w:fldChar w:fldCharType="end"/>
      </w:r>
      <w:r>
        <w:rPr>
          <w:rFonts w:asciiTheme="majorHAnsi" w:hAnsiTheme="majorHAnsi" w:cstheme="majorHAnsi"/>
        </w:rPr>
        <w:t xml:space="preserve">. In another with a lower end range, Ac-225-DOTA-anti-PD-L1-BC conjugates delivered to </w:t>
      </w:r>
      <w:proofErr w:type="spellStart"/>
      <w:r w:rsidRPr="00C026AE">
        <w:rPr>
          <w:rFonts w:asciiTheme="majorHAnsi" w:hAnsiTheme="majorHAnsi" w:cstheme="majorHAnsi"/>
          <w:i/>
        </w:rPr>
        <w:t>neu</w:t>
      </w:r>
      <w:proofErr w:type="spellEnd"/>
      <w:r>
        <w:rPr>
          <w:rFonts w:asciiTheme="majorHAnsi" w:hAnsiTheme="majorHAnsi" w:cstheme="majorHAnsi"/>
        </w:rPr>
        <w:t xml:space="preserve">-N </w:t>
      </w:r>
      <w:r w:rsidRPr="00C026AE">
        <w:rPr>
          <w:rFonts w:asciiTheme="majorHAnsi" w:hAnsiTheme="majorHAnsi" w:cstheme="majorHAnsi"/>
        </w:rPr>
        <w:t>mice</w:t>
      </w:r>
      <w:r>
        <w:rPr>
          <w:rFonts w:asciiTheme="majorHAnsi" w:hAnsiTheme="majorHAnsi" w:cstheme="majorHAnsi"/>
        </w:rPr>
        <w:t xml:space="preserve"> at a 15 </w:t>
      </w:r>
      <w:proofErr w:type="spellStart"/>
      <w:r>
        <w:rPr>
          <w:rFonts w:asciiTheme="majorHAnsi" w:hAnsiTheme="majorHAnsi" w:cstheme="majorHAnsi"/>
        </w:rPr>
        <w:t>kBq</w:t>
      </w:r>
      <w:proofErr w:type="spellEnd"/>
      <w:r>
        <w:rPr>
          <w:rFonts w:asciiTheme="majorHAnsi" w:hAnsiTheme="majorHAnsi" w:cstheme="majorHAnsi"/>
        </w:rPr>
        <w:t xml:space="preserve"> dose (405 </w:t>
      </w:r>
      <w:proofErr w:type="spellStart"/>
      <w:r>
        <w:rPr>
          <w:rFonts w:asciiTheme="majorHAnsi" w:hAnsiTheme="majorHAnsi" w:cstheme="majorHAnsi"/>
        </w:rPr>
        <w:t>nCi</w:t>
      </w:r>
      <w:proofErr w:type="spellEnd"/>
      <w:r>
        <w:rPr>
          <w:rFonts w:asciiTheme="majorHAnsi" w:hAnsiTheme="majorHAnsi" w:cstheme="majorHAnsi"/>
        </w:rPr>
        <w:t xml:space="preserve">) created absorbed doses of 9.2 </w:t>
      </w:r>
      <w:proofErr w:type="spellStart"/>
      <w:r>
        <w:rPr>
          <w:rFonts w:asciiTheme="majorHAnsi" w:hAnsiTheme="majorHAnsi" w:cstheme="majorHAnsi"/>
        </w:rPr>
        <w:t>Gy</w:t>
      </w:r>
      <w:proofErr w:type="spellEnd"/>
      <w:r>
        <w:rPr>
          <w:rFonts w:asciiTheme="majorHAnsi" w:hAnsiTheme="majorHAnsi" w:cstheme="majorHAnsi"/>
        </w:rPr>
        <w:t xml:space="preserve"> kidneys (22.7 </w:t>
      </w:r>
      <w:proofErr w:type="spellStart"/>
      <w:r>
        <w:rPr>
          <w:rFonts w:asciiTheme="majorHAnsi" w:hAnsiTheme="majorHAnsi" w:cstheme="majorHAnsi"/>
        </w:rPr>
        <w:t>Gy</w:t>
      </w:r>
      <w:proofErr w:type="spellEnd"/>
      <w:r>
        <w:rPr>
          <w:rFonts w:asciiTheme="majorHAnsi" w:hAnsiTheme="majorHAnsi" w:cstheme="majorHAnsi"/>
        </w:rPr>
        <w:t>/</w:t>
      </w:r>
      <w:proofErr w:type="spellStart"/>
      <w:r>
        <w:rPr>
          <w:rFonts w:asciiTheme="majorHAnsi" w:hAnsiTheme="majorHAnsi" w:cstheme="majorHAnsi"/>
        </w:rPr>
        <w:t>uCi</w:t>
      </w:r>
      <w:proofErr w:type="spellEnd"/>
      <w:r>
        <w:rPr>
          <w:rFonts w:asciiTheme="majorHAnsi" w:hAnsiTheme="majorHAnsi" w:cstheme="majorHAnsi"/>
        </w:rPr>
        <w:t>, 46 Sv</w:t>
      </w:r>
      <w:r>
        <w:rPr>
          <w:rFonts w:asciiTheme="majorHAnsi" w:hAnsiTheme="majorHAnsi" w:cstheme="majorHAnsi"/>
          <w:vertAlign w:val="subscript"/>
        </w:rPr>
        <w:t>RBE5</w:t>
      </w:r>
      <w:r>
        <w:rPr>
          <w:rFonts w:asciiTheme="majorHAnsi" w:hAnsiTheme="majorHAnsi" w:cstheme="majorHAnsi"/>
        </w:rPr>
        <w:t xml:space="preserve">), 11.1 </w:t>
      </w:r>
      <w:proofErr w:type="spellStart"/>
      <w:r>
        <w:rPr>
          <w:rFonts w:asciiTheme="majorHAnsi" w:hAnsiTheme="majorHAnsi" w:cstheme="majorHAnsi"/>
        </w:rPr>
        <w:t>Gy</w:t>
      </w:r>
      <w:proofErr w:type="spellEnd"/>
      <w:r>
        <w:rPr>
          <w:rFonts w:asciiTheme="majorHAnsi" w:hAnsiTheme="majorHAnsi" w:cstheme="majorHAnsi"/>
        </w:rPr>
        <w:t xml:space="preserve"> liver (27.4 </w:t>
      </w:r>
      <w:proofErr w:type="spellStart"/>
      <w:r>
        <w:rPr>
          <w:rFonts w:asciiTheme="majorHAnsi" w:hAnsiTheme="majorHAnsi" w:cstheme="majorHAnsi"/>
        </w:rPr>
        <w:t>Gy</w:t>
      </w:r>
      <w:proofErr w:type="spellEnd"/>
      <w:r>
        <w:rPr>
          <w:rFonts w:asciiTheme="majorHAnsi" w:hAnsiTheme="majorHAnsi" w:cstheme="majorHAnsi"/>
        </w:rPr>
        <w:t>/µCi, 55.5 Sv</w:t>
      </w:r>
      <w:r>
        <w:rPr>
          <w:rFonts w:asciiTheme="majorHAnsi" w:hAnsiTheme="majorHAnsi" w:cstheme="majorHAnsi"/>
          <w:vertAlign w:val="subscript"/>
        </w:rPr>
        <w:t>RBE5</w:t>
      </w:r>
      <w:r>
        <w:rPr>
          <w:rFonts w:asciiTheme="majorHAnsi" w:hAnsiTheme="majorHAnsi" w:cstheme="majorHAnsi"/>
        </w:rPr>
        <w:t xml:space="preserve">), and 2 </w:t>
      </w:r>
      <w:proofErr w:type="spellStart"/>
      <w:r>
        <w:rPr>
          <w:rFonts w:asciiTheme="majorHAnsi" w:hAnsiTheme="majorHAnsi" w:cstheme="majorHAnsi"/>
        </w:rPr>
        <w:t>Gy</w:t>
      </w:r>
      <w:proofErr w:type="spellEnd"/>
      <w:r>
        <w:rPr>
          <w:rFonts w:asciiTheme="majorHAnsi" w:hAnsiTheme="majorHAnsi" w:cstheme="majorHAnsi"/>
        </w:rPr>
        <w:t xml:space="preserve"> spleen (4.9 </w:t>
      </w:r>
      <w:proofErr w:type="spellStart"/>
      <w:r>
        <w:rPr>
          <w:rFonts w:asciiTheme="majorHAnsi" w:hAnsiTheme="majorHAnsi" w:cstheme="majorHAnsi"/>
        </w:rPr>
        <w:t>Gy</w:t>
      </w:r>
      <w:proofErr w:type="spellEnd"/>
      <w:r>
        <w:rPr>
          <w:rFonts w:asciiTheme="majorHAnsi" w:hAnsiTheme="majorHAnsi" w:cstheme="majorHAnsi"/>
        </w:rPr>
        <w:t>/µCi, 10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10&lt;/sup&gt;","plainTextFormattedCitation":"10","previouslyFormattedCitation":"&lt;sup&gt;10&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10</w:t>
      </w:r>
      <w:r>
        <w:rPr>
          <w:rFonts w:asciiTheme="majorHAnsi" w:hAnsiTheme="majorHAnsi" w:cstheme="majorHAnsi"/>
        </w:rPr>
        <w:fldChar w:fldCharType="end"/>
      </w:r>
      <w:r>
        <w:rPr>
          <w:rFonts w:asciiTheme="majorHAnsi" w:hAnsiTheme="majorHAnsi" w:cstheme="majorHAnsi"/>
        </w:rPr>
        <w:t xml:space="preserve">. These values are, as is typical, markedly higher for mice than for humans. </w:t>
      </w:r>
    </w:p>
    <w:p w14:paraId="3EB149FB" w14:textId="09F91105" w:rsidR="00BC0E45" w:rsidRDefault="00BC0E45" w:rsidP="00BC0E45">
      <w:pPr>
        <w:spacing w:line="480" w:lineRule="auto"/>
        <w:jc w:val="both"/>
        <w:rPr>
          <w:rFonts w:asciiTheme="majorHAnsi" w:hAnsiTheme="majorHAnsi" w:cstheme="majorHAnsi"/>
        </w:rPr>
      </w:pPr>
      <w:r>
        <w:rPr>
          <w:rFonts w:asciiTheme="majorHAnsi" w:hAnsiTheme="majorHAnsi" w:cstheme="majorHAnsi"/>
        </w:rPr>
        <w:t xml:space="preserve">In our study, Trastuzumab-DOTA-Ac conjugates administered to NOD SCID mice showed the anticipated biodistribution, considering antibodies are often distributed to immune-functioning organs such as the spleen, liver, and targeted tumor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11&lt;/sup&gt;","plainTextFormattedCitation":"11","previouslyFormattedCitation":"&lt;sup&gt;11&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11</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xml:space="preserve">). Also typical was DOTA-Ac complex biodistribution in healthy Swiss-Webster mice, where DOTA displayed rapid renal clearance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4&lt;/sup&gt;","plainTextFormattedCitation":"4","previouslyFormattedCitation":"&lt;sup&gt;4&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4</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While there is higher kidney distribution than other organs, the rapid renal clearance resulted in over an order of magnitude lower kidney dose (</w:t>
      </w:r>
      <w:r>
        <w:rPr>
          <w:rFonts w:asciiTheme="majorHAnsi" w:hAnsiTheme="majorHAnsi" w:cstheme="majorHAnsi"/>
          <w:b/>
        </w:rPr>
        <w:t>Figure 4</w:t>
      </w:r>
      <w:r>
        <w:rPr>
          <w:rFonts w:asciiTheme="majorHAnsi" w:hAnsiTheme="majorHAnsi" w:cstheme="majorHAnsi"/>
        </w:rPr>
        <w:t xml:space="preserve">) due to the long circulatory half-life of Ac-225 and Ac-227 antibody conjugates. Contrasting to DOTA, our HOPO control group typically shows primarily hepatic clearance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12&lt;/sup&gt;","plainTextFormattedCitation":"12","previouslyFormattedCitation":"&lt;sup&gt;12&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12</w:t>
      </w:r>
      <w:r>
        <w:rPr>
          <w:rFonts w:asciiTheme="majorHAnsi" w:hAnsiTheme="majorHAnsi" w:cstheme="majorHAnsi"/>
        </w:rPr>
        <w:fldChar w:fldCharType="end"/>
      </w:r>
      <w:r>
        <w:rPr>
          <w:rFonts w:asciiTheme="majorHAnsi" w:hAnsiTheme="majorHAnsi" w:cstheme="majorHAnsi"/>
        </w:rPr>
        <w:t>, and accordingly the liver showed the largest portions of distribution (</w:t>
      </w:r>
      <w:r w:rsidRPr="005117C4">
        <w:rPr>
          <w:rFonts w:asciiTheme="majorHAnsi" w:hAnsiTheme="majorHAnsi" w:cstheme="majorHAnsi"/>
          <w:b/>
        </w:rPr>
        <w:t>Figure S</w:t>
      </w:r>
      <w:r>
        <w:rPr>
          <w:rFonts w:asciiTheme="majorHAnsi" w:hAnsiTheme="majorHAnsi" w:cstheme="majorHAnsi"/>
          <w:b/>
        </w:rPr>
        <w:t>3</w:t>
      </w:r>
      <w:r>
        <w:rPr>
          <w:rFonts w:asciiTheme="majorHAnsi" w:hAnsiTheme="majorHAnsi" w:cstheme="majorHAnsi"/>
        </w:rPr>
        <w:t xml:space="preserve">). Comparing our cumulative mouse dose modeling data to the literature values, the cumulative Ac-225 dose maximum to the liver after 100 and 125 days for DOTA-Ac-227 and Trastuzumab-DOTA-Ac-225 respectively are significantly lower than the clinical threshold of 3.36 </w:t>
      </w:r>
      <w:proofErr w:type="spellStart"/>
      <w:r>
        <w:rPr>
          <w:rFonts w:asciiTheme="majorHAnsi" w:hAnsiTheme="majorHAnsi" w:cstheme="majorHAnsi"/>
        </w:rPr>
        <w:t>Gy</w:t>
      </w:r>
      <w:proofErr w:type="spellEnd"/>
      <w:r>
        <w:rPr>
          <w:rFonts w:asciiTheme="majorHAnsi" w:hAnsiTheme="majorHAnsi" w:cstheme="majorHAnsi"/>
        </w:rPr>
        <w:t xml:space="preserve"> found in the Ac-225-PSMA-617 trial (see </w:t>
      </w:r>
      <w:r>
        <w:rPr>
          <w:rFonts w:asciiTheme="majorHAnsi" w:hAnsiTheme="majorHAnsi" w:cstheme="majorHAnsi"/>
          <w:b/>
        </w:rPr>
        <w:t>Table 1</w:t>
      </w:r>
      <w:r w:rsidRPr="00FB58CC">
        <w:rPr>
          <w:rFonts w:asciiTheme="majorHAnsi" w:hAnsiTheme="majorHAnsi" w:cstheme="majorHAnsi"/>
        </w:rPr>
        <w:t>)</w:t>
      </w:r>
      <w:r>
        <w:rPr>
          <w:rFonts w:asciiTheme="majorHAnsi" w:hAnsiTheme="majorHAnsi" w:cstheme="majorHAnsi"/>
        </w:rPr>
        <w:t xml:space="preserve">. </w:t>
      </w:r>
    </w:p>
    <w:p w14:paraId="027B68B1" w14:textId="358F44BA" w:rsidR="00800C45" w:rsidRPr="0018208F" w:rsidRDefault="00BC0E45" w:rsidP="00F07D79">
      <w:pPr>
        <w:spacing w:line="480" w:lineRule="auto"/>
        <w:jc w:val="both"/>
        <w:rPr>
          <w:rFonts w:asciiTheme="majorHAnsi" w:hAnsiTheme="majorHAnsi" w:cstheme="majorHAnsi"/>
        </w:rPr>
      </w:pPr>
      <w:r>
        <w:rPr>
          <w:rFonts w:asciiTheme="majorHAnsi" w:hAnsiTheme="majorHAnsi" w:cstheme="majorHAnsi"/>
        </w:rPr>
        <w:t xml:space="preserve">While acute doses </w:t>
      </w:r>
      <w:r w:rsidR="0074554B">
        <w:rPr>
          <w:rFonts w:asciiTheme="majorHAnsi" w:hAnsiTheme="majorHAnsi" w:cstheme="majorHAnsi"/>
        </w:rPr>
        <w:t>are typical for radiotherapies, long term dose effects from alpha radiation is less studied. L</w:t>
      </w:r>
      <w:r w:rsidR="00800C45">
        <w:rPr>
          <w:rFonts w:asciiTheme="majorHAnsi" w:hAnsiTheme="majorHAnsi" w:cstheme="majorHAnsi"/>
        </w:rPr>
        <w:t xml:space="preserve">ong term doses </w:t>
      </w:r>
      <w:r w:rsidR="0074554B">
        <w:rPr>
          <w:rFonts w:asciiTheme="majorHAnsi" w:hAnsiTheme="majorHAnsi" w:cstheme="majorHAnsi"/>
        </w:rPr>
        <w:t>often involve reduction in immune function due to</w:t>
      </w:r>
      <w:r w:rsidR="00800C45">
        <w:rPr>
          <w:rFonts w:asciiTheme="majorHAnsi" w:hAnsiTheme="majorHAnsi" w:cstheme="majorHAnsi"/>
        </w:rPr>
        <w:t xml:space="preserve"> </w:t>
      </w:r>
      <w:r w:rsidR="00800C45">
        <w:rPr>
          <w:rFonts w:asciiTheme="majorHAnsi" w:hAnsiTheme="majorHAnsi" w:cstheme="majorHAnsi"/>
        </w:rPr>
        <w:t xml:space="preserve">chronic </w:t>
      </w:r>
      <w:r w:rsidR="00800C45">
        <w:rPr>
          <w:rFonts w:asciiTheme="majorHAnsi" w:hAnsiTheme="majorHAnsi" w:cstheme="majorHAnsi"/>
        </w:rPr>
        <w:t>bone marrow function</w:t>
      </w:r>
      <w:r w:rsidR="00800C45">
        <w:rPr>
          <w:rFonts w:asciiTheme="majorHAnsi" w:hAnsiTheme="majorHAnsi" w:cstheme="majorHAnsi"/>
        </w:rPr>
        <w:t xml:space="preserve"> decay, as over time there tends to be a depletion of the stem cell compartments</w:t>
      </w:r>
      <w:r>
        <w:rPr>
          <w:rFonts w:asciiTheme="majorHAnsi" w:hAnsiTheme="majorHAnsi" w:cstheme="majorHAnsi"/>
        </w:rPr>
        <w:t xml:space="preserve"> </w:t>
      </w:r>
      <w:r>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6,13&lt;/sup&gt;","plainTextFormattedCitation":"6,13","previouslyFormattedCitation":"&lt;sup&gt;6,13&lt;/sup&gt;"},"properties":{"noteIndex":0},"schema":"https://github.com/citation-style-language/schema/raw/master/csl-citation.json"}</w:instrText>
      </w:r>
      <w:r>
        <w:rPr>
          <w:rFonts w:asciiTheme="majorHAnsi" w:hAnsiTheme="majorHAnsi" w:cstheme="majorHAnsi"/>
        </w:rPr>
        <w:fldChar w:fldCharType="separate"/>
      </w:r>
      <w:r w:rsidR="00732CA3" w:rsidRPr="00732CA3">
        <w:rPr>
          <w:rFonts w:asciiTheme="majorHAnsi" w:hAnsiTheme="majorHAnsi" w:cstheme="majorHAnsi"/>
          <w:noProof/>
          <w:vertAlign w:val="superscript"/>
        </w:rPr>
        <w:t>6,13</w:t>
      </w:r>
      <w:r>
        <w:rPr>
          <w:rFonts w:asciiTheme="majorHAnsi" w:hAnsiTheme="majorHAnsi" w:cstheme="majorHAnsi"/>
        </w:rPr>
        <w:fldChar w:fldCharType="end"/>
      </w:r>
      <w:r>
        <w:rPr>
          <w:rFonts w:asciiTheme="majorHAnsi" w:hAnsiTheme="majorHAnsi" w:cstheme="majorHAnsi"/>
        </w:rPr>
        <w:t xml:space="preserve">. </w:t>
      </w:r>
      <w:r w:rsidR="0074554B">
        <w:rPr>
          <w:rFonts w:asciiTheme="majorHAnsi" w:hAnsiTheme="majorHAnsi" w:cstheme="majorHAnsi"/>
        </w:rPr>
        <w:t>Thus, Ac-227 effects from this study may be compared to what literature is available, often involving gamma irradiation.</w:t>
      </w:r>
      <w:r w:rsidR="009A22CF">
        <w:rPr>
          <w:rFonts w:asciiTheme="majorHAnsi" w:hAnsiTheme="majorHAnsi" w:cstheme="majorHAnsi"/>
        </w:rPr>
        <w:t xml:space="preserve"> In a</w:t>
      </w:r>
      <w:r w:rsidR="00CD322C">
        <w:rPr>
          <w:rFonts w:asciiTheme="majorHAnsi" w:hAnsiTheme="majorHAnsi" w:cstheme="majorHAnsi"/>
        </w:rPr>
        <w:t>n estimate to</w:t>
      </w:r>
      <w:r w:rsidR="00216BD7">
        <w:rPr>
          <w:rFonts w:asciiTheme="majorHAnsi" w:hAnsiTheme="majorHAnsi" w:cstheme="majorHAnsi"/>
        </w:rPr>
        <w:t xml:space="preserve"> correlate to external beam studies</w:t>
      </w:r>
      <w:r w:rsidR="00CD322C">
        <w:rPr>
          <w:rFonts w:asciiTheme="majorHAnsi" w:hAnsiTheme="majorHAnsi" w:cstheme="majorHAnsi"/>
        </w:rPr>
        <w:t>,</w:t>
      </w:r>
      <w:r w:rsidR="00216BD7">
        <w:rPr>
          <w:rFonts w:asciiTheme="majorHAnsi" w:hAnsiTheme="majorHAnsi" w:cstheme="majorHAnsi"/>
        </w:rPr>
        <w:t xml:space="preserve"> </w:t>
      </w:r>
      <w:r w:rsidR="009A22CF">
        <w:rPr>
          <w:rFonts w:asciiTheme="majorHAnsi" w:hAnsiTheme="majorHAnsi" w:cstheme="majorHAnsi"/>
        </w:rPr>
        <w:t>where 100% of injected Ac-227 was retained in the mouse regardless of carrier (</w:t>
      </w:r>
      <w:r w:rsidR="00216BD7">
        <w:rPr>
          <w:rFonts w:asciiTheme="majorHAnsi" w:hAnsiTheme="majorHAnsi" w:cstheme="majorHAnsi"/>
        </w:rPr>
        <w:t>4% RD/g total body for a 25 g mouse</w:t>
      </w:r>
      <w:r w:rsidR="005D1022">
        <w:rPr>
          <w:rFonts w:asciiTheme="majorHAnsi" w:hAnsiTheme="majorHAnsi" w:cstheme="majorHAnsi"/>
        </w:rPr>
        <w:t xml:space="preserve"> at 10 days</w:t>
      </w:r>
      <w:r w:rsidR="009A22CF">
        <w:rPr>
          <w:rFonts w:asciiTheme="majorHAnsi" w:hAnsiTheme="majorHAnsi" w:cstheme="majorHAnsi"/>
        </w:rPr>
        <w:t xml:space="preserve">), after </w:t>
      </w:r>
      <w:r w:rsidR="00B016A1">
        <w:rPr>
          <w:rFonts w:asciiTheme="majorHAnsi" w:hAnsiTheme="majorHAnsi" w:cstheme="majorHAnsi"/>
        </w:rPr>
        <w:t>7946 days</w:t>
      </w:r>
      <w:r w:rsidR="009A22CF">
        <w:rPr>
          <w:rFonts w:asciiTheme="majorHAnsi" w:hAnsiTheme="majorHAnsi" w:cstheme="majorHAnsi"/>
        </w:rPr>
        <w:t>, Ac-227 would show</w:t>
      </w:r>
      <w:r w:rsidR="00B016A1">
        <w:rPr>
          <w:rFonts w:asciiTheme="majorHAnsi" w:hAnsiTheme="majorHAnsi" w:cstheme="majorHAnsi"/>
        </w:rPr>
        <w:t xml:space="preserve"> </w:t>
      </w:r>
      <w:r w:rsidR="009A22CF">
        <w:rPr>
          <w:rFonts w:asciiTheme="majorHAnsi" w:hAnsiTheme="majorHAnsi" w:cstheme="majorHAnsi"/>
        </w:rPr>
        <w:t xml:space="preserve">2.25 </w:t>
      </w:r>
      <w:proofErr w:type="spellStart"/>
      <w:r w:rsidR="009A22CF">
        <w:rPr>
          <w:rFonts w:asciiTheme="majorHAnsi" w:hAnsiTheme="majorHAnsi" w:cstheme="majorHAnsi"/>
        </w:rPr>
        <w:t>Gy</w:t>
      </w:r>
      <w:proofErr w:type="spellEnd"/>
      <w:r w:rsidR="009A22CF">
        <w:rPr>
          <w:rFonts w:asciiTheme="majorHAnsi" w:hAnsiTheme="majorHAnsi" w:cstheme="majorHAnsi"/>
        </w:rPr>
        <w:t xml:space="preserve"> cumulative total body dose, with a peak of 388 µ</w:t>
      </w:r>
      <w:proofErr w:type="spellStart"/>
      <w:r w:rsidR="009A22CF">
        <w:rPr>
          <w:rFonts w:asciiTheme="majorHAnsi" w:hAnsiTheme="majorHAnsi" w:cstheme="majorHAnsi"/>
        </w:rPr>
        <w:t>Gy</w:t>
      </w:r>
      <w:proofErr w:type="spellEnd"/>
      <w:r w:rsidR="009A22CF">
        <w:rPr>
          <w:rFonts w:asciiTheme="majorHAnsi" w:hAnsiTheme="majorHAnsi" w:cstheme="majorHAnsi"/>
        </w:rPr>
        <w:t xml:space="preserve">/day, or 142 </w:t>
      </w:r>
      <w:proofErr w:type="spellStart"/>
      <w:r w:rsidR="009A22CF">
        <w:rPr>
          <w:rFonts w:asciiTheme="majorHAnsi" w:hAnsiTheme="majorHAnsi" w:cstheme="majorHAnsi"/>
        </w:rPr>
        <w:t>mGy</w:t>
      </w:r>
      <w:proofErr w:type="spellEnd"/>
      <w:r w:rsidR="009A22CF">
        <w:rPr>
          <w:rFonts w:asciiTheme="majorHAnsi" w:hAnsiTheme="majorHAnsi" w:cstheme="majorHAnsi"/>
        </w:rPr>
        <w:t>/year</w:t>
      </w:r>
      <w:r w:rsidR="00B016A1">
        <w:rPr>
          <w:rFonts w:asciiTheme="majorHAnsi" w:hAnsiTheme="majorHAnsi" w:cstheme="majorHAnsi"/>
        </w:rPr>
        <w:t xml:space="preserve"> after 200 days, lessening </w:t>
      </w:r>
      <w:r w:rsidR="00B016A1">
        <w:rPr>
          <w:rFonts w:asciiTheme="majorHAnsi" w:hAnsiTheme="majorHAnsi" w:cstheme="majorHAnsi"/>
        </w:rPr>
        <w:lastRenderedPageBreak/>
        <w:t xml:space="preserve">to 79 </w:t>
      </w:r>
      <w:proofErr w:type="spellStart"/>
      <w:r w:rsidR="00B016A1">
        <w:rPr>
          <w:rFonts w:asciiTheme="majorHAnsi" w:hAnsiTheme="majorHAnsi" w:cstheme="majorHAnsi"/>
        </w:rPr>
        <w:t>mGy</w:t>
      </w:r>
      <w:proofErr w:type="spellEnd"/>
      <w:r w:rsidR="00B016A1">
        <w:rPr>
          <w:rFonts w:asciiTheme="majorHAnsi" w:hAnsiTheme="majorHAnsi" w:cstheme="majorHAnsi"/>
        </w:rPr>
        <w:t xml:space="preserve">/year </w:t>
      </w:r>
      <w:r w:rsidR="00B016A1" w:rsidRPr="0018208F">
        <w:rPr>
          <w:rFonts w:asciiTheme="majorHAnsi" w:hAnsiTheme="majorHAnsi" w:cstheme="majorHAnsi"/>
        </w:rPr>
        <w:t>after 7946 days</w:t>
      </w:r>
      <w:r w:rsidR="009A22CF" w:rsidRPr="0018208F">
        <w:rPr>
          <w:rFonts w:asciiTheme="majorHAnsi" w:hAnsiTheme="majorHAnsi" w:cstheme="majorHAnsi"/>
        </w:rPr>
        <w:t>.</w:t>
      </w:r>
      <w:r w:rsidR="00B016A1" w:rsidRPr="0018208F">
        <w:rPr>
          <w:rFonts w:asciiTheme="majorHAnsi" w:hAnsiTheme="majorHAnsi" w:cstheme="majorHAnsi"/>
        </w:rPr>
        <w:t xml:space="preserve"> The RBE for whole body alpha is generally considered to be 10:1 </w:t>
      </w:r>
      <w:proofErr w:type="spellStart"/>
      <w:r w:rsidR="00B016A1" w:rsidRPr="0018208F">
        <w:rPr>
          <w:rFonts w:asciiTheme="majorHAnsi" w:hAnsiTheme="majorHAnsi" w:cstheme="majorHAnsi"/>
        </w:rPr>
        <w:t>alpha:gamma</w:t>
      </w:r>
      <w:proofErr w:type="spellEnd"/>
      <w:r w:rsidR="00B016A1" w:rsidRPr="0018208F">
        <w:rPr>
          <w:rFonts w:asciiTheme="majorHAnsi" w:hAnsiTheme="majorHAnsi" w:cstheme="majorHAnsi"/>
        </w:rPr>
        <w:t>, and so that would give 1.4 Sv</w:t>
      </w:r>
      <w:r w:rsidR="00B016A1" w:rsidRPr="0018208F">
        <w:rPr>
          <w:rFonts w:asciiTheme="majorHAnsi" w:hAnsiTheme="majorHAnsi" w:cstheme="majorHAnsi"/>
          <w:vertAlign w:val="subscript"/>
        </w:rPr>
        <w:t>RBE10</w:t>
      </w:r>
      <w:r w:rsidR="00B016A1" w:rsidRPr="0018208F">
        <w:rPr>
          <w:rFonts w:asciiTheme="majorHAnsi" w:hAnsiTheme="majorHAnsi" w:cstheme="majorHAnsi"/>
        </w:rPr>
        <w:t>/year, which is over</w:t>
      </w:r>
      <w:r w:rsidR="0018208F">
        <w:rPr>
          <w:rFonts w:asciiTheme="majorHAnsi" w:hAnsiTheme="majorHAnsi" w:cstheme="majorHAnsi"/>
        </w:rPr>
        <w:t xml:space="preserve"> the </w:t>
      </w:r>
      <w:r w:rsidR="00B016A1" w:rsidRPr="0018208F">
        <w:rPr>
          <w:rFonts w:asciiTheme="majorHAnsi" w:hAnsiTheme="majorHAnsi" w:cstheme="majorHAnsi"/>
        </w:rPr>
        <w:t xml:space="preserve">0.4 </w:t>
      </w:r>
      <w:proofErr w:type="spellStart"/>
      <w:r w:rsidR="00B016A1" w:rsidRPr="0018208F">
        <w:rPr>
          <w:rFonts w:asciiTheme="majorHAnsi" w:hAnsiTheme="majorHAnsi" w:cstheme="majorHAnsi"/>
        </w:rPr>
        <w:t>Gy</w:t>
      </w:r>
      <w:proofErr w:type="spellEnd"/>
      <w:r w:rsidR="00B016A1" w:rsidRPr="0018208F">
        <w:rPr>
          <w:rFonts w:asciiTheme="majorHAnsi" w:hAnsiTheme="majorHAnsi" w:cstheme="majorHAnsi"/>
        </w:rPr>
        <w:t xml:space="preserve">/year </w:t>
      </w:r>
      <w:r w:rsidR="00B016A1" w:rsidRPr="0018208F">
        <w:rPr>
          <w:rFonts w:asciiTheme="majorHAnsi" w:hAnsiTheme="majorHAnsi" w:cstheme="majorHAnsi"/>
        </w:rPr>
        <w:t xml:space="preserve">threshold </w:t>
      </w:r>
      <w:r w:rsidR="0018208F">
        <w:rPr>
          <w:rFonts w:asciiTheme="majorHAnsi" w:hAnsiTheme="majorHAnsi" w:cstheme="majorHAnsi"/>
        </w:rPr>
        <w:t>for depression of h</w:t>
      </w:r>
      <w:r w:rsidR="00B016A1" w:rsidRPr="0018208F">
        <w:rPr>
          <w:rFonts w:asciiTheme="majorHAnsi" w:hAnsiTheme="majorHAnsi" w:cstheme="majorHAnsi"/>
        </w:rPr>
        <w:t>ematopoiesis</w:t>
      </w:r>
      <w:r w:rsidR="00B016A1" w:rsidRPr="0018208F">
        <w:rPr>
          <w:rFonts w:asciiTheme="majorHAnsi" w:hAnsiTheme="majorHAnsi" w:cstheme="majorHAnsi"/>
        </w:rPr>
        <w:t xml:space="preserve"> </w:t>
      </w:r>
      <w:r w:rsidR="00B016A1" w:rsidRPr="0018208F">
        <w:rPr>
          <w:rFonts w:asciiTheme="majorHAnsi" w:hAnsiTheme="majorHAnsi" w:cstheme="majorHAnsi"/>
        </w:rPr>
        <w:fldChar w:fldCharType="begin" w:fldLock="1"/>
      </w:r>
      <w:r w:rsidR="00FD13C2">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14&lt;/sup&gt;","plainTextFormattedCitation":"14","previouslyFormattedCitation":"&lt;sup&gt;14&lt;/sup&gt;"},"properties":{"noteIndex":0},"schema":"https://github.com/citation-style-language/schema/raw/master/csl-citation.json"}</w:instrText>
      </w:r>
      <w:r w:rsidR="00B016A1" w:rsidRPr="0018208F">
        <w:rPr>
          <w:rFonts w:asciiTheme="majorHAnsi" w:hAnsiTheme="majorHAnsi" w:cstheme="majorHAnsi"/>
        </w:rPr>
        <w:fldChar w:fldCharType="separate"/>
      </w:r>
      <w:r w:rsidR="00732CA3" w:rsidRPr="00732CA3">
        <w:rPr>
          <w:rFonts w:asciiTheme="majorHAnsi" w:hAnsiTheme="majorHAnsi" w:cstheme="majorHAnsi"/>
          <w:noProof/>
          <w:vertAlign w:val="superscript"/>
        </w:rPr>
        <w:t>14</w:t>
      </w:r>
      <w:r w:rsidR="00B016A1" w:rsidRPr="0018208F">
        <w:rPr>
          <w:rFonts w:asciiTheme="majorHAnsi" w:hAnsiTheme="majorHAnsi" w:cstheme="majorHAnsi"/>
        </w:rPr>
        <w:fldChar w:fldCharType="end"/>
      </w:r>
      <w:r w:rsidR="000D0FA8" w:rsidRPr="0018208F">
        <w:rPr>
          <w:rFonts w:asciiTheme="majorHAnsi" w:hAnsiTheme="majorHAnsi" w:cstheme="majorHAnsi"/>
        </w:rPr>
        <w:t xml:space="preserve">, but much lower than the lethal bone marrow dose maximum of </w:t>
      </w:r>
      <w:r w:rsidR="0018208F" w:rsidRPr="0018208F">
        <w:rPr>
          <w:rFonts w:asciiTheme="majorHAnsi" w:hAnsiTheme="majorHAnsi" w:cstheme="majorHAnsi"/>
        </w:rPr>
        <w:t>&gt;</w:t>
      </w:r>
      <w:r w:rsidR="000D0FA8" w:rsidRPr="0018208F">
        <w:rPr>
          <w:rFonts w:asciiTheme="majorHAnsi" w:hAnsiTheme="majorHAnsi" w:cstheme="majorHAnsi"/>
        </w:rPr>
        <w:t>4</w:t>
      </w:r>
      <w:r w:rsidR="0018208F" w:rsidRPr="0018208F">
        <w:rPr>
          <w:rFonts w:asciiTheme="majorHAnsi" w:hAnsiTheme="majorHAnsi" w:cstheme="majorHAnsi"/>
        </w:rPr>
        <w:t>.5</w:t>
      </w:r>
      <w:r w:rsidR="000D0FA8" w:rsidRPr="0018208F">
        <w:rPr>
          <w:rFonts w:asciiTheme="majorHAnsi" w:hAnsiTheme="majorHAnsi" w:cstheme="majorHAnsi"/>
        </w:rPr>
        <w:t xml:space="preserve"> </w:t>
      </w:r>
      <w:proofErr w:type="spellStart"/>
      <w:r w:rsidR="000D0FA8" w:rsidRPr="0018208F">
        <w:rPr>
          <w:rFonts w:asciiTheme="majorHAnsi" w:hAnsiTheme="majorHAnsi" w:cstheme="majorHAnsi"/>
        </w:rPr>
        <w:t>Gy</w:t>
      </w:r>
      <w:proofErr w:type="spellEnd"/>
      <w:r w:rsidR="000D0FA8" w:rsidRPr="0018208F">
        <w:rPr>
          <w:rFonts w:asciiTheme="majorHAnsi" w:hAnsiTheme="majorHAnsi" w:cstheme="majorHAnsi"/>
        </w:rPr>
        <w:t>/year</w:t>
      </w:r>
      <w:r w:rsidR="0018208F" w:rsidRPr="0018208F">
        <w:rPr>
          <w:rFonts w:asciiTheme="majorHAnsi" w:hAnsiTheme="majorHAnsi" w:cstheme="majorHAnsi"/>
        </w:rPr>
        <w:t xml:space="preserve"> </w:t>
      </w:r>
      <w:r w:rsidR="000B6F5F">
        <w:rPr>
          <w:rFonts w:asciiTheme="majorHAnsi" w:hAnsiTheme="majorHAnsi" w:cstheme="majorHAnsi"/>
        </w:rPr>
        <w:t>However, looking at the actual carcass (</w:t>
      </w:r>
      <w:proofErr w:type="spellStart"/>
      <w:r w:rsidR="000B6F5F">
        <w:rPr>
          <w:rFonts w:asciiTheme="majorHAnsi" w:hAnsiTheme="majorHAnsi" w:cstheme="majorHAnsi"/>
        </w:rPr>
        <w:t>ashed</w:t>
      </w:r>
      <w:proofErr w:type="spellEnd"/>
      <w:r w:rsidR="000B6F5F">
        <w:rPr>
          <w:rFonts w:asciiTheme="majorHAnsi" w:hAnsiTheme="majorHAnsi" w:cstheme="majorHAnsi"/>
        </w:rPr>
        <w:t xml:space="preserve"> remainder of animal, including bones) values for Trastuzumab-DOTA-Ac-227 show 197 </w:t>
      </w:r>
      <w:proofErr w:type="spellStart"/>
      <w:r w:rsidR="000B6F5F">
        <w:rPr>
          <w:rFonts w:asciiTheme="majorHAnsi" w:hAnsiTheme="majorHAnsi" w:cstheme="majorHAnsi"/>
        </w:rPr>
        <w:t>uGy</w:t>
      </w:r>
      <w:proofErr w:type="spellEnd"/>
      <w:r w:rsidR="000B6F5F">
        <w:rPr>
          <w:rFonts w:asciiTheme="majorHAnsi" w:hAnsiTheme="majorHAnsi" w:cstheme="majorHAnsi"/>
        </w:rPr>
        <w:t xml:space="preserve">/day maximum (95% CI 194-200 </w:t>
      </w:r>
      <w:proofErr w:type="spellStart"/>
      <w:r w:rsidR="000B6F5F">
        <w:rPr>
          <w:rFonts w:asciiTheme="majorHAnsi" w:hAnsiTheme="majorHAnsi" w:cstheme="majorHAnsi"/>
        </w:rPr>
        <w:t>uGy</w:t>
      </w:r>
      <w:proofErr w:type="spellEnd"/>
      <w:r w:rsidR="000B6F5F">
        <w:rPr>
          <w:rFonts w:asciiTheme="majorHAnsi" w:hAnsiTheme="majorHAnsi" w:cstheme="majorHAnsi"/>
        </w:rPr>
        <w:t xml:space="preserve">/day) which equates to 72 </w:t>
      </w:r>
      <w:proofErr w:type="spellStart"/>
      <w:r w:rsidR="000B6F5F">
        <w:rPr>
          <w:rFonts w:asciiTheme="majorHAnsi" w:hAnsiTheme="majorHAnsi" w:cstheme="majorHAnsi"/>
        </w:rPr>
        <w:t>mGy</w:t>
      </w:r>
      <w:proofErr w:type="spellEnd"/>
      <w:r w:rsidR="000B6F5F">
        <w:rPr>
          <w:rFonts w:asciiTheme="majorHAnsi" w:hAnsiTheme="majorHAnsi" w:cstheme="majorHAnsi"/>
        </w:rPr>
        <w:t>/year on average or 0.36 Sv</w:t>
      </w:r>
      <w:r w:rsidR="000B6F5F" w:rsidRPr="000B6F5F">
        <w:rPr>
          <w:rFonts w:asciiTheme="majorHAnsi" w:hAnsiTheme="majorHAnsi" w:cstheme="majorHAnsi"/>
          <w:vertAlign w:val="subscript"/>
        </w:rPr>
        <w:t>RBE5</w:t>
      </w:r>
      <w:r w:rsidR="000B6F5F">
        <w:rPr>
          <w:rFonts w:asciiTheme="majorHAnsi" w:hAnsiTheme="majorHAnsi" w:cstheme="majorHAnsi"/>
        </w:rPr>
        <w:t xml:space="preserve">/year for bones which is just below the 0.4 </w:t>
      </w:r>
      <w:proofErr w:type="spellStart"/>
      <w:r w:rsidR="000B6F5F">
        <w:rPr>
          <w:rFonts w:asciiTheme="majorHAnsi" w:hAnsiTheme="majorHAnsi" w:cstheme="majorHAnsi"/>
        </w:rPr>
        <w:t>Gy</w:t>
      </w:r>
      <w:proofErr w:type="spellEnd"/>
      <w:r w:rsidR="000B6F5F">
        <w:rPr>
          <w:rFonts w:asciiTheme="majorHAnsi" w:hAnsiTheme="majorHAnsi" w:cstheme="majorHAnsi"/>
        </w:rPr>
        <w:t>/year threshold.</w:t>
      </w:r>
    </w:p>
    <w:p w14:paraId="445A3199" w14:textId="7CA9838E" w:rsidR="0048141A" w:rsidRDefault="00724596" w:rsidP="00F07D79">
      <w:pPr>
        <w:spacing w:line="480" w:lineRule="auto"/>
        <w:jc w:val="both"/>
        <w:rPr>
          <w:rFonts w:asciiTheme="majorHAnsi" w:hAnsiTheme="majorHAnsi" w:cstheme="majorHAnsi"/>
        </w:rPr>
      </w:pPr>
      <w:r>
        <w:rPr>
          <w:rFonts w:asciiTheme="majorHAnsi" w:hAnsiTheme="majorHAnsi" w:cstheme="majorHAnsi"/>
        </w:rPr>
        <w:t>Considering</w:t>
      </w:r>
      <w:r w:rsidR="00C2163A">
        <w:rPr>
          <w:rFonts w:asciiTheme="majorHAnsi" w:hAnsiTheme="majorHAnsi" w:cstheme="majorHAnsi"/>
        </w:rPr>
        <w:t xml:space="preserve"> the spleen is not as vital an organ as the kidneys or liver, </w:t>
      </w:r>
      <w:r w:rsidR="00BC0E45">
        <w:rPr>
          <w:rFonts w:asciiTheme="majorHAnsi" w:hAnsiTheme="majorHAnsi" w:cstheme="majorHAnsi"/>
        </w:rPr>
        <w:t xml:space="preserve">spleen chronic toxicity has been shown to appear in rats and mice exposed to </w:t>
      </w:r>
      <w:r w:rsidR="00BC0E45" w:rsidRPr="00BF46D0">
        <w:rPr>
          <w:rFonts w:asciiTheme="majorHAnsi" w:hAnsiTheme="majorHAnsi" w:cstheme="majorHAnsi"/>
        </w:rPr>
        <w:t xml:space="preserve">0.01–0.5 </w:t>
      </w:r>
      <w:proofErr w:type="spellStart"/>
      <w:r w:rsidR="00BC0E45" w:rsidRPr="00BF46D0">
        <w:rPr>
          <w:rFonts w:asciiTheme="majorHAnsi" w:hAnsiTheme="majorHAnsi" w:cstheme="majorHAnsi"/>
        </w:rPr>
        <w:t>Gy</w:t>
      </w:r>
      <w:proofErr w:type="spellEnd"/>
      <w:r w:rsidR="00BC0E45" w:rsidRPr="00BF46D0">
        <w:rPr>
          <w:rFonts w:asciiTheme="majorHAnsi" w:hAnsiTheme="majorHAnsi" w:cstheme="majorHAnsi"/>
        </w:rPr>
        <w:t>/day</w:t>
      </w:r>
      <w:r w:rsidR="00BC0E45">
        <w:rPr>
          <w:rFonts w:asciiTheme="majorHAnsi" w:hAnsiTheme="majorHAnsi" w:cstheme="majorHAnsi"/>
        </w:rPr>
        <w:t xml:space="preserve"> of gamma radiation, which calculates out to 0.05-2.5 Sv</w:t>
      </w:r>
      <w:r w:rsidR="001D1FE5" w:rsidRPr="001D1FE5">
        <w:rPr>
          <w:rFonts w:asciiTheme="majorHAnsi" w:hAnsiTheme="majorHAnsi" w:cstheme="majorHAnsi"/>
          <w:vertAlign w:val="subscript"/>
        </w:rPr>
        <w:t>RBE5</w:t>
      </w:r>
      <w:r w:rsidR="00BC0E45">
        <w:rPr>
          <w:rFonts w:asciiTheme="majorHAnsi" w:hAnsiTheme="majorHAnsi" w:cstheme="majorHAnsi"/>
        </w:rPr>
        <w:t xml:space="preserve">/day alpha </w:t>
      </w:r>
      <w:r w:rsidR="00BC0E45">
        <w:rPr>
          <w:rFonts w:asciiTheme="majorHAnsi" w:hAnsiTheme="majorHAnsi" w:cstheme="majorHAnsi"/>
        </w:rPr>
        <w:fldChar w:fldCharType="begin" w:fldLock="1"/>
      </w:r>
      <w:r w:rsidR="00FD13C2">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FD13C2">
        <w:rPr>
          <w:rFonts w:ascii="Calibri Light" w:hAnsi="Calibri Light" w:cs="Calibri Light"/>
        </w:rPr>
        <w:instrText></w:instrText>
      </w:r>
      <w:r w:rsidR="00FD13C2">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6&lt;/sup&gt;","plainTextFormattedCitation":"6","previouslyFormattedCitation":"&lt;sup&gt;6&lt;/sup&gt;"},"properties":{"noteIndex":0},"schema":"https://github.com/citation-style-language/schema/raw/master/csl-citation.json"}</w:instrText>
      </w:r>
      <w:r w:rsidR="00BC0E45">
        <w:rPr>
          <w:rFonts w:asciiTheme="majorHAnsi" w:hAnsiTheme="majorHAnsi" w:cstheme="majorHAnsi"/>
        </w:rPr>
        <w:fldChar w:fldCharType="separate"/>
      </w:r>
      <w:r w:rsidR="00732CA3" w:rsidRPr="00732CA3">
        <w:rPr>
          <w:rFonts w:asciiTheme="majorHAnsi" w:hAnsiTheme="majorHAnsi" w:cstheme="majorHAnsi"/>
          <w:noProof/>
          <w:vertAlign w:val="superscript"/>
        </w:rPr>
        <w:t>6</w:t>
      </w:r>
      <w:r w:rsidR="00BC0E45">
        <w:rPr>
          <w:rFonts w:asciiTheme="majorHAnsi" w:hAnsiTheme="majorHAnsi" w:cstheme="majorHAnsi"/>
        </w:rPr>
        <w:fldChar w:fldCharType="end"/>
      </w:r>
      <w:r w:rsidR="001D1FE5">
        <w:rPr>
          <w:rFonts w:asciiTheme="majorHAnsi" w:hAnsiTheme="majorHAnsi" w:cstheme="majorHAnsi"/>
        </w:rPr>
        <w:t xml:space="preserve">. While the </w:t>
      </w:r>
      <w:r w:rsidR="00C2163A">
        <w:rPr>
          <w:rFonts w:asciiTheme="majorHAnsi" w:hAnsiTheme="majorHAnsi" w:cstheme="majorHAnsi"/>
        </w:rPr>
        <w:t>Trastuzumab-DOTA-</w:t>
      </w:r>
      <w:r w:rsidR="001D1FE5">
        <w:rPr>
          <w:rFonts w:asciiTheme="majorHAnsi" w:hAnsiTheme="majorHAnsi" w:cstheme="majorHAnsi"/>
        </w:rPr>
        <w:t>Ac-225 rate per day reaches beyond this level, it is only for a short term, but Ac-227 does get within the toxicity range with an equivalence mean of 0.29 Sv</w:t>
      </w:r>
      <w:r w:rsidR="001D1FE5" w:rsidRPr="001D1FE5">
        <w:rPr>
          <w:rFonts w:asciiTheme="majorHAnsi" w:hAnsiTheme="majorHAnsi" w:cstheme="majorHAnsi"/>
          <w:vertAlign w:val="subscript"/>
        </w:rPr>
        <w:t>RBE5</w:t>
      </w:r>
      <w:r w:rsidR="001D1FE5">
        <w:rPr>
          <w:rFonts w:asciiTheme="majorHAnsi" w:hAnsiTheme="majorHAnsi" w:cstheme="majorHAnsi"/>
        </w:rPr>
        <w:t xml:space="preserve">/day. </w:t>
      </w:r>
    </w:p>
    <w:p w14:paraId="23EDCA43" w14:textId="0DA92CE4" w:rsidR="001D3824" w:rsidRDefault="00732CA3" w:rsidP="00732CA3">
      <w:pPr>
        <w:spacing w:line="480" w:lineRule="auto"/>
        <w:jc w:val="both"/>
        <w:rPr>
          <w:rFonts w:asciiTheme="majorHAnsi" w:hAnsiTheme="majorHAnsi" w:cstheme="majorHAnsi"/>
        </w:rPr>
      </w:pPr>
      <w:r>
        <w:rPr>
          <w:rFonts w:asciiTheme="majorHAnsi" w:hAnsiTheme="majorHAnsi" w:cstheme="majorHAnsi"/>
        </w:rPr>
        <w:t xml:space="preserve">It is important to keep in mind that this study is limited to counting only activity due to direct parent-daughter activity after tissue resection. This should result in undercounting </w:t>
      </w:r>
      <w:r w:rsidR="006834E6">
        <w:rPr>
          <w:rFonts w:asciiTheme="majorHAnsi" w:hAnsiTheme="majorHAnsi" w:cstheme="majorHAnsi"/>
        </w:rPr>
        <w:t>effects due to</w:t>
      </w:r>
      <w:r>
        <w:rPr>
          <w:rFonts w:asciiTheme="majorHAnsi" w:hAnsiTheme="majorHAnsi" w:cstheme="majorHAnsi"/>
        </w:rPr>
        <w:t xml:space="preserve"> daughter re-distribution</w:t>
      </w:r>
      <w:r w:rsidR="006834E6">
        <w:rPr>
          <w:rFonts w:asciiTheme="majorHAnsi" w:hAnsiTheme="majorHAnsi" w:cstheme="majorHAnsi"/>
        </w:rPr>
        <w:t xml:space="preserve"> to organs </w:t>
      </w:r>
      <w:r>
        <w:rPr>
          <w:rFonts w:asciiTheme="majorHAnsi" w:hAnsiTheme="majorHAnsi" w:cstheme="majorHAnsi"/>
        </w:rPr>
        <w:t xml:space="preserve">after recoil effects </w:t>
      </w:r>
      <w:r w:rsidR="00FD13C2">
        <w:rPr>
          <w:rFonts w:asciiTheme="majorHAnsi" w:hAnsiTheme="majorHAnsi" w:cstheme="majorHAnsi"/>
        </w:rPr>
        <w:fldChar w:fldCharType="begin" w:fldLock="1"/>
      </w:r>
      <w:r w:rsidR="00A845F5">
        <w:rPr>
          <w:rFonts w:asciiTheme="majorHAnsi" w:hAnsiTheme="majorHAnsi" w:cstheme="majorHAnsi"/>
        </w:rPr>
        <w:instrText>ADDIN CSL_CITATION {"citationItems":[{"id":"ITEM-1","itemData":{"DOI":"10.3390/ph8020321","ISBN":"0304-4238","ISSN":"14248247","PMID":"26066613","abstract":"This review presents an overview of the successes and challenges currently faced in alpha radionuclide therapy. Alpha particles have an advantage in killing tumour cells as compared to beta or gamma radiation due to their short penetration depth and high linear energy transfer (LET). Touching briefly on the clinical successes of radionuclides emitting only one alpha particle, the main focus of this article lies on those alpha-emitting radionuclides with multiple alpha-emitting daughters in their decay chain. While having the advantage of longer half-lives, the recoiled daughters of radionuclides like 224Ra (radium), 223Ra, and 225Ac (actinium) can do significant damage to healthy tissue when not retained at the tumour site. Three different approaches to deal with this problem are discussed: encapsulation in a nano-carrier, fast uptake of the alpha emitting radionuclides in tumour cells, and local administration. Each approach has been shown to have its advantages and disadvantages, but when larger activities need to be used clinically, nano-carriers appear to be the most promising solution for reducing toxic effects, provided there is no accumulation in healthy tissue.","author":[{"dropping-particle":"","family":"Kruijff","given":"Robin M.","non-dropping-particle":"de","parse-names":false,"suffix":""},{"dropping-particle":"","family":"Wolterbeek","given":"Hubert T.","non-dropping-particle":"","parse-names":false,"suffix":""},{"dropping-particle":"","family":"Denkova","given":"Antonia G.","non-dropping-particle":"","parse-names":false,"suffix":""}],"container-title":"Pharmaceuticals","id":"ITEM-1","issued":{"date-parts":[["2015"]]},"title":"A critical review of alpha radionuclide therapy-how to deal with recoiling daughters?","type":"article-journal"},"uris":["http://www.mendeley.com/documents/?uuid=ed837589-98b7-4aac-81a5-f7d538c62b6c"]}],"mendeley":{"formattedCitation":"&lt;sup&gt;15&lt;/sup&gt;","plainTextFormattedCitation":"15","previouslyFormattedCitation":"&lt;sup&gt;15&lt;/sup&gt;"},"properties":{"noteIndex":0},"schema":"https://github.com/citation-style-language/schema/raw/master/csl-citation.json"}</w:instrText>
      </w:r>
      <w:r w:rsidR="00FD13C2">
        <w:rPr>
          <w:rFonts w:asciiTheme="majorHAnsi" w:hAnsiTheme="majorHAnsi" w:cstheme="majorHAnsi"/>
        </w:rPr>
        <w:fldChar w:fldCharType="separate"/>
      </w:r>
      <w:r w:rsidR="00A845F5" w:rsidRPr="00A845F5">
        <w:rPr>
          <w:rFonts w:asciiTheme="majorHAnsi" w:hAnsiTheme="majorHAnsi" w:cstheme="majorHAnsi"/>
          <w:noProof/>
          <w:vertAlign w:val="superscript"/>
        </w:rPr>
        <w:t>15</w:t>
      </w:r>
      <w:r w:rsidR="00FD13C2">
        <w:rPr>
          <w:rFonts w:asciiTheme="majorHAnsi" w:hAnsiTheme="majorHAnsi" w:cstheme="majorHAnsi"/>
        </w:rPr>
        <w:fldChar w:fldCharType="end"/>
      </w:r>
      <w:r>
        <w:rPr>
          <w:rFonts w:asciiTheme="majorHAnsi" w:hAnsiTheme="majorHAnsi" w:cstheme="majorHAnsi"/>
        </w:rPr>
        <w:t xml:space="preserve">. </w:t>
      </w:r>
      <w:r w:rsidRPr="00653A4E">
        <w:rPr>
          <w:rFonts w:asciiTheme="majorHAnsi" w:hAnsiTheme="majorHAnsi" w:cstheme="majorHAnsi"/>
        </w:rPr>
        <w:t>Daughter</w:t>
      </w:r>
      <w:r>
        <w:rPr>
          <w:rFonts w:asciiTheme="majorHAnsi" w:hAnsiTheme="majorHAnsi" w:cstheme="majorHAnsi"/>
        </w:rPr>
        <w:t xml:space="preserve"> isotope re-distribution has been observed in other studies, and redistribution of Bi-213 has been shown to cause dose-limiting renal toxicity in Ac-225 therapies </w:t>
      </w:r>
      <w:r>
        <w:rPr>
          <w:rFonts w:asciiTheme="majorHAnsi" w:hAnsiTheme="majorHAnsi" w:cstheme="majorHAnsi"/>
        </w:rPr>
        <w:fldChar w:fldCharType="begin" w:fldLock="1"/>
      </w:r>
      <w:r w:rsidR="00A845F5">
        <w:rPr>
          <w:rFonts w:asciiTheme="majorHAnsi" w:hAnsiTheme="majorHAnsi" w:cstheme="majorHAnsi"/>
        </w:rPr>
        <w:instrText>ADDIN CSL_CITATION {"citationItems":[{"id":"ITEM-1","itemData":{"DOI":"10.1158/0008-5472.CAN-04-3096","ISSN":"00085472","PMID":"15930310","abstract":"Alpha-particle immunotherapy by targeted alpha-emitters or alpha-emitting isotope generators is a novel form of extraordinarily potent cancer therapy. A major impediment to the clinical use of targeted actinium-225 (225Ac) in vivo generators may be the radiotoxicity of the systemically released daughter radionuclides. The daughters, especially bismuth-213 (213Bi), tend to accumulate in the kidneys. We tested the efficacy of various pharmacologic agents and the effect of tumor burden in altering the pharmacokinetics of the 225Ac daughters to modify their renal uptake. Pharmacologic treatments in animals were started before i.v. administration of the HuM195-225Ac generator. 225Ac, francium-221 (221Fr), and 213Bi biodistributions were calculated in each animal at different time points after 225Ac generator injection. Oral metal chelation with 2,3-dimercapto-1-propanesulfonic acid (DMPS) or meso-2,3-dimercaptosuccinic acid (DMSA) caused a significant reduction (P &lt; 0.0001) in the renal 213Bi uptake; however, DMPS was more effective than DMSA (P &lt; 0.001). The results with DMPS were also confirmed in a monkey model. The renal 213Bi and 221Fr activities were significantly reduced by furosemide and chlorothiazide treatment (P &lt; 0.0001). The effect on renal 213Bi activity was further enhanced by the combination of DMPS with either chlorothiazide or furosemide (P &lt; 0.0001). Competitive antagonism by bismuth subnitrate moderately reduced the renal uptake of 213Bi. The presence of a higher target-tumor burden significantly prevented the renal 213Bi accumulation (P = 0.003), which was further reduced by DMPS treatment (P &lt; 0.0001). Metal chelation, diuresis with furosemide or chlorothiazide, and competitive metal blockade may be used as adjuvant therapies to modify the renal accumulation of 225Ac daughters.","author":[{"dropping-particle":"","family":"Jaggi","given":"Jaspreet Singh","non-dropping-particle":"","parse-names":false,"suffix":""},{"dropping-particle":"","family":"Kappel","given":"Barry J.","non-dropping-particle":"","parse-names":false,"suffix":""},{"dropping-particle":"","family":"McDevitt","given":"Michael R.","non-dropping-particle":"","parse-names":false,"suffix":""},{"dropping-particle":"","family":"Sgouros","given":"George","non-dropping-particle":"","parse-names":false,"suffix":""},{"dropping-particle":"","family":"Flombaum","given":"Carlos D.","non-dropping-particle":"","parse-names":false,"suffix":""},{"dropping-particle":"","family":"Cabassa","given":"Catalina","non-dropping-particle":"","parse-names":false,"suffix":""},{"dropping-particle":"","family":"Scheinberg","given":"David A.","non-dropping-particle":"","parse-names":false,"suffix":""}],"container-title":"Cancer Research","id":"ITEM-1","issue":"11","issued":{"date-parts":[["2005"]]},"page":"4888-4895","title":"Efforts to control the errant products of a targeted in vivo generator","type":"article-journal","volume":"65"},"uris":["http://www.mendeley.com/documents/?uuid=073ba98b-620c-40a8-88d3-e32a0f281f25"]}],"mendeley":{"formattedCitation":"&lt;sup&gt;16&lt;/sup&gt;","plainTextFormattedCitation":"16","previouslyFormattedCitation":"&lt;sup&gt;16&lt;/sup&gt;"},"properties":{"noteIndex":0},"schema":"https://github.com/citation-style-language/schema/raw/master/csl-citation.json"}</w:instrText>
      </w:r>
      <w:r>
        <w:rPr>
          <w:rFonts w:asciiTheme="majorHAnsi" w:hAnsiTheme="majorHAnsi" w:cstheme="majorHAnsi"/>
        </w:rPr>
        <w:fldChar w:fldCharType="separate"/>
      </w:r>
      <w:r w:rsidR="00A845F5" w:rsidRPr="00A845F5">
        <w:rPr>
          <w:rFonts w:asciiTheme="majorHAnsi" w:hAnsiTheme="majorHAnsi" w:cstheme="majorHAnsi"/>
          <w:noProof/>
          <w:vertAlign w:val="superscript"/>
        </w:rPr>
        <w:t>16</w:t>
      </w:r>
      <w:r>
        <w:rPr>
          <w:rFonts w:asciiTheme="majorHAnsi" w:hAnsiTheme="majorHAnsi" w:cstheme="majorHAnsi"/>
        </w:rPr>
        <w:fldChar w:fldCharType="end"/>
      </w:r>
      <w:r>
        <w:rPr>
          <w:rFonts w:asciiTheme="majorHAnsi" w:hAnsiTheme="majorHAnsi" w:cstheme="majorHAnsi"/>
        </w:rPr>
        <w:t xml:space="preserve">. </w:t>
      </w:r>
      <w:r w:rsidR="006834E6">
        <w:rPr>
          <w:rFonts w:asciiTheme="majorHAnsi" w:hAnsiTheme="majorHAnsi" w:cstheme="majorHAnsi"/>
        </w:rPr>
        <w:t>As an example, m</w:t>
      </w:r>
      <w:r w:rsidR="0036025A">
        <w:rPr>
          <w:rFonts w:asciiTheme="majorHAnsi" w:hAnsiTheme="majorHAnsi" w:cstheme="majorHAnsi"/>
        </w:rPr>
        <w:t xml:space="preserve">odeling the fraction of activity produced from decays prior to the first alpha decay in each Ac-225 and Ac-227 decay chains produces </w:t>
      </w:r>
      <w:r w:rsidR="0036025A">
        <w:rPr>
          <w:rFonts w:asciiTheme="majorHAnsi" w:hAnsiTheme="majorHAnsi" w:cstheme="majorHAnsi"/>
          <w:b/>
        </w:rPr>
        <w:t>Figure S8</w:t>
      </w:r>
      <w:r w:rsidR="0036025A">
        <w:rPr>
          <w:rFonts w:asciiTheme="majorHAnsi" w:hAnsiTheme="majorHAnsi" w:cstheme="majorHAnsi"/>
        </w:rPr>
        <w:t xml:space="preserve">, and </w:t>
      </w:r>
      <w:r w:rsidR="006834E6">
        <w:rPr>
          <w:rFonts w:asciiTheme="majorHAnsi" w:hAnsiTheme="majorHAnsi" w:cstheme="majorHAnsi"/>
        </w:rPr>
        <w:t>exemplifies</w:t>
      </w:r>
      <w:r w:rsidR="0036025A">
        <w:rPr>
          <w:rFonts w:asciiTheme="majorHAnsi" w:hAnsiTheme="majorHAnsi" w:cstheme="majorHAnsi"/>
        </w:rPr>
        <w:t xml:space="preserve"> how if the first alpha decay were to release the metal from the ligand carrier due to recoil, isotopic daughter distribution variance would also occur. Within the first few days of administration of pure Ac-225 and pure Ac-227 into a ligand,</w:t>
      </w:r>
      <w:r w:rsidR="00923F38">
        <w:rPr>
          <w:rFonts w:asciiTheme="majorHAnsi" w:hAnsiTheme="majorHAnsi" w:cstheme="majorHAnsi"/>
        </w:rPr>
        <w:t xml:space="preserve"> </w:t>
      </w:r>
      <w:r w:rsidR="001D3824">
        <w:rPr>
          <w:rFonts w:asciiTheme="majorHAnsi" w:hAnsiTheme="majorHAnsi" w:cstheme="majorHAnsi"/>
        </w:rPr>
        <w:t xml:space="preserve">Ac-227 and Th-227 </w:t>
      </w:r>
      <w:r w:rsidR="006834E6">
        <w:rPr>
          <w:rFonts w:asciiTheme="majorHAnsi" w:hAnsiTheme="majorHAnsi" w:cstheme="majorHAnsi"/>
        </w:rPr>
        <w:t xml:space="preserve">daughter </w:t>
      </w:r>
      <w:r w:rsidR="001D3824">
        <w:rPr>
          <w:rFonts w:asciiTheme="majorHAnsi" w:hAnsiTheme="majorHAnsi" w:cstheme="majorHAnsi"/>
        </w:rPr>
        <w:t>would remain largely intact, whe</w:t>
      </w:r>
      <w:r w:rsidR="006834E6">
        <w:rPr>
          <w:rFonts w:asciiTheme="majorHAnsi" w:hAnsiTheme="majorHAnsi" w:cstheme="majorHAnsi"/>
        </w:rPr>
        <w:t xml:space="preserve">reas Ac-225 would rapidly reach </w:t>
      </w:r>
      <w:r w:rsidR="001D3824">
        <w:rPr>
          <w:rFonts w:asciiTheme="majorHAnsi" w:hAnsiTheme="majorHAnsi" w:cstheme="majorHAnsi"/>
        </w:rPr>
        <w:t xml:space="preserve">secular equilibrium, </w:t>
      </w:r>
      <w:r w:rsidR="006834E6">
        <w:rPr>
          <w:rFonts w:asciiTheme="majorHAnsi" w:hAnsiTheme="majorHAnsi" w:cstheme="majorHAnsi"/>
        </w:rPr>
        <w:t>with more activity</w:t>
      </w:r>
      <w:r w:rsidR="001D3824">
        <w:rPr>
          <w:rFonts w:asciiTheme="majorHAnsi" w:hAnsiTheme="majorHAnsi" w:cstheme="majorHAnsi"/>
        </w:rPr>
        <w:t xml:space="preserve"> coming from</w:t>
      </w:r>
      <w:r w:rsidR="006834E6">
        <w:rPr>
          <w:rFonts w:asciiTheme="majorHAnsi" w:hAnsiTheme="majorHAnsi" w:cstheme="majorHAnsi"/>
        </w:rPr>
        <w:t xml:space="preserve"> freed</w:t>
      </w:r>
      <w:r w:rsidR="001D3824">
        <w:rPr>
          <w:rFonts w:asciiTheme="majorHAnsi" w:hAnsiTheme="majorHAnsi" w:cstheme="majorHAnsi"/>
        </w:rPr>
        <w:t xml:space="preserve"> daughters than parent.</w:t>
      </w:r>
      <w:r w:rsidR="00CD0614">
        <w:rPr>
          <w:rFonts w:asciiTheme="majorHAnsi" w:hAnsiTheme="majorHAnsi" w:cstheme="majorHAnsi"/>
        </w:rPr>
        <w:t xml:space="preserve"> This effect may be measured, if desired, via gamma counting, but it was not deemed necessary considering we were more interested in long-term dose effects from Ac-227.</w:t>
      </w:r>
    </w:p>
    <w:p w14:paraId="6FA31AA2" w14:textId="4F399122" w:rsidR="00BD4A53" w:rsidRDefault="00734679" w:rsidP="009D74FB">
      <w:pPr>
        <w:spacing w:line="480" w:lineRule="auto"/>
        <w:jc w:val="both"/>
        <w:rPr>
          <w:rFonts w:asciiTheme="majorHAnsi" w:hAnsiTheme="majorHAnsi" w:cstheme="majorHAnsi"/>
        </w:rPr>
      </w:pPr>
      <w:r>
        <w:rPr>
          <w:rFonts w:asciiTheme="majorHAnsi" w:hAnsiTheme="majorHAnsi" w:cstheme="majorHAnsi"/>
        </w:rPr>
        <w:lastRenderedPageBreak/>
        <w:t>Nonetheless, we did observe interesting localization ratio</w:t>
      </w:r>
      <w:r w:rsidR="00CD0614">
        <w:rPr>
          <w:rFonts w:asciiTheme="majorHAnsi" w:hAnsiTheme="majorHAnsi" w:cstheme="majorHAnsi"/>
        </w:rPr>
        <w:t xml:space="preserve"> (LR)</w:t>
      </w:r>
      <w:r>
        <w:rPr>
          <w:rFonts w:asciiTheme="majorHAnsi" w:hAnsiTheme="majorHAnsi" w:cstheme="majorHAnsi"/>
        </w:rPr>
        <w:t xml:space="preserve"> effects</w:t>
      </w:r>
      <w:r w:rsidR="00CD0614">
        <w:rPr>
          <w:rFonts w:asciiTheme="majorHAnsi" w:hAnsiTheme="majorHAnsi" w:cstheme="majorHAnsi"/>
        </w:rPr>
        <w:t xml:space="preserve"> of Ac-225/Ac-227</w:t>
      </w:r>
      <w:r>
        <w:rPr>
          <w:rFonts w:asciiTheme="majorHAnsi" w:hAnsiTheme="majorHAnsi" w:cstheme="majorHAnsi"/>
        </w:rPr>
        <w:t>. As can be seen in</w:t>
      </w:r>
      <w:r w:rsidR="00CD0614">
        <w:rPr>
          <w:rFonts w:asciiTheme="majorHAnsi" w:hAnsiTheme="majorHAnsi" w:cstheme="majorHAnsi"/>
        </w:rPr>
        <w:t xml:space="preserve"> the</w:t>
      </w:r>
      <w:r>
        <w:rPr>
          <w:rFonts w:asciiTheme="majorHAnsi" w:hAnsiTheme="majorHAnsi" w:cstheme="majorHAnsi"/>
        </w:rPr>
        <w:t xml:space="preserve"> LR for all three tested </w:t>
      </w:r>
      <w:r w:rsidR="009D74FB">
        <w:rPr>
          <w:rFonts w:asciiTheme="majorHAnsi" w:hAnsiTheme="majorHAnsi" w:cstheme="majorHAnsi"/>
        </w:rPr>
        <w:t>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w:t>
      </w:r>
      <w:r w:rsidR="00CD0614">
        <w:rPr>
          <w:rFonts w:asciiTheme="majorHAnsi" w:hAnsiTheme="majorHAnsi" w:cstheme="majorHAnsi"/>
        </w:rPr>
        <w:t xml:space="preserve"> this is likely due to</w:t>
      </w:r>
      <w:r w:rsidR="009D74FB">
        <w:rPr>
          <w:rFonts w:asciiTheme="majorHAnsi" w:hAnsiTheme="majorHAnsi" w:cstheme="majorHAnsi"/>
        </w:rPr>
        <w:t xml:space="preserve"> a factor other than activity counting conditions that is creating isotopic localization</w:t>
      </w:r>
      <w:r w:rsidR="00CD0614">
        <w:rPr>
          <w:rFonts w:asciiTheme="majorHAnsi" w:hAnsiTheme="majorHAnsi" w:cstheme="majorHAnsi"/>
        </w:rPr>
        <w:t>, post-equilibrium</w:t>
      </w:r>
      <w:r w:rsidR="009D74FB">
        <w:rPr>
          <w:rFonts w:asciiTheme="majorHAnsi" w:hAnsiTheme="majorHAnsi" w:cstheme="majorHAnsi"/>
        </w:rPr>
        <w:t>.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w:t>
      </w:r>
      <w:r w:rsidR="00CD0614">
        <w:rPr>
          <w:rFonts w:asciiTheme="majorHAnsi" w:hAnsiTheme="majorHAnsi" w:cstheme="majorHAnsi"/>
        </w:rPr>
        <w:t xml:space="preserve"> also</w:t>
      </w:r>
      <w:r w:rsidR="009D74FB">
        <w:rPr>
          <w:rFonts w:asciiTheme="majorHAnsi" w:hAnsiTheme="majorHAnsi" w:cstheme="majorHAnsi"/>
        </w:rPr>
        <w:t xml:space="preserve"> not simply due to rapid decay of Ac-225 vs Ac-227. It is possible that changes in LR may be due to </w:t>
      </w:r>
      <w:proofErr w:type="spellStart"/>
      <w:r w:rsidR="00CD0614">
        <w:rPr>
          <w:rFonts w:asciiTheme="majorHAnsi" w:hAnsiTheme="majorHAnsi" w:cstheme="majorHAnsi"/>
        </w:rPr>
        <w:t>biomolecular</w:t>
      </w:r>
      <w:proofErr w:type="spellEnd"/>
      <w:r w:rsidR="00CD0614">
        <w:rPr>
          <w:rFonts w:asciiTheme="majorHAnsi" w:hAnsiTheme="majorHAnsi" w:cstheme="majorHAnsi"/>
        </w:rPr>
        <w:t xml:space="preserve"> actinium</w:t>
      </w:r>
      <w:r w:rsidR="00A8495A">
        <w:rPr>
          <w:rFonts w:asciiTheme="majorHAnsi" w:hAnsiTheme="majorHAnsi" w:cstheme="majorHAnsi"/>
        </w:rPr>
        <w:t xml:space="preserve"> scavenging of</w:t>
      </w:r>
      <w:r w:rsidR="009D74FB">
        <w:rPr>
          <w:rFonts w:asciiTheme="majorHAnsi" w:hAnsiTheme="majorHAnsi" w:cstheme="majorHAnsi"/>
        </w:rPr>
        <w:t xml:space="preserve"> constructs</w:t>
      </w:r>
      <w:r w:rsidR="00CD0614">
        <w:rPr>
          <w:rFonts w:asciiTheme="majorHAnsi" w:hAnsiTheme="majorHAnsi" w:cstheme="majorHAnsi"/>
        </w:rPr>
        <w:t xml:space="preserve"> directly,</w:t>
      </w:r>
      <w:r w:rsidR="009D74FB">
        <w:rPr>
          <w:rFonts w:asciiTheme="majorHAnsi" w:hAnsiTheme="majorHAnsi" w:cstheme="majorHAnsi"/>
        </w:rPr>
        <w:t xml:space="preserve"> pre-decay</w:t>
      </w:r>
      <w:r w:rsidR="00CD0614">
        <w:rPr>
          <w:rFonts w:asciiTheme="majorHAnsi" w:hAnsiTheme="majorHAnsi" w:cstheme="majorHAnsi"/>
        </w:rPr>
        <w:t>.</w:t>
      </w:r>
      <w:r w:rsidR="008C18C0">
        <w:rPr>
          <w:rFonts w:asciiTheme="majorHAnsi" w:hAnsiTheme="majorHAnsi" w:cstheme="majorHAnsi"/>
        </w:rPr>
        <w:t xml:space="preserve"> However, that would require a difference in chemical potential between isotopes in the same constructs and/or scavenging molecules.</w:t>
      </w:r>
      <w:r w:rsidR="00A8495A">
        <w:rPr>
          <w:rFonts w:asciiTheme="majorHAnsi" w:hAnsiTheme="majorHAnsi" w:cstheme="majorHAnsi"/>
        </w:rPr>
        <w:t xml:space="preserve"> </w:t>
      </w:r>
      <w:r w:rsidR="0024309C">
        <w:rPr>
          <w:rFonts w:asciiTheme="majorHAnsi" w:hAnsiTheme="majorHAnsi" w:cstheme="majorHAnsi"/>
        </w:rPr>
        <w:t xml:space="preserve">While this occurs naturally in </w:t>
      </w:r>
      <w:r w:rsidR="00CD51B3">
        <w:rPr>
          <w:rFonts w:asciiTheme="majorHAnsi" w:hAnsiTheme="majorHAnsi" w:cstheme="majorHAnsi"/>
        </w:rPr>
        <w:t>numerous</w:t>
      </w:r>
      <w:r w:rsidR="0024309C">
        <w:rPr>
          <w:rFonts w:asciiTheme="majorHAnsi" w:hAnsiTheme="majorHAnsi" w:cstheme="majorHAnsi"/>
        </w:rPr>
        <w:t xml:space="preserve"> systems</w:t>
      </w:r>
      <w:r w:rsidR="00FD13C2">
        <w:rPr>
          <w:rFonts w:asciiTheme="majorHAnsi" w:hAnsiTheme="majorHAnsi" w:cstheme="majorHAnsi"/>
        </w:rPr>
        <w:t xml:space="preserve"> </w:t>
      </w:r>
      <w:r w:rsidR="00A845F5">
        <w:rPr>
          <w:rFonts w:asciiTheme="majorHAnsi" w:hAnsiTheme="majorHAnsi" w:cstheme="majorHAnsi"/>
        </w:rPr>
        <w:fldChar w:fldCharType="begin" w:fldLock="1"/>
      </w:r>
      <w:r w:rsidR="004C39CD">
        <w:rPr>
          <w:rFonts w:asciiTheme="majorHAnsi" w:hAnsiTheme="majorHAnsi" w:cstheme="majorHAnsi"/>
        </w:rPr>
        <w:instrText>ADDIN CSL_CITATION {"citationItems":[{"id":"ITEM-1","itemData":{"DOI":"10.1038/s41598-019-46368-5","ISSN":"2045-2322","author":[{"dropping-particle":"","family":"Keenan","given":"Sarah W.","non-dropping-particle":"","parse-names":false,"suffix":""},{"dropping-particle":"","family":"DeBruyn","given":"Jennifer M.","non-dropping-particle":"","parse-names":false,"suffix":""}],"container-title":"Scientific Reports","id":"ITEM-1","issue":"1","issued":{"date-parts":[["2019"]]},"page":"9929","publisher":"Springer US","title":"Changes to vertebrate tissue stable isotope (δ15N) composition during decomposition","type":"article-journal","volume":"9"},"uris":["http://www.mendeley.com/documents/?uuid=4efc8c23-2d77-4fc0-926b-1b3e320d07ed"]},{"id":"ITEM-2","itemData":{"DOI":"10.1038/srep44255","abstract":"Stable Ca isotopes are fractionated between bones, urine and blood of animals and between soils, roots and leaves of plants by &gt;1000 ppm for the 44Ca/40Ca ratio. These isotopic variations have important implications to understand Ca transport and fluxes in living organisms; however, the mechanisms of isotopic fractionation are unclear. Here we present ab initio calculations for the isotopic fractionation between various aqueous species of Ca and show that this fractionation can be up to 3000 ppm. We show that the Ca isotopic fractionation between soil solutions and plant roots can be explained by the difference of isotopic fractionation between the different first shell hydration degree of Ca2+ and that the isotopic fractionation between roots and leaves is controlled by the precipitation of Ca-oxalates. The isotopic fractionation between blood and urine is due to the complexation of heavy Ca with citrate and oxalates in urine. Calculations are presented for additional Ca species that may be useful to interpret future Ca isotopic measurements.","author":[{"dropping-particle":"","family":"Moynier","given":"Frédéric","non-dropping-particle":"","parse-names":false,"suffix":""},{"dropping-particle":"","family":"Fujii","given":"Toshiyuki","non-dropping-particle":"","parse-names":false,"suffix":""}],"container-title":"Scientific Reports","id":"ITEM-2","issued":{"date-parts":[["2017"]]},"publisher":"Nature Publishing Group","title":"Calcium isotope fractionation between aqueous compounds relevant to low-temperature geochemistry, biology and medicine","type":"article-journal"},"uris":["http://www.mendeley.com/documents/?uuid=49ecfd67-c89d-4f05-a174-bd3ae1b4d31a"]},{"id":"ITEM-3","itemData":{"DOI":"10.1038/s41598-017-07305-6","ISSN":"20452322","abstract":"© 2017 The Author(s). Magnesium is the metal at the center of all types of chlorophyll and is thus crucial to photosynthesis. When an element is involved in a biosynthetic pathway its isotopes are fractionated based on the difference of vibrational frequency between the different molecules. With the technical advance of multi-collectors plasma-mass-spectrometry and improvement in analytical precision, it has recently been found that two types of chlorophylls (a and b) are isotopically distinct. These results have very significant implications with regards to the use of Mg isotopes to understand the biosynthesis of chlorophyll. Here we present theoretical constraints on the origin of these isotopic fractionations through ab initio calculations. We present the fractionation factor for chlorphyll a, b, d, and f. We show that the natural isotopic variations among chlorophyll a and b are well explained by isotopic fractionation under equilibrium, which implies exchanges of Mg during the chlorophyll cycle. We predict that chlorophyll d and f should be isotopically fractionated compared to chlorophyll a and that this could be used in the future to understand the biosynthesis of these molecules.","author":[{"dropping-particle":"","family":"Moynier","given":"Frédéric","non-dropping-particle":"","parse-names":false,"suffix":""},{"dropping-particle":"","family":"Fujii","given":"Toshiyuki","non-dropping-particle":"","parse-names":false,"suffix":""}],"container-title":"Scientific Reports","id":"ITEM-3","issue":"1","issued":{"date-parts":[["2017"]]},"page":"1-6","title":"Theoretical isotopic fractionation of magnesium between chlorophylls","type":"article-journal","volume":"7"},"uris":["http://www.mendeley.com/documents/?uuid=8ff51ec2-a5e2-4d67-acc1-b8baa3e13010"]}],"mendeley":{"formattedCitation":"&lt;sup&gt;17–19&lt;/sup&gt;","plainTextFormattedCitation":"17–19","previouslyFormattedCitation":"&lt;sup&gt;17–19&lt;/sup&gt;"},"properties":{"noteIndex":0},"schema":"https://github.com/citation-style-language/schema/raw/master/csl-citation.json"}</w:instrText>
      </w:r>
      <w:r w:rsidR="00A845F5">
        <w:rPr>
          <w:rFonts w:asciiTheme="majorHAnsi" w:hAnsiTheme="majorHAnsi" w:cstheme="majorHAnsi"/>
        </w:rPr>
        <w:fldChar w:fldCharType="separate"/>
      </w:r>
      <w:r w:rsidR="00A845F5" w:rsidRPr="00A845F5">
        <w:rPr>
          <w:rFonts w:asciiTheme="majorHAnsi" w:hAnsiTheme="majorHAnsi" w:cstheme="majorHAnsi"/>
          <w:noProof/>
          <w:vertAlign w:val="superscript"/>
        </w:rPr>
        <w:t>17–19</w:t>
      </w:r>
      <w:r w:rsidR="00A845F5">
        <w:rPr>
          <w:rFonts w:asciiTheme="majorHAnsi" w:hAnsiTheme="majorHAnsi" w:cstheme="majorHAnsi"/>
        </w:rPr>
        <w:fldChar w:fldCharType="end"/>
      </w:r>
      <w:r w:rsidR="0024309C">
        <w:rPr>
          <w:rFonts w:asciiTheme="majorHAnsi" w:hAnsiTheme="majorHAnsi" w:cstheme="majorHAnsi"/>
        </w:rPr>
        <w:t>, most notably δ</w:t>
      </w:r>
      <w:r w:rsidR="0024309C" w:rsidRPr="0024309C">
        <w:rPr>
          <w:rFonts w:asciiTheme="majorHAnsi" w:hAnsiTheme="majorHAnsi" w:cstheme="majorHAnsi"/>
          <w:vertAlign w:val="superscript"/>
        </w:rPr>
        <w:t>13</w:t>
      </w:r>
      <w:r w:rsidR="0024309C">
        <w:rPr>
          <w:rFonts w:asciiTheme="majorHAnsi" w:hAnsiTheme="majorHAnsi" w:cstheme="majorHAnsi"/>
        </w:rPr>
        <w:t xml:space="preserve">C </w:t>
      </w:r>
      <w:r w:rsidR="00CD51B3">
        <w:rPr>
          <w:rFonts w:asciiTheme="majorHAnsi" w:hAnsiTheme="majorHAnsi" w:cstheme="majorHAnsi"/>
        </w:rPr>
        <w:t xml:space="preserve">differential sequestration </w:t>
      </w:r>
      <w:r w:rsidR="0024309C">
        <w:rPr>
          <w:rFonts w:asciiTheme="majorHAnsi" w:hAnsiTheme="majorHAnsi" w:cstheme="majorHAnsi"/>
        </w:rPr>
        <w:t xml:space="preserve">in </w:t>
      </w:r>
      <w:r w:rsidR="00CD51B3">
        <w:rPr>
          <w:rFonts w:asciiTheme="majorHAnsi" w:hAnsiTheme="majorHAnsi" w:cstheme="majorHAnsi"/>
        </w:rPr>
        <w:t>ecology</w:t>
      </w:r>
      <w:r w:rsidR="00E81A3A">
        <w:rPr>
          <w:rFonts w:asciiTheme="majorHAnsi" w:hAnsiTheme="majorHAnsi" w:cstheme="majorHAnsi"/>
        </w:rPr>
        <w:t xml:space="preserve"> </w:t>
      </w:r>
      <w:r w:rsidR="0024309C">
        <w:rPr>
          <w:rFonts w:asciiTheme="majorHAnsi" w:hAnsiTheme="majorHAnsi" w:cstheme="majorHAnsi"/>
        </w:rPr>
        <w:t>, where kinetic fractionation occurs due to the added neutron mass, the added mass in Ac-227/Ac-225 (+0.88%) is a much smaller fraction than with C-13/C-12 (+8.3%).</w:t>
      </w:r>
      <w:r w:rsidR="008B176F">
        <w:rPr>
          <w:rFonts w:asciiTheme="majorHAnsi" w:hAnsiTheme="majorHAnsi" w:cstheme="majorHAnsi"/>
        </w:rPr>
        <w:t xml:space="preserve"> If this is the case, then perhaps the DOTA-Ac complexes are more easily scavenged than Trastuzumab-DOTA-Ac due to less steric hindrance, and Ac-225 more easily scavenged compared to Ac-227 and cleared more rapidly from the body.</w:t>
      </w:r>
      <w:r w:rsidR="008D6E74">
        <w:rPr>
          <w:rFonts w:asciiTheme="majorHAnsi" w:hAnsiTheme="majorHAnsi" w:cstheme="majorHAnsi"/>
        </w:rPr>
        <w:t xml:space="preserve"> </w:t>
      </w:r>
      <w:r w:rsidR="004C39CD">
        <w:rPr>
          <w:rFonts w:asciiTheme="majorHAnsi" w:hAnsiTheme="majorHAnsi" w:cstheme="majorHAnsi"/>
        </w:rPr>
        <w:t xml:space="preserve">Otherwise, there are some cases of mass-independent fractionation due to differences in nuclear magnetic moment in heavier elements, such as in paramagnetic iron isotopes in </w:t>
      </w:r>
      <w:proofErr w:type="spellStart"/>
      <w:r w:rsidR="004C39CD">
        <w:rPr>
          <w:rFonts w:asciiTheme="majorHAnsi" w:hAnsiTheme="majorHAnsi" w:cstheme="majorHAnsi"/>
        </w:rPr>
        <w:t>magnetotactic</w:t>
      </w:r>
      <w:proofErr w:type="spellEnd"/>
      <w:r w:rsidR="004C39CD">
        <w:rPr>
          <w:rFonts w:asciiTheme="majorHAnsi" w:hAnsiTheme="majorHAnsi" w:cstheme="majorHAnsi"/>
        </w:rPr>
        <w:t xml:space="preserve"> bacteria </w:t>
      </w:r>
      <w:r w:rsidR="004C39CD">
        <w:rPr>
          <w:rFonts w:asciiTheme="majorHAnsi" w:hAnsiTheme="majorHAnsi" w:cstheme="majorHAnsi"/>
        </w:rPr>
        <w:fldChar w:fldCharType="begin" w:fldLock="1"/>
      </w:r>
      <w:r w:rsidR="004C39CD">
        <w:rPr>
          <w:rFonts w:asciiTheme="majorHAnsi" w:hAnsiTheme="majorHAnsi" w:cstheme="majorHAnsi"/>
        </w:rPr>
        <w:instrText>ADDIN CSL_CITATION {"citationItems":[{"id":"ITEM-1","itemData":{"DOI":"10.1126/science.aad7632","ISSN":"0036-8075","author":[{"dropping-particle":"","family":"Louvat","given":"P.","non-dropping-particle":"","parse-names":false,"suffix":""},{"dropping-particle":"","family":"Busigny","given":"V.","non-dropping-particle":"","parse-names":false,"suffix":""},{"dropping-particle":"","family":"Guyot","given":"F.","non-dropping-particle":"","parse-names":false,"suffix":""},{"dropping-particle":"","family":"Amor","given":"M.","non-dropping-particle":"","parse-names":false,"suffix":""},{"dropping-particle":"","family":"Durand-Dubief","given":"M.","non-dropping-particle":"","parse-names":false,"suffix":""},{"dropping-particle":"","family":"Alphandery","given":"E.","non-dropping-particle":"","parse-names":false,"suffix":""},{"dropping-particle":"","family":"Gelabert","given":"A.","non-dropping-particle":"","parse-names":false,"suffix":""},{"dropping-particle":"","family":"Cartigny","given":"P.","non-dropping-particle":"","parse-names":false,"suffix":""},{"dropping-particle":"","family":"Ona-Nguema","given":"G.","non-dropping-particle":"","parse-names":false,"suffix":""},{"dropping-particle":"","family":"Chebbi","given":"I.","non-dropping-particle":"","parse-names":false,"suffix":""}],"container-title":"Science","id":"ITEM-1","issue":"6286","issued":{"date-parts":[["2016"]]},"page":"705-708","title":"Mass-dependent and -independent signature of Fe isotopes in magnetotactic bacteria","type":"article-journal","volume":"352"},"uris":["http://www.mendeley.com/documents/?uuid=0e007812-2efd-4eca-ac33-696a8c74bc05"]}],"mendeley":{"formattedCitation":"&lt;sup&gt;20&lt;/sup&gt;","plainTextFormattedCitation":"20"},"properties":{"noteIndex":0},"schema":"https://github.com/citation-style-language/schema/raw/master/csl-citation.json"}</w:instrText>
      </w:r>
      <w:r w:rsidR="004C39CD">
        <w:rPr>
          <w:rFonts w:asciiTheme="majorHAnsi" w:hAnsiTheme="majorHAnsi" w:cstheme="majorHAnsi"/>
        </w:rPr>
        <w:fldChar w:fldCharType="separate"/>
      </w:r>
      <w:r w:rsidR="004C39CD" w:rsidRPr="004C39CD">
        <w:rPr>
          <w:rFonts w:asciiTheme="majorHAnsi" w:hAnsiTheme="majorHAnsi" w:cstheme="majorHAnsi"/>
          <w:noProof/>
          <w:vertAlign w:val="superscript"/>
        </w:rPr>
        <w:t>20</w:t>
      </w:r>
      <w:r w:rsidR="004C39CD">
        <w:rPr>
          <w:rFonts w:asciiTheme="majorHAnsi" w:hAnsiTheme="majorHAnsi" w:cstheme="majorHAnsi"/>
        </w:rPr>
        <w:fldChar w:fldCharType="end"/>
      </w:r>
      <w:r w:rsidR="004C39CD">
        <w:rPr>
          <w:rFonts w:asciiTheme="majorHAnsi" w:hAnsiTheme="majorHAnsi" w:cstheme="majorHAnsi"/>
        </w:rPr>
        <w:t xml:space="preserve">. </w:t>
      </w:r>
      <w:r w:rsidR="0087472C">
        <w:rPr>
          <w:rFonts w:asciiTheme="majorHAnsi" w:hAnsiTheme="majorHAnsi" w:cstheme="majorHAnsi"/>
        </w:rPr>
        <w:t>Search for differences</w:t>
      </w:r>
      <w:r w:rsidR="009D74FB">
        <w:rPr>
          <w:rFonts w:asciiTheme="majorHAnsi" w:hAnsiTheme="majorHAnsi" w:cstheme="majorHAnsi"/>
        </w:rPr>
        <w:t xml:space="preserve"> could be tested through further experimentation in mice with variatio</w:t>
      </w:r>
      <w:r w:rsidR="008B176F">
        <w:rPr>
          <w:rFonts w:asciiTheme="majorHAnsi" w:hAnsiTheme="majorHAnsi" w:cstheme="majorHAnsi"/>
        </w:rPr>
        <w:t xml:space="preserve">ns of Ac-225 / Ac-227 dose in a </w:t>
      </w:r>
      <w:r w:rsidR="008D6E74">
        <w:rPr>
          <w:rFonts w:asciiTheme="majorHAnsi" w:hAnsiTheme="majorHAnsi" w:cstheme="majorHAnsi"/>
        </w:rPr>
        <w:t>weak ligand, such as citrate,</w:t>
      </w:r>
      <w:r w:rsidR="009D74FB">
        <w:rPr>
          <w:rFonts w:asciiTheme="majorHAnsi" w:hAnsiTheme="majorHAnsi" w:cstheme="majorHAnsi"/>
        </w:rPr>
        <w:t xml:space="preserve"> to pr</w:t>
      </w:r>
      <w:r w:rsidR="008B176F">
        <w:rPr>
          <w:rFonts w:asciiTheme="majorHAnsi" w:hAnsiTheme="majorHAnsi" w:cstheme="majorHAnsi"/>
        </w:rPr>
        <w:t xml:space="preserve">omote </w:t>
      </w:r>
      <w:proofErr w:type="spellStart"/>
      <w:r w:rsidR="008B176F">
        <w:rPr>
          <w:rFonts w:asciiTheme="majorHAnsi" w:hAnsiTheme="majorHAnsi" w:cstheme="majorHAnsi"/>
        </w:rPr>
        <w:t>biomolecular</w:t>
      </w:r>
      <w:proofErr w:type="spellEnd"/>
      <w:r w:rsidR="008B176F">
        <w:rPr>
          <w:rFonts w:asciiTheme="majorHAnsi" w:hAnsiTheme="majorHAnsi" w:cstheme="majorHAnsi"/>
        </w:rPr>
        <w:t xml:space="preserve"> scavenging.</w:t>
      </w:r>
    </w:p>
    <w:p w14:paraId="1B362D0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CONCLUSIONS</w:t>
      </w:r>
    </w:p>
    <w:p w14:paraId="6C59A370" w14:textId="5DD5D502" w:rsidR="00677A09" w:rsidRPr="00433C44" w:rsidRDefault="00AA5D27" w:rsidP="00433C44">
      <w:pPr>
        <w:spacing w:line="480" w:lineRule="auto"/>
        <w:jc w:val="both"/>
        <w:rPr>
          <w:rFonts w:asciiTheme="majorHAnsi" w:hAnsiTheme="majorHAnsi" w:cstheme="majorHAnsi"/>
        </w:rPr>
      </w:pPr>
      <w:r>
        <w:rPr>
          <w:rFonts w:asciiTheme="majorHAnsi" w:hAnsiTheme="majorHAnsi" w:cstheme="majorHAnsi"/>
        </w:rPr>
        <w:lastRenderedPageBreak/>
        <w:t xml:space="preserve">Considering the limitations of this study only collecting raw data out to 6-10 days, the dose extrapolation seems very promising for utilization of accelerator generated Ac-225 with longer and large scale studies. </w:t>
      </w:r>
      <w:r w:rsidR="00433C44">
        <w:rPr>
          <w:rFonts w:asciiTheme="majorHAnsi" w:hAnsiTheme="majorHAnsi" w:cstheme="majorHAnsi"/>
        </w:rPr>
        <w:t>While Ac-227 constructs do seem to create a measurable absorbed dose over extended periods of time, the cumulative dose does not become significant for years, and may still be beneficial for late-stage patients.</w:t>
      </w:r>
      <w:r w:rsidR="00433C44">
        <w:rPr>
          <w:rFonts w:asciiTheme="majorHAnsi" w:hAnsiTheme="majorHAnsi" w:cstheme="majorHAnsi"/>
        </w:rPr>
        <w:t xml:space="preserve"> </w:t>
      </w: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14:paraId="45DFFB2B"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14:paraId="2CF0D5B2" w14:textId="6789F4ED" w:rsidR="004C39CD" w:rsidRPr="004C39CD" w:rsidRDefault="004B0392" w:rsidP="004C39CD">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4C39CD" w:rsidRPr="004C39CD">
        <w:rPr>
          <w:rFonts w:ascii="Calibri Light" w:hAnsi="Calibri Light" w:cs="Calibri Light"/>
          <w:noProof/>
          <w:szCs w:val="24"/>
        </w:rPr>
        <w:t xml:space="preserve">1. </w:t>
      </w:r>
      <w:r w:rsidR="004C39CD" w:rsidRPr="004C39CD">
        <w:rPr>
          <w:rFonts w:ascii="Calibri Light" w:hAnsi="Calibri Light" w:cs="Calibri Light"/>
          <w:noProof/>
          <w:szCs w:val="24"/>
        </w:rPr>
        <w:tab/>
        <w:t xml:space="preserve">McDevitt MR, Ma D, Lai L, et al. Tumor Therapy with Targeted Atomic Nanogenerators. </w:t>
      </w:r>
      <w:r w:rsidR="004C39CD" w:rsidRPr="004C39CD">
        <w:rPr>
          <w:rFonts w:ascii="Calibri Light" w:hAnsi="Calibri Light" w:cs="Calibri Light"/>
          <w:i/>
          <w:iCs/>
          <w:noProof/>
          <w:szCs w:val="24"/>
        </w:rPr>
        <w:t>Science (80- )</w:t>
      </w:r>
      <w:r w:rsidR="004C39CD" w:rsidRPr="004C39CD">
        <w:rPr>
          <w:rFonts w:ascii="Calibri Light" w:hAnsi="Calibri Light" w:cs="Calibri Light"/>
          <w:noProof/>
          <w:szCs w:val="24"/>
        </w:rPr>
        <w:t>. 2001;294(5546):1537-1540. doi:10.1126/science.1064126</w:t>
      </w:r>
    </w:p>
    <w:p w14:paraId="2E42DB4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2. </w:t>
      </w:r>
      <w:r w:rsidRPr="004C39CD">
        <w:rPr>
          <w:rFonts w:ascii="Calibri Light" w:hAnsi="Calibri Light" w:cs="Calibri Light"/>
          <w:noProof/>
          <w:szCs w:val="24"/>
        </w:rPr>
        <w:tab/>
        <w:t xml:space="preserve">Vegt E, de Jong M, Wetzels JFM, et al. Renal Toxicity of Radiolabeled Peptides and Antibody Fragments: Mechanisms, Impact on Radionuclide Therapy, and Strategies for Prevention. </w:t>
      </w:r>
      <w:r w:rsidRPr="004C39CD">
        <w:rPr>
          <w:rFonts w:ascii="Calibri Light" w:hAnsi="Calibri Light" w:cs="Calibri Light"/>
          <w:i/>
          <w:iCs/>
          <w:noProof/>
          <w:szCs w:val="24"/>
        </w:rPr>
        <w:t>J Nucl Med</w:t>
      </w:r>
      <w:r w:rsidRPr="004C39CD">
        <w:rPr>
          <w:rFonts w:ascii="Calibri Light" w:hAnsi="Calibri Light" w:cs="Calibri Light"/>
          <w:noProof/>
          <w:szCs w:val="24"/>
        </w:rPr>
        <w:t>. 2010. doi:10.2967/jnumed.110.075101</w:t>
      </w:r>
    </w:p>
    <w:p w14:paraId="55E3869D"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3. </w:t>
      </w:r>
      <w:r w:rsidRPr="004C39CD">
        <w:rPr>
          <w:rFonts w:ascii="Calibri Light" w:hAnsi="Calibri Light" w:cs="Calibri Light"/>
          <w:noProof/>
          <w:szCs w:val="24"/>
        </w:rPr>
        <w:tab/>
        <w:t xml:space="preserve">Podoll AS, Amsbaugh MJ. Radiation-associated Kidney Injury. In: </w:t>
      </w:r>
      <w:r w:rsidRPr="004C39CD">
        <w:rPr>
          <w:rFonts w:ascii="Calibri Light" w:hAnsi="Calibri Light" w:cs="Calibri Light"/>
          <w:i/>
          <w:iCs/>
          <w:noProof/>
          <w:szCs w:val="24"/>
        </w:rPr>
        <w:t>Renal Disease in Cancer Patients</w:t>
      </w:r>
      <w:r w:rsidRPr="004C39CD">
        <w:rPr>
          <w:rFonts w:ascii="Calibri Light" w:hAnsi="Calibri Light" w:cs="Calibri Light"/>
          <w:noProof/>
          <w:szCs w:val="24"/>
        </w:rPr>
        <w:t>. ; 2013. doi:10.1016/B978-0-12-415948-8.00007-6</w:t>
      </w:r>
    </w:p>
    <w:p w14:paraId="14B021FC"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4. </w:t>
      </w:r>
      <w:r w:rsidRPr="004C39CD">
        <w:rPr>
          <w:rFonts w:ascii="Calibri Light" w:hAnsi="Calibri Light" w:cs="Calibri Light"/>
          <w:noProof/>
          <w:szCs w:val="24"/>
        </w:rPr>
        <w:tab/>
        <w:t xml:space="preserve">A. Scheinberg D, R. McDevitt M. Actinium-225 in Targeted Alpha-Particle Therapeutic Applications. </w:t>
      </w:r>
      <w:r w:rsidRPr="004C39CD">
        <w:rPr>
          <w:rFonts w:ascii="Calibri Light" w:hAnsi="Calibri Light" w:cs="Calibri Light"/>
          <w:i/>
          <w:iCs/>
          <w:noProof/>
          <w:szCs w:val="24"/>
        </w:rPr>
        <w:t>Curr Radiopharm</w:t>
      </w:r>
      <w:r w:rsidRPr="004C39CD">
        <w:rPr>
          <w:rFonts w:ascii="Calibri Light" w:hAnsi="Calibri Light" w:cs="Calibri Light"/>
          <w:noProof/>
          <w:szCs w:val="24"/>
        </w:rPr>
        <w:t>. 2012. doi:10.2174/1874471011104040306</w:t>
      </w:r>
    </w:p>
    <w:p w14:paraId="44147812"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5. </w:t>
      </w:r>
      <w:r w:rsidRPr="004C39CD">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4C39CD">
        <w:rPr>
          <w:rFonts w:ascii="Calibri Light" w:hAnsi="Calibri Light" w:cs="Calibri Light"/>
          <w:i/>
          <w:iCs/>
          <w:noProof/>
          <w:szCs w:val="24"/>
        </w:rPr>
        <w:t>J Nucl Med</w:t>
      </w:r>
      <w:r w:rsidRPr="004C39CD">
        <w:rPr>
          <w:rFonts w:ascii="Calibri Light" w:hAnsi="Calibri Light" w:cs="Calibri Light"/>
          <w:noProof/>
          <w:szCs w:val="24"/>
        </w:rPr>
        <w:t>. 2017;58(10):1624-1631. doi:10.2967/jnumed.117.191395</w:t>
      </w:r>
    </w:p>
    <w:p w14:paraId="604F14D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6. </w:t>
      </w:r>
      <w:r w:rsidRPr="004C39CD">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4C39CD">
        <w:rPr>
          <w:rFonts w:ascii="Calibri Light" w:hAnsi="Calibri Light" w:cs="Calibri Light"/>
          <w:i/>
          <w:iCs/>
          <w:noProof/>
          <w:szCs w:val="24"/>
        </w:rPr>
        <w:t>Ann ICRP</w:t>
      </w:r>
      <w:r w:rsidRPr="004C39CD">
        <w:rPr>
          <w:rFonts w:ascii="Calibri Light" w:hAnsi="Calibri Light" w:cs="Calibri Light"/>
          <w:noProof/>
          <w:szCs w:val="24"/>
        </w:rPr>
        <w:t>. 2012;41(1-2):1-322. doi:10.1016/j.icrp.2012.02.001</w:t>
      </w:r>
    </w:p>
    <w:p w14:paraId="54E069A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7. </w:t>
      </w:r>
      <w:r w:rsidRPr="004C39CD">
        <w:rPr>
          <w:rFonts w:ascii="Calibri Light" w:hAnsi="Calibri Light" w:cs="Calibri Light"/>
          <w:noProof/>
          <w:szCs w:val="24"/>
        </w:rPr>
        <w:tab/>
        <w:t xml:space="preserve">Lengana T, Mahapane J, Lawal I, et al. 225Ac-PSMA-617 in chemotherapy-naive patients with advanced prostate cancer: a pilot study. </w:t>
      </w:r>
      <w:r w:rsidRPr="004C39CD">
        <w:rPr>
          <w:rFonts w:ascii="Calibri Light" w:hAnsi="Calibri Light" w:cs="Calibri Light"/>
          <w:i/>
          <w:iCs/>
          <w:noProof/>
          <w:szCs w:val="24"/>
        </w:rPr>
        <w:t>Eur J Nucl Med Mol Imaging</w:t>
      </w:r>
      <w:r w:rsidRPr="004C39CD">
        <w:rPr>
          <w:rFonts w:ascii="Calibri Light" w:hAnsi="Calibri Light" w:cs="Calibri Light"/>
          <w:noProof/>
          <w:szCs w:val="24"/>
        </w:rPr>
        <w:t>. 2018;46(1):129-138. doi:10.1007/s00259-018-4167-0</w:t>
      </w:r>
    </w:p>
    <w:p w14:paraId="40431AA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8. </w:t>
      </w:r>
      <w:r w:rsidRPr="004C39CD">
        <w:rPr>
          <w:rFonts w:ascii="Calibri Light" w:hAnsi="Calibri Light" w:cs="Calibri Light"/>
          <w:noProof/>
          <w:szCs w:val="24"/>
        </w:rPr>
        <w:tab/>
        <w:t xml:space="preserve">Kratochwil C, Schmidt K, Afshar-Oromieh A, et al. Targeted alpha therapy of mCRPC: Dosimetry estimate of 213Bismuth-PSMA-617. </w:t>
      </w:r>
      <w:r w:rsidRPr="004C39CD">
        <w:rPr>
          <w:rFonts w:ascii="Calibri Light" w:hAnsi="Calibri Light" w:cs="Calibri Light"/>
          <w:i/>
          <w:iCs/>
          <w:noProof/>
          <w:szCs w:val="24"/>
        </w:rPr>
        <w:t>Eur J Nucl Med Mol Imaging</w:t>
      </w:r>
      <w:r w:rsidRPr="004C39CD">
        <w:rPr>
          <w:rFonts w:ascii="Calibri Light" w:hAnsi="Calibri Light" w:cs="Calibri Light"/>
          <w:noProof/>
          <w:szCs w:val="24"/>
        </w:rPr>
        <w:t xml:space="preserve">. 2018;45(1):31-37. </w:t>
      </w:r>
      <w:r w:rsidRPr="004C39CD">
        <w:rPr>
          <w:rFonts w:ascii="Calibri Light" w:hAnsi="Calibri Light" w:cs="Calibri Light"/>
          <w:noProof/>
          <w:szCs w:val="24"/>
        </w:rPr>
        <w:lastRenderedPageBreak/>
        <w:t>doi:10.1007/s00259-017-3817-y</w:t>
      </w:r>
    </w:p>
    <w:p w14:paraId="6962DF85"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9. </w:t>
      </w:r>
      <w:r w:rsidRPr="004C39CD">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4C39CD">
        <w:rPr>
          <w:rFonts w:ascii="Calibri Light" w:hAnsi="Calibri Light" w:cs="Calibri Light"/>
          <w:i/>
          <w:iCs/>
          <w:noProof/>
          <w:szCs w:val="24"/>
        </w:rPr>
        <w:t>Int J Radiat Oncol Biol Phys</w:t>
      </w:r>
      <w:r w:rsidRPr="004C39CD">
        <w:rPr>
          <w:rFonts w:ascii="Calibri Light" w:hAnsi="Calibri Light" w:cs="Calibri Light"/>
          <w:noProof/>
          <w:szCs w:val="24"/>
        </w:rPr>
        <w:t>. 2006;64(5):1503-1512. doi:10.1016/j.ijrobp.2005.11.036</w:t>
      </w:r>
    </w:p>
    <w:p w14:paraId="1125E383"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10. </w:t>
      </w:r>
      <w:r w:rsidRPr="004C39CD">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4C39CD">
        <w:rPr>
          <w:rFonts w:ascii="Calibri Light" w:hAnsi="Calibri Light" w:cs="Calibri Light"/>
          <w:i/>
          <w:iCs/>
          <w:noProof/>
          <w:szCs w:val="24"/>
        </w:rPr>
        <w:t>EJNMMI Res</w:t>
      </w:r>
      <w:r w:rsidRPr="004C39CD">
        <w:rPr>
          <w:rFonts w:ascii="Calibri Light" w:hAnsi="Calibri Light" w:cs="Calibri Light"/>
          <w:noProof/>
          <w:szCs w:val="24"/>
        </w:rPr>
        <w:t>. 2017;7. doi:10.1186/s13550-017-0303-2</w:t>
      </w:r>
    </w:p>
    <w:p w14:paraId="7595C52B"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11. </w:t>
      </w:r>
      <w:r w:rsidRPr="004C39CD">
        <w:rPr>
          <w:rFonts w:ascii="Calibri Light" w:hAnsi="Calibri Light" w:cs="Calibri Light"/>
          <w:noProof/>
          <w:szCs w:val="24"/>
        </w:rPr>
        <w:tab/>
        <w:t xml:space="preserve">Sharma SK, Chow A, Monette S, et al. Fc-mediated anomalous biodistribution of therapeutic antibodies in immunodeficient mouse models. </w:t>
      </w:r>
      <w:r w:rsidRPr="004C39CD">
        <w:rPr>
          <w:rFonts w:ascii="Calibri Light" w:hAnsi="Calibri Light" w:cs="Calibri Light"/>
          <w:i/>
          <w:iCs/>
          <w:noProof/>
          <w:szCs w:val="24"/>
        </w:rPr>
        <w:t>Cancer Res</w:t>
      </w:r>
      <w:r w:rsidRPr="004C39CD">
        <w:rPr>
          <w:rFonts w:ascii="Calibri Light" w:hAnsi="Calibri Light" w:cs="Calibri Light"/>
          <w:noProof/>
          <w:szCs w:val="24"/>
        </w:rPr>
        <w:t>. 2018;78(7):1820-1832. doi:10.1158/0008-5472.CAN-17-1958</w:t>
      </w:r>
    </w:p>
    <w:p w14:paraId="0DBA05C0"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12. </w:t>
      </w:r>
      <w:r w:rsidRPr="004C39CD">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4C39CD">
        <w:rPr>
          <w:rFonts w:ascii="Calibri Light" w:hAnsi="Calibri Light" w:cs="Calibri Light"/>
          <w:i/>
          <w:iCs/>
          <w:noProof/>
          <w:szCs w:val="24"/>
        </w:rPr>
        <w:t>Sci Rep</w:t>
      </w:r>
      <w:r w:rsidRPr="004C39CD">
        <w:rPr>
          <w:rFonts w:ascii="Calibri Light" w:hAnsi="Calibri Light" w:cs="Calibri Light"/>
          <w:noProof/>
          <w:szCs w:val="24"/>
        </w:rPr>
        <w:t>. 2018;8(1):2-10. doi:10.1038/s41598-018-22511-6</w:t>
      </w:r>
    </w:p>
    <w:p w14:paraId="347B456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13. </w:t>
      </w:r>
      <w:r w:rsidRPr="004C39CD">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4C39CD">
        <w:rPr>
          <w:rFonts w:ascii="Calibri Light" w:hAnsi="Calibri Light" w:cs="Calibri Light"/>
          <w:i/>
          <w:iCs/>
          <w:noProof/>
          <w:szCs w:val="24"/>
        </w:rPr>
        <w:t>Dose-Response</w:t>
      </w:r>
      <w:r w:rsidRPr="004C39CD">
        <w:rPr>
          <w:rFonts w:ascii="Calibri Light" w:hAnsi="Calibri Light" w:cs="Calibri Light"/>
          <w:noProof/>
          <w:szCs w:val="24"/>
        </w:rPr>
        <w:t>. 2012. doi:10.2203/dose-response.12-014.Feinendegen</w:t>
      </w:r>
    </w:p>
    <w:p w14:paraId="78236D04"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14. </w:t>
      </w:r>
      <w:r w:rsidRPr="004C39CD">
        <w:rPr>
          <w:rFonts w:ascii="Calibri Light" w:hAnsi="Calibri Light" w:cs="Calibri Light"/>
          <w:noProof/>
          <w:szCs w:val="24"/>
        </w:rPr>
        <w:tab/>
        <w:t xml:space="preserve">Higley K, Real A, Chambers D. Annals of the ICRP Annals of the ICRP. </w:t>
      </w:r>
      <w:r w:rsidRPr="004C39CD">
        <w:rPr>
          <w:rFonts w:ascii="Calibri Light" w:hAnsi="Calibri Light" w:cs="Calibri Light"/>
          <w:i/>
          <w:iCs/>
          <w:noProof/>
          <w:szCs w:val="24"/>
        </w:rPr>
        <w:t>Ann ICRP</w:t>
      </w:r>
      <w:r w:rsidRPr="004C39CD">
        <w:rPr>
          <w:rFonts w:ascii="Calibri Light" w:hAnsi="Calibri Light" w:cs="Calibri Light"/>
          <w:noProof/>
          <w:szCs w:val="24"/>
        </w:rPr>
        <w:t>. 2018;ICRP ref:</w:t>
      </w:r>
    </w:p>
    <w:p w14:paraId="021A2D6A"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15. </w:t>
      </w:r>
      <w:r w:rsidRPr="004C39CD">
        <w:rPr>
          <w:rFonts w:ascii="Calibri Light" w:hAnsi="Calibri Light" w:cs="Calibri Light"/>
          <w:noProof/>
          <w:szCs w:val="24"/>
        </w:rPr>
        <w:tab/>
        <w:t xml:space="preserve">de Kruijff RM, Wolterbeek HT, Denkova AG. A critical review of alpha radionuclide therapy-how to deal with recoiling daughters? </w:t>
      </w:r>
      <w:r w:rsidRPr="004C39CD">
        <w:rPr>
          <w:rFonts w:ascii="Calibri Light" w:hAnsi="Calibri Light" w:cs="Calibri Light"/>
          <w:i/>
          <w:iCs/>
          <w:noProof/>
          <w:szCs w:val="24"/>
        </w:rPr>
        <w:t>Pharmaceuticals</w:t>
      </w:r>
      <w:r w:rsidRPr="004C39CD">
        <w:rPr>
          <w:rFonts w:ascii="Calibri Light" w:hAnsi="Calibri Light" w:cs="Calibri Light"/>
          <w:noProof/>
          <w:szCs w:val="24"/>
        </w:rPr>
        <w:t>. 2015. doi:10.3390/ph8020321</w:t>
      </w:r>
    </w:p>
    <w:p w14:paraId="414CF1D5"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16. </w:t>
      </w:r>
      <w:r w:rsidRPr="004C39CD">
        <w:rPr>
          <w:rFonts w:ascii="Calibri Light" w:hAnsi="Calibri Light" w:cs="Calibri Light"/>
          <w:noProof/>
          <w:szCs w:val="24"/>
        </w:rPr>
        <w:tab/>
        <w:t xml:space="preserve">Jaggi JS, Kappel BJ, McDevitt MR, et al. Efforts to control the errant products of a targeted in vivo generator. </w:t>
      </w:r>
      <w:r w:rsidRPr="004C39CD">
        <w:rPr>
          <w:rFonts w:ascii="Calibri Light" w:hAnsi="Calibri Light" w:cs="Calibri Light"/>
          <w:i/>
          <w:iCs/>
          <w:noProof/>
          <w:szCs w:val="24"/>
        </w:rPr>
        <w:t>Cancer Res</w:t>
      </w:r>
      <w:r w:rsidRPr="004C39CD">
        <w:rPr>
          <w:rFonts w:ascii="Calibri Light" w:hAnsi="Calibri Light" w:cs="Calibri Light"/>
          <w:noProof/>
          <w:szCs w:val="24"/>
        </w:rPr>
        <w:t>. 2005;65(11):4888-4895. doi:10.1158/0008-5472.CAN-04-3096</w:t>
      </w:r>
    </w:p>
    <w:p w14:paraId="3FE6464F"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lastRenderedPageBreak/>
        <w:t xml:space="preserve">17. </w:t>
      </w:r>
      <w:r w:rsidRPr="004C39CD">
        <w:rPr>
          <w:rFonts w:ascii="Calibri Light" w:hAnsi="Calibri Light" w:cs="Calibri Light"/>
          <w:noProof/>
          <w:szCs w:val="24"/>
        </w:rPr>
        <w:tab/>
        <w:t xml:space="preserve">Keenan SW, DeBruyn JM. Changes to vertebrate tissue stable isotope (δ15N) composition during decomposition. </w:t>
      </w:r>
      <w:r w:rsidRPr="004C39CD">
        <w:rPr>
          <w:rFonts w:ascii="Calibri Light" w:hAnsi="Calibri Light" w:cs="Calibri Light"/>
          <w:i/>
          <w:iCs/>
          <w:noProof/>
          <w:szCs w:val="24"/>
        </w:rPr>
        <w:t>Sci Rep</w:t>
      </w:r>
      <w:r w:rsidRPr="004C39CD">
        <w:rPr>
          <w:rFonts w:ascii="Calibri Light" w:hAnsi="Calibri Light" w:cs="Calibri Light"/>
          <w:noProof/>
          <w:szCs w:val="24"/>
        </w:rPr>
        <w:t>. 2019;9(1):9929. doi:10.1038/s41598-019-46368-5</w:t>
      </w:r>
    </w:p>
    <w:p w14:paraId="00240B96"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18. </w:t>
      </w:r>
      <w:r w:rsidRPr="004C39CD">
        <w:rPr>
          <w:rFonts w:ascii="Calibri Light" w:hAnsi="Calibri Light" w:cs="Calibri Light"/>
          <w:noProof/>
          <w:szCs w:val="24"/>
        </w:rPr>
        <w:tab/>
        <w:t xml:space="preserve">Moynier F, Fujii T. Calcium isotope fractionation between aqueous compounds relevant to low-temperature geochemistry, biology and medicine. </w:t>
      </w:r>
      <w:r w:rsidRPr="004C39CD">
        <w:rPr>
          <w:rFonts w:ascii="Calibri Light" w:hAnsi="Calibri Light" w:cs="Calibri Light"/>
          <w:i/>
          <w:iCs/>
          <w:noProof/>
          <w:szCs w:val="24"/>
        </w:rPr>
        <w:t>Sci Rep</w:t>
      </w:r>
      <w:r w:rsidRPr="004C39CD">
        <w:rPr>
          <w:rFonts w:ascii="Calibri Light" w:hAnsi="Calibri Light" w:cs="Calibri Light"/>
          <w:noProof/>
          <w:szCs w:val="24"/>
        </w:rPr>
        <w:t>. 2017. doi:10.1038/srep44255</w:t>
      </w:r>
    </w:p>
    <w:p w14:paraId="01DD2687"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19. </w:t>
      </w:r>
      <w:r w:rsidRPr="004C39CD">
        <w:rPr>
          <w:rFonts w:ascii="Calibri Light" w:hAnsi="Calibri Light" w:cs="Calibri Light"/>
          <w:noProof/>
          <w:szCs w:val="24"/>
        </w:rPr>
        <w:tab/>
        <w:t xml:space="preserve">Moynier F, Fujii T. Theoretical isotopic fractionation of magnesium between chlorophylls. </w:t>
      </w:r>
      <w:r w:rsidRPr="004C39CD">
        <w:rPr>
          <w:rFonts w:ascii="Calibri Light" w:hAnsi="Calibri Light" w:cs="Calibri Light"/>
          <w:i/>
          <w:iCs/>
          <w:noProof/>
          <w:szCs w:val="24"/>
        </w:rPr>
        <w:t>Sci Rep</w:t>
      </w:r>
      <w:r w:rsidRPr="004C39CD">
        <w:rPr>
          <w:rFonts w:ascii="Calibri Light" w:hAnsi="Calibri Light" w:cs="Calibri Light"/>
          <w:noProof/>
          <w:szCs w:val="24"/>
        </w:rPr>
        <w:t>. 2017;7(1):1-6. doi:10.1038/s41598-017-07305-6</w:t>
      </w:r>
    </w:p>
    <w:p w14:paraId="1C1BC2E4"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szCs w:val="24"/>
        </w:rPr>
      </w:pPr>
      <w:r w:rsidRPr="004C39CD">
        <w:rPr>
          <w:rFonts w:ascii="Calibri Light" w:hAnsi="Calibri Light" w:cs="Calibri Light"/>
          <w:noProof/>
          <w:szCs w:val="24"/>
        </w:rPr>
        <w:t xml:space="preserve">20. </w:t>
      </w:r>
      <w:r w:rsidRPr="004C39CD">
        <w:rPr>
          <w:rFonts w:ascii="Calibri Light" w:hAnsi="Calibri Light" w:cs="Calibri Light"/>
          <w:noProof/>
          <w:szCs w:val="24"/>
        </w:rPr>
        <w:tab/>
        <w:t xml:space="preserve">Louvat P, Busigny V, Guyot F, et al. Mass-dependent and -independent signature of Fe isotopes in magnetotactic bacteria. </w:t>
      </w:r>
      <w:r w:rsidRPr="004C39CD">
        <w:rPr>
          <w:rFonts w:ascii="Calibri Light" w:hAnsi="Calibri Light" w:cs="Calibri Light"/>
          <w:i/>
          <w:iCs/>
          <w:noProof/>
          <w:szCs w:val="24"/>
        </w:rPr>
        <w:t>Science (80- )</w:t>
      </w:r>
      <w:r w:rsidRPr="004C39CD">
        <w:rPr>
          <w:rFonts w:ascii="Calibri Light" w:hAnsi="Calibri Light" w:cs="Calibri Light"/>
          <w:noProof/>
          <w:szCs w:val="24"/>
        </w:rPr>
        <w:t>. 2016;352(6286):705-708. doi:10.1126/science.aad7632</w:t>
      </w:r>
    </w:p>
    <w:p w14:paraId="70106F5E" w14:textId="77777777" w:rsidR="004C39CD" w:rsidRPr="004C39CD" w:rsidRDefault="004C39CD" w:rsidP="004C39CD">
      <w:pPr>
        <w:widowControl w:val="0"/>
        <w:autoSpaceDE w:val="0"/>
        <w:autoSpaceDN w:val="0"/>
        <w:adjustRightInd w:val="0"/>
        <w:spacing w:line="480" w:lineRule="auto"/>
        <w:ind w:left="640" w:hanging="640"/>
        <w:rPr>
          <w:rFonts w:ascii="Calibri Light" w:hAnsi="Calibri Light" w:cs="Calibri Light"/>
          <w:noProof/>
        </w:rPr>
      </w:pPr>
      <w:r w:rsidRPr="004C39CD">
        <w:rPr>
          <w:rFonts w:ascii="Calibri Light" w:hAnsi="Calibri Light" w:cs="Calibri Light"/>
          <w:noProof/>
          <w:szCs w:val="24"/>
        </w:rPr>
        <w:t xml:space="preserve">21. </w:t>
      </w:r>
      <w:r w:rsidRPr="004C39CD">
        <w:rPr>
          <w:rFonts w:ascii="Calibri Light" w:hAnsi="Calibri Light" w:cs="Calibri Light"/>
          <w:noProof/>
          <w:szCs w:val="24"/>
        </w:rPr>
        <w:tab/>
        <w:t xml:space="preserve">U.S.NRC. </w:t>
      </w:r>
      <w:r w:rsidRPr="004C39CD">
        <w:rPr>
          <w:rFonts w:ascii="Calibri Light" w:hAnsi="Calibri Light" w:cs="Calibri Light"/>
          <w:i/>
          <w:iCs/>
          <w:noProof/>
          <w:szCs w:val="24"/>
        </w:rPr>
        <w:t>NRC Regulations 10 CFR Subpart C--Occupational Dose Limits--20.1201</w:t>
      </w:r>
      <w:r w:rsidRPr="004C39CD">
        <w:rPr>
          <w:rFonts w:ascii="Calibri Light" w:hAnsi="Calibri Light" w:cs="Calibri Light"/>
          <w:noProof/>
          <w:szCs w:val="24"/>
        </w:rPr>
        <w:t>. https://www.nrc.gov/reading-rm/doc-collections/cfr/part020/part020-1201.html.</w:t>
      </w:r>
    </w:p>
    <w:p w14:paraId="2453C184" w14:textId="77777777"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14:paraId="3C33A099" w14:textId="77777777" w:rsidR="00DC487F" w:rsidRPr="00C06710" w:rsidRDefault="00DC487F" w:rsidP="00504374">
      <w:pPr>
        <w:spacing w:line="480" w:lineRule="auto"/>
        <w:jc w:val="both"/>
        <w:rPr>
          <w:rFonts w:asciiTheme="majorHAnsi" w:hAnsiTheme="majorHAnsi" w:cstheme="majorHAnsi"/>
        </w:rPr>
      </w:pPr>
    </w:p>
    <w:p w14:paraId="23A4D78A"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2D5ABDD7" w14:textId="5084AB2B" w:rsidR="0036205C" w:rsidRDefault="0036205C">
      <w:pPr>
        <w:rPr>
          <w:rFonts w:asciiTheme="majorHAnsi" w:hAnsiTheme="majorHAnsi" w:cstheme="majorHAnsi"/>
          <w:b/>
          <w:sz w:val="24"/>
        </w:rPr>
      </w:pPr>
      <w:r>
        <w:rPr>
          <w:rFonts w:asciiTheme="majorHAnsi" w:hAnsiTheme="majorHAnsi" w:cstheme="majorHAnsi"/>
          <w:b/>
          <w:sz w:val="24"/>
        </w:rPr>
        <w:lastRenderedPageBreak/>
        <w:t>TABLES</w:t>
      </w:r>
    </w:p>
    <w:p w14:paraId="0CA7715B" w14:textId="77777777" w:rsidR="0036205C" w:rsidRDefault="0036205C">
      <w:pPr>
        <w:rPr>
          <w:rFonts w:asciiTheme="majorHAnsi" w:hAnsiTheme="majorHAnsi" w:cstheme="majorHAnsi"/>
          <w:b/>
          <w:sz w:val="24"/>
        </w:rPr>
      </w:pPr>
    </w:p>
    <w:p w14:paraId="103C2E54" w14:textId="6E230506" w:rsidR="0036205C" w:rsidRDefault="00C2163A">
      <w:pPr>
        <w:rPr>
          <w:rFonts w:asciiTheme="majorHAnsi" w:hAnsiTheme="majorHAnsi" w:cstheme="majorHAnsi"/>
          <w:b/>
          <w:sz w:val="24"/>
        </w:rPr>
      </w:pPr>
      <w:r>
        <w:rPr>
          <w:rFonts w:asciiTheme="majorHAnsi" w:hAnsiTheme="majorHAnsi" w:cstheme="majorHAnsi"/>
          <w:b/>
          <w:sz w:val="24"/>
        </w:rPr>
        <w:pict w14:anchorId="728A61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3pt">
            <v:imagedata r:id="rId10" o:title="table1"/>
          </v:shape>
        </w:pict>
      </w:r>
      <w:r w:rsidR="0036205C">
        <w:rPr>
          <w:rFonts w:asciiTheme="majorHAnsi" w:hAnsiTheme="majorHAnsi" w:cstheme="majorHAnsi"/>
          <w:b/>
          <w:sz w:val="24"/>
        </w:rPr>
        <w:br w:type="page"/>
      </w:r>
    </w:p>
    <w:p w14:paraId="05ED8754" w14:textId="33990406"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14:paraId="046D4BDB" w14:textId="77777777"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12CE8A5D" wp14:editId="189EC8EF">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14:paraId="5164D88D" w14:textId="77777777"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14:paraId="0471A872" w14:textId="77777777"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CE8A5D"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64D88D" w14:textId="77777777"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471A872" w14:textId="77777777" w:rsidR="00DE4F74" w:rsidRPr="004C5CCC" w:rsidRDefault="00DE4F74" w:rsidP="00DE4F74">
                        <w:pPr>
                          <w:rPr>
                            <w:b/>
                            <w:sz w:val="32"/>
                          </w:rPr>
                        </w:pPr>
                        <w:r>
                          <w:rPr>
                            <w:b/>
                            <w:sz w:val="32"/>
                          </w:rPr>
                          <w:t>B</w:t>
                        </w:r>
                      </w:p>
                    </w:txbxContent>
                  </v:textbox>
                </v:shape>
              </v:group>
            </w:pict>
          </mc:Fallback>
        </mc:AlternateContent>
      </w:r>
    </w:p>
    <w:p w14:paraId="7003B5B8" w14:textId="77777777"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1E8F46AD" wp14:editId="79972A1E">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3737C7D8" wp14:editId="71FA888D">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14:paraId="595F57A4" w14:textId="77777777"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33557652" wp14:editId="70A8ED3F">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1BA27257" wp14:editId="42092F2C">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14:paraId="39B21BE6" w14:textId="77777777"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w:t>
      </w:r>
      <w:proofErr w:type="gramStart"/>
      <w:r w:rsidR="002F6861">
        <w:rPr>
          <w:rFonts w:asciiTheme="majorHAnsi" w:hAnsiTheme="majorHAnsi" w:cstheme="majorHAnsi"/>
        </w:rPr>
        <w:t>X(</w:t>
      </w:r>
      <w:proofErr w:type="gramEnd"/>
      <w:r w:rsidR="002F6861">
        <w:rPr>
          <w:rFonts w:asciiTheme="majorHAnsi" w:hAnsiTheme="majorHAnsi" w:cstheme="majorHAnsi"/>
        </w:rPr>
        <w:t>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14:paraId="00E520EC" w14:textId="77777777"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75639455" wp14:editId="083E698F">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12CB375" w14:textId="77777777"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14:paraId="5AED7269" w14:textId="77777777"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5D643CFC" wp14:editId="6984659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624B0288" w14:textId="77777777"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14:paraId="72ACF3D2" w14:textId="77777777" w:rsidR="00DE5EED" w:rsidRDefault="00DE5EED" w:rsidP="00504374">
      <w:pPr>
        <w:jc w:val="both"/>
        <w:rPr>
          <w:rFonts w:asciiTheme="majorHAnsi" w:hAnsiTheme="majorHAnsi" w:cstheme="majorHAnsi"/>
        </w:rPr>
      </w:pPr>
    </w:p>
    <w:p w14:paraId="7012A603" w14:textId="77777777" w:rsidR="00435035" w:rsidRDefault="00435035" w:rsidP="00504374">
      <w:pPr>
        <w:jc w:val="both"/>
        <w:rPr>
          <w:rFonts w:asciiTheme="majorHAnsi" w:hAnsiTheme="majorHAnsi" w:cstheme="majorHAnsi"/>
        </w:rPr>
      </w:pPr>
      <w:r>
        <w:rPr>
          <w:rFonts w:asciiTheme="majorHAnsi" w:hAnsiTheme="majorHAnsi" w:cstheme="majorHAnsi"/>
        </w:rPr>
        <w:br w:type="page"/>
      </w:r>
    </w:p>
    <w:p w14:paraId="1677C27E" w14:textId="77777777"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1739333C" wp14:editId="086F4A2F">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0B6D29ED" w14:textId="77777777"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14:paraId="75EE2DE1" w14:textId="77777777"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14:anchorId="307DA832" wp14:editId="5FAA45B4">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4D630733" w14:textId="77777777"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14:paraId="6B18101C" w14:textId="77777777"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14:anchorId="2240E56E" wp14:editId="2EAE7B0A">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52EE12F" w14:textId="77777777"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14:paraId="428187D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14:paraId="3A047DA6" w14:textId="09CFB178" w:rsidR="00677A09" w:rsidRDefault="00C06710" w:rsidP="00BD4A53">
      <w:pPr>
        <w:spacing w:line="480" w:lineRule="auto"/>
        <w:jc w:val="both"/>
        <w:rPr>
          <w:rFonts w:asciiTheme="majorHAnsi" w:hAnsiTheme="majorHAnsi" w:cstheme="majorHAnsi"/>
        </w:rPr>
      </w:pPr>
      <w:r>
        <w:rPr>
          <w:rFonts w:asciiTheme="majorHAnsi" w:hAnsiTheme="majorHAnsi" w:cstheme="majorHAnsi"/>
        </w:rPr>
        <w:t>The authors have no disclosures.</w:t>
      </w:r>
    </w:p>
    <w:p w14:paraId="7FD81132" w14:textId="77777777" w:rsidR="00BD4A53" w:rsidRPr="00C06710" w:rsidRDefault="00BD4A53" w:rsidP="00BD4A53">
      <w:pPr>
        <w:spacing w:line="480" w:lineRule="auto"/>
        <w:jc w:val="both"/>
        <w:rPr>
          <w:rFonts w:asciiTheme="majorHAnsi" w:hAnsiTheme="majorHAnsi" w:cstheme="majorHAnsi"/>
          <w:b/>
        </w:rPr>
      </w:pPr>
    </w:p>
    <w:p w14:paraId="59552EAE"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ACKNOWLEDGEMENTS</w:t>
      </w:r>
    </w:p>
    <w:p w14:paraId="33ECC033" w14:textId="47A2F5A1" w:rsidR="009B5463" w:rsidRDefault="001707AE" w:rsidP="00504374">
      <w:pPr>
        <w:spacing w:line="480" w:lineRule="auto"/>
        <w:jc w:val="both"/>
        <w:rPr>
          <w:rFonts w:asciiTheme="majorHAnsi" w:hAnsiTheme="majorHAnsi" w:cstheme="majorHAnsi"/>
        </w:rPr>
      </w:pPr>
      <w:r w:rsidRPr="00BD4A53">
        <w:rPr>
          <w:rFonts w:asciiTheme="majorHAnsi" w:hAnsiTheme="majorHAnsi" w:cstheme="majorHAnsi"/>
          <w:highlight w:val="yellow"/>
        </w:rPr>
        <w:t xml:space="preserve">This work was supported by </w:t>
      </w:r>
      <w:proofErr w:type="spellStart"/>
      <w:r w:rsidR="00BD4A53" w:rsidRPr="00BD4A53">
        <w:rPr>
          <w:rFonts w:asciiTheme="majorHAnsi" w:hAnsiTheme="majorHAnsi" w:cstheme="majorHAnsi"/>
          <w:highlight w:val="yellow"/>
        </w:rPr>
        <w:t>xxxxxxxxxxxxxxxxxxxxxxxxxxxxxxxxxxxxxxxx</w:t>
      </w:r>
      <w:proofErr w:type="spellEnd"/>
    </w:p>
    <w:p w14:paraId="1C962917" w14:textId="77777777" w:rsidR="009B5463" w:rsidRDefault="009B5463" w:rsidP="00504374">
      <w:pPr>
        <w:jc w:val="both"/>
        <w:rPr>
          <w:rFonts w:asciiTheme="majorHAnsi" w:hAnsiTheme="majorHAnsi" w:cstheme="majorHAnsi"/>
        </w:rPr>
      </w:pPr>
      <w:r>
        <w:rPr>
          <w:rFonts w:asciiTheme="majorHAnsi" w:hAnsiTheme="majorHAnsi" w:cstheme="majorHAnsi"/>
        </w:rPr>
        <w:br w:type="page"/>
      </w:r>
    </w:p>
    <w:p w14:paraId="47B3128C" w14:textId="77777777"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14:paraId="3BDB71BB" w14:textId="77777777"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76B2EC72" wp14:editId="4925CBFF">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14:paraId="6CA6E9D9" w14:textId="77777777"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14:paraId="5A661EA5" w14:textId="77777777"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4A0FD5C5" wp14:editId="5C88C221">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1AB280AD" w14:textId="77777777"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Ac-225 and 1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14:paraId="4CFF336E" w14:textId="77777777" w:rsidR="009B5463" w:rsidRDefault="009B5463" w:rsidP="00504374">
      <w:pPr>
        <w:spacing w:line="480" w:lineRule="auto"/>
        <w:jc w:val="both"/>
        <w:rPr>
          <w:rFonts w:asciiTheme="majorHAnsi" w:hAnsiTheme="majorHAnsi" w:cstheme="majorHAnsi"/>
          <w:b/>
        </w:rPr>
      </w:pPr>
    </w:p>
    <w:p w14:paraId="7564E0D8" w14:textId="77777777" w:rsidR="00563D98" w:rsidRDefault="00563D98" w:rsidP="00504374">
      <w:pPr>
        <w:jc w:val="both"/>
        <w:rPr>
          <w:rFonts w:asciiTheme="majorHAnsi" w:hAnsiTheme="majorHAnsi" w:cstheme="majorHAnsi"/>
          <w:b/>
        </w:rPr>
      </w:pPr>
      <w:r>
        <w:rPr>
          <w:rFonts w:asciiTheme="majorHAnsi" w:hAnsiTheme="majorHAnsi" w:cstheme="majorHAnsi"/>
          <w:b/>
        </w:rPr>
        <w:br w:type="page"/>
      </w:r>
    </w:p>
    <w:p w14:paraId="3A12AF29" w14:textId="77777777"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58C447C" wp14:editId="712BEA03">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79D698EC" w14:textId="77777777"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3.97-4.54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which remained steady after 125 days (A). HOPO-Ac-227 at 125 days showed an increasing mean dose of 0.323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0.30-0.36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and after 7946 days, a mean of 22.4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20.3-24.5 </w:t>
      </w:r>
      <w:proofErr w:type="spellStart"/>
      <w:r w:rsidR="006C7A50">
        <w:rPr>
          <w:rFonts w:asciiTheme="majorHAnsi" w:hAnsiTheme="majorHAnsi" w:cstheme="majorHAnsi"/>
        </w:rPr>
        <w:t>Gy</w:t>
      </w:r>
      <w:proofErr w:type="spellEnd"/>
      <w:r w:rsidR="006C7A50">
        <w:rPr>
          <w:rFonts w:asciiTheme="majorHAnsi" w:hAnsiTheme="majorHAnsi" w:cstheme="majorHAnsi"/>
        </w:rPr>
        <w:t>) (</w:t>
      </w:r>
      <w:r w:rsidR="006C7A50" w:rsidRPr="006C7A50">
        <w:rPr>
          <w:rFonts w:asciiTheme="majorHAnsi" w:hAnsiTheme="majorHAnsi" w:cstheme="majorHAnsi"/>
        </w:rPr>
        <w:t>B</w:t>
      </w:r>
      <w:r w:rsidR="006C7A50">
        <w:rPr>
          <w:rFonts w:asciiTheme="majorHAnsi" w:hAnsiTheme="majorHAnsi" w:cstheme="majorHAnsi"/>
        </w:rPr>
        <w:t xml:space="preserve">). </w:t>
      </w:r>
    </w:p>
    <w:p w14:paraId="38B59E8E" w14:textId="77777777" w:rsidR="00582129" w:rsidRPr="005C6C33" w:rsidRDefault="00582129" w:rsidP="00504374">
      <w:pPr>
        <w:spacing w:line="480" w:lineRule="auto"/>
        <w:jc w:val="both"/>
        <w:rPr>
          <w:rFonts w:asciiTheme="majorHAnsi" w:hAnsiTheme="majorHAnsi" w:cstheme="majorHAnsi"/>
        </w:rPr>
      </w:pPr>
    </w:p>
    <w:p w14:paraId="2A907B23" w14:textId="77777777" w:rsidR="00582129" w:rsidRDefault="00582129" w:rsidP="00504374">
      <w:pPr>
        <w:jc w:val="both"/>
        <w:rPr>
          <w:rFonts w:asciiTheme="majorHAnsi" w:hAnsiTheme="majorHAnsi" w:cstheme="majorHAnsi"/>
          <w:b/>
        </w:rPr>
      </w:pPr>
      <w:r>
        <w:rPr>
          <w:rFonts w:asciiTheme="majorHAnsi" w:hAnsiTheme="majorHAnsi" w:cstheme="majorHAnsi"/>
          <w:b/>
        </w:rPr>
        <w:br w:type="page"/>
      </w:r>
    </w:p>
    <w:p w14:paraId="03D0C77C" w14:textId="77777777"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3CBD724C" wp14:editId="4AD6952A">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14:paraId="7B818462" w14:textId="77777777"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14:paraId="32C0A77A"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23E5C12C"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5255802" wp14:editId="24ADFFD9">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2073DB4D"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8A81B05"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73288AA3" w14:textId="77777777"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255802"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2073DB4D" w14:textId="77777777"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8A81B05" w14:textId="77777777"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3288AA3" w14:textId="77777777"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14:anchorId="423CE75F" wp14:editId="3585028D">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40308442" w14:textId="77777777"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14:paraId="204EB890"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070B24F6"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4ABFA94C" wp14:editId="35CEACCA">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52BF8308"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1E93A2E3"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BFA94C"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2BF8308" w14:textId="77777777"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E93A2E3" w14:textId="77777777"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14:anchorId="54C7959A" wp14:editId="07C31515">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14:paraId="5195B121" w14:textId="77777777"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0.249-0.258) at 1.33 days (</w:t>
      </w:r>
      <w:r w:rsidR="006C7A50" w:rsidRPr="006C7A50">
        <w:rPr>
          <w:rFonts w:asciiTheme="majorHAnsi" w:hAnsiTheme="majorHAnsi" w:cstheme="majorHAnsi"/>
        </w:rPr>
        <w:t>A</w:t>
      </w:r>
      <w:r w:rsidR="006C7A50">
        <w:rPr>
          <w:rFonts w:asciiTheme="majorHAnsi" w:hAnsiTheme="majorHAnsi" w:cstheme="majorHAnsi"/>
        </w:rPr>
        <w:t xml:space="preserve">) in the liver, whereas HOPO-Ac-227 showed a maximal mean of 0.039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14:paraId="76B92EEE" w14:textId="77777777" w:rsidR="005C6C33" w:rsidRDefault="005C6C33" w:rsidP="00504374">
      <w:pPr>
        <w:jc w:val="both"/>
        <w:rPr>
          <w:rFonts w:asciiTheme="majorHAnsi" w:hAnsiTheme="majorHAnsi" w:cstheme="majorHAnsi"/>
        </w:rPr>
      </w:pPr>
      <w:r>
        <w:rPr>
          <w:rFonts w:asciiTheme="majorHAnsi" w:hAnsiTheme="majorHAnsi" w:cstheme="majorHAnsi"/>
        </w:rPr>
        <w:br w:type="page"/>
      </w:r>
    </w:p>
    <w:p w14:paraId="394A4889" w14:textId="77777777"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620C7BD4" wp14:editId="13F74C82">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71CD9525" w14:textId="77777777"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14:paraId="76DFA36D" w14:textId="77777777" w:rsidR="00CD587F" w:rsidRDefault="00CD587F">
      <w:pPr>
        <w:rPr>
          <w:rFonts w:asciiTheme="majorHAnsi" w:hAnsiTheme="majorHAnsi" w:cstheme="majorHAnsi"/>
        </w:rPr>
      </w:pPr>
      <w:r>
        <w:rPr>
          <w:rFonts w:asciiTheme="majorHAnsi" w:hAnsiTheme="majorHAnsi" w:cstheme="majorHAnsi"/>
        </w:rPr>
        <w:br w:type="page"/>
      </w:r>
    </w:p>
    <w:p w14:paraId="7C8D7784" w14:textId="77777777"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113EDE90" wp14:editId="33ECEACB">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14:paraId="0023B2FD" w14:textId="77777777" w:rsidR="00BD4A53" w:rsidRDefault="00CD587F" w:rsidP="00504374">
      <w:pPr>
        <w:jc w:val="both"/>
        <w:rPr>
          <w:rFonts w:asciiTheme="majorHAnsi" w:hAnsiTheme="majorHAnsi" w:cstheme="majorHAnsi"/>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p>
    <w:sectPr w:rsidR="00BD4A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rew Lakes" w:date="2019-08-07T17:38:00Z" w:initials="ALL">
    <w:p w14:paraId="1ECD64CD" w14:textId="77777777" w:rsidR="00F07D79" w:rsidRDefault="00F07D79" w:rsidP="00F07D79">
      <w:pPr>
        <w:pStyle w:val="CommentText"/>
      </w:pPr>
      <w:r>
        <w:rPr>
          <w:rStyle w:val="CommentReference"/>
        </w:rPr>
        <w:annotationRef/>
      </w:r>
      <w:r>
        <w:t xml:space="preserve">Can’t find any </w:t>
      </w:r>
      <w:proofErr w:type="gramStart"/>
      <w:r>
        <w:t>protein</w:t>
      </w:r>
      <w:proofErr w:type="gramEnd"/>
      <w:r>
        <w:t>-Ac-225 dose toxicity in humans! Some clinical trials in ‘Blood” journal, but can’t access.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CD64C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9B5BC9"/>
    <w:multiLevelType w:val="hybridMultilevel"/>
    <w:tmpl w:val="C6067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Lakes">
    <w15:presenceInfo w15:providerId="None" w15:userId="Andrew Lak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15FC3"/>
    <w:rsid w:val="000213FF"/>
    <w:rsid w:val="00026BE2"/>
    <w:rsid w:val="00031F3A"/>
    <w:rsid w:val="00042F11"/>
    <w:rsid w:val="00044576"/>
    <w:rsid w:val="00047FA0"/>
    <w:rsid w:val="000525B1"/>
    <w:rsid w:val="00065026"/>
    <w:rsid w:val="000668AB"/>
    <w:rsid w:val="00066B20"/>
    <w:rsid w:val="00081F16"/>
    <w:rsid w:val="00082B36"/>
    <w:rsid w:val="000867BD"/>
    <w:rsid w:val="000875D0"/>
    <w:rsid w:val="0009724C"/>
    <w:rsid w:val="0009798D"/>
    <w:rsid w:val="000A4F8B"/>
    <w:rsid w:val="000B26C0"/>
    <w:rsid w:val="000B6F5F"/>
    <w:rsid w:val="000D0FA8"/>
    <w:rsid w:val="000E016E"/>
    <w:rsid w:val="000E31FA"/>
    <w:rsid w:val="000E698C"/>
    <w:rsid w:val="000F047C"/>
    <w:rsid w:val="00101D64"/>
    <w:rsid w:val="00112CFC"/>
    <w:rsid w:val="00113F18"/>
    <w:rsid w:val="001241BF"/>
    <w:rsid w:val="0013203E"/>
    <w:rsid w:val="00137814"/>
    <w:rsid w:val="001400E2"/>
    <w:rsid w:val="00143FE0"/>
    <w:rsid w:val="00153388"/>
    <w:rsid w:val="0015344D"/>
    <w:rsid w:val="00155432"/>
    <w:rsid w:val="00165CD1"/>
    <w:rsid w:val="00166AF1"/>
    <w:rsid w:val="001707AE"/>
    <w:rsid w:val="0018208F"/>
    <w:rsid w:val="00186DD6"/>
    <w:rsid w:val="001A49A2"/>
    <w:rsid w:val="001B0AFB"/>
    <w:rsid w:val="001B6560"/>
    <w:rsid w:val="001C20EC"/>
    <w:rsid w:val="001C51D0"/>
    <w:rsid w:val="001D1790"/>
    <w:rsid w:val="001D1FE5"/>
    <w:rsid w:val="001D3824"/>
    <w:rsid w:val="001D4AE3"/>
    <w:rsid w:val="001E75F4"/>
    <w:rsid w:val="001F39F7"/>
    <w:rsid w:val="00216BD7"/>
    <w:rsid w:val="00223A76"/>
    <w:rsid w:val="00237E06"/>
    <w:rsid w:val="00241575"/>
    <w:rsid w:val="0024309C"/>
    <w:rsid w:val="002443D0"/>
    <w:rsid w:val="002474C9"/>
    <w:rsid w:val="0025243C"/>
    <w:rsid w:val="0025683D"/>
    <w:rsid w:val="0026230D"/>
    <w:rsid w:val="00270D54"/>
    <w:rsid w:val="00272FF3"/>
    <w:rsid w:val="00276FC0"/>
    <w:rsid w:val="0029181E"/>
    <w:rsid w:val="002929D8"/>
    <w:rsid w:val="002B6F29"/>
    <w:rsid w:val="002C4963"/>
    <w:rsid w:val="002D5C08"/>
    <w:rsid w:val="002E414A"/>
    <w:rsid w:val="002E5D9D"/>
    <w:rsid w:val="002F0417"/>
    <w:rsid w:val="002F6861"/>
    <w:rsid w:val="00304F19"/>
    <w:rsid w:val="00320348"/>
    <w:rsid w:val="003217EB"/>
    <w:rsid w:val="00323B3C"/>
    <w:rsid w:val="00327877"/>
    <w:rsid w:val="00336BF6"/>
    <w:rsid w:val="0036025A"/>
    <w:rsid w:val="0036205C"/>
    <w:rsid w:val="00365116"/>
    <w:rsid w:val="003720E2"/>
    <w:rsid w:val="00374B7A"/>
    <w:rsid w:val="00381E10"/>
    <w:rsid w:val="00392D3F"/>
    <w:rsid w:val="003A7DE3"/>
    <w:rsid w:val="003B3516"/>
    <w:rsid w:val="003C003F"/>
    <w:rsid w:val="003C0829"/>
    <w:rsid w:val="003C30A7"/>
    <w:rsid w:val="003E6AF1"/>
    <w:rsid w:val="003E6DF9"/>
    <w:rsid w:val="003F08F5"/>
    <w:rsid w:val="003F1D71"/>
    <w:rsid w:val="003F2504"/>
    <w:rsid w:val="00411AC1"/>
    <w:rsid w:val="00413A2D"/>
    <w:rsid w:val="0042324E"/>
    <w:rsid w:val="0043194E"/>
    <w:rsid w:val="00432ECF"/>
    <w:rsid w:val="00433C44"/>
    <w:rsid w:val="00435035"/>
    <w:rsid w:val="00440054"/>
    <w:rsid w:val="00460E9F"/>
    <w:rsid w:val="00471ABD"/>
    <w:rsid w:val="00473E19"/>
    <w:rsid w:val="0048141A"/>
    <w:rsid w:val="00485645"/>
    <w:rsid w:val="00487510"/>
    <w:rsid w:val="004916D3"/>
    <w:rsid w:val="004B0392"/>
    <w:rsid w:val="004B408E"/>
    <w:rsid w:val="004C18BE"/>
    <w:rsid w:val="004C39CD"/>
    <w:rsid w:val="004C5CCC"/>
    <w:rsid w:val="004C76AA"/>
    <w:rsid w:val="004D0AE6"/>
    <w:rsid w:val="004E0487"/>
    <w:rsid w:val="005009C2"/>
    <w:rsid w:val="00504374"/>
    <w:rsid w:val="005104C0"/>
    <w:rsid w:val="005112DE"/>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2C3"/>
    <w:rsid w:val="005A7BA4"/>
    <w:rsid w:val="005B569E"/>
    <w:rsid w:val="005C6C33"/>
    <w:rsid w:val="005D1022"/>
    <w:rsid w:val="005F1DCF"/>
    <w:rsid w:val="005F5EFB"/>
    <w:rsid w:val="005F772F"/>
    <w:rsid w:val="006012E3"/>
    <w:rsid w:val="006043F9"/>
    <w:rsid w:val="0062220D"/>
    <w:rsid w:val="00633C1F"/>
    <w:rsid w:val="006479C4"/>
    <w:rsid w:val="00653A4E"/>
    <w:rsid w:val="00657B63"/>
    <w:rsid w:val="00662E68"/>
    <w:rsid w:val="00667620"/>
    <w:rsid w:val="00677A09"/>
    <w:rsid w:val="00681DC6"/>
    <w:rsid w:val="006834E6"/>
    <w:rsid w:val="00687C85"/>
    <w:rsid w:val="00690B7B"/>
    <w:rsid w:val="006A1879"/>
    <w:rsid w:val="006B024D"/>
    <w:rsid w:val="006C1847"/>
    <w:rsid w:val="006C7A50"/>
    <w:rsid w:val="00706049"/>
    <w:rsid w:val="00722B68"/>
    <w:rsid w:val="00724596"/>
    <w:rsid w:val="00732CA3"/>
    <w:rsid w:val="00734679"/>
    <w:rsid w:val="0073529E"/>
    <w:rsid w:val="0074554B"/>
    <w:rsid w:val="007565E7"/>
    <w:rsid w:val="00765788"/>
    <w:rsid w:val="00782A95"/>
    <w:rsid w:val="00782E1D"/>
    <w:rsid w:val="00787894"/>
    <w:rsid w:val="0079797F"/>
    <w:rsid w:val="007A00B2"/>
    <w:rsid w:val="007B016F"/>
    <w:rsid w:val="007C120E"/>
    <w:rsid w:val="007C360F"/>
    <w:rsid w:val="007C435E"/>
    <w:rsid w:val="007C5A41"/>
    <w:rsid w:val="007C7F6E"/>
    <w:rsid w:val="007E09D5"/>
    <w:rsid w:val="007E3A6C"/>
    <w:rsid w:val="007E6034"/>
    <w:rsid w:val="007F2318"/>
    <w:rsid w:val="00800C45"/>
    <w:rsid w:val="00803EB3"/>
    <w:rsid w:val="00804805"/>
    <w:rsid w:val="00810AA5"/>
    <w:rsid w:val="00827A42"/>
    <w:rsid w:val="00831AD2"/>
    <w:rsid w:val="00841B05"/>
    <w:rsid w:val="00861B35"/>
    <w:rsid w:val="0086594B"/>
    <w:rsid w:val="0087472C"/>
    <w:rsid w:val="008806D1"/>
    <w:rsid w:val="008807CD"/>
    <w:rsid w:val="00883B0B"/>
    <w:rsid w:val="0089058B"/>
    <w:rsid w:val="00896D09"/>
    <w:rsid w:val="008A3CE1"/>
    <w:rsid w:val="008A44CF"/>
    <w:rsid w:val="008A6021"/>
    <w:rsid w:val="008B176F"/>
    <w:rsid w:val="008B1A72"/>
    <w:rsid w:val="008B1E20"/>
    <w:rsid w:val="008B6689"/>
    <w:rsid w:val="008C03B5"/>
    <w:rsid w:val="008C18C0"/>
    <w:rsid w:val="008C67B8"/>
    <w:rsid w:val="008C7A7C"/>
    <w:rsid w:val="008C7C57"/>
    <w:rsid w:val="008D6E74"/>
    <w:rsid w:val="008E4DE5"/>
    <w:rsid w:val="008E62EB"/>
    <w:rsid w:val="008F235B"/>
    <w:rsid w:val="008F53BE"/>
    <w:rsid w:val="008F6E8B"/>
    <w:rsid w:val="009079E2"/>
    <w:rsid w:val="00923F38"/>
    <w:rsid w:val="009273B0"/>
    <w:rsid w:val="00936059"/>
    <w:rsid w:val="00941069"/>
    <w:rsid w:val="009651F3"/>
    <w:rsid w:val="009652AA"/>
    <w:rsid w:val="00965420"/>
    <w:rsid w:val="009770CC"/>
    <w:rsid w:val="00980AF2"/>
    <w:rsid w:val="009874E9"/>
    <w:rsid w:val="009A22CF"/>
    <w:rsid w:val="009B3AF2"/>
    <w:rsid w:val="009B5463"/>
    <w:rsid w:val="009B57A8"/>
    <w:rsid w:val="009D3005"/>
    <w:rsid w:val="009D74FB"/>
    <w:rsid w:val="009E563F"/>
    <w:rsid w:val="009E5990"/>
    <w:rsid w:val="009E5B8D"/>
    <w:rsid w:val="00A24E78"/>
    <w:rsid w:val="00A463C7"/>
    <w:rsid w:val="00A55255"/>
    <w:rsid w:val="00A845F5"/>
    <w:rsid w:val="00A8495A"/>
    <w:rsid w:val="00AA204C"/>
    <w:rsid w:val="00AA5D27"/>
    <w:rsid w:val="00AD2DFE"/>
    <w:rsid w:val="00AF2AE9"/>
    <w:rsid w:val="00AF6DC9"/>
    <w:rsid w:val="00B016A1"/>
    <w:rsid w:val="00B06003"/>
    <w:rsid w:val="00B07E3D"/>
    <w:rsid w:val="00B13C8F"/>
    <w:rsid w:val="00B22585"/>
    <w:rsid w:val="00B23001"/>
    <w:rsid w:val="00B230B2"/>
    <w:rsid w:val="00B241CF"/>
    <w:rsid w:val="00B303C7"/>
    <w:rsid w:val="00B33CDB"/>
    <w:rsid w:val="00B41D32"/>
    <w:rsid w:val="00B45EF9"/>
    <w:rsid w:val="00B51AEF"/>
    <w:rsid w:val="00B535CB"/>
    <w:rsid w:val="00B553A6"/>
    <w:rsid w:val="00B56B08"/>
    <w:rsid w:val="00B614C6"/>
    <w:rsid w:val="00B64C11"/>
    <w:rsid w:val="00B71CFF"/>
    <w:rsid w:val="00B721EB"/>
    <w:rsid w:val="00B9671C"/>
    <w:rsid w:val="00BA53AD"/>
    <w:rsid w:val="00BB0C69"/>
    <w:rsid w:val="00BB313B"/>
    <w:rsid w:val="00BC0E45"/>
    <w:rsid w:val="00BD2433"/>
    <w:rsid w:val="00BD4A53"/>
    <w:rsid w:val="00BE10C4"/>
    <w:rsid w:val="00BE3D23"/>
    <w:rsid w:val="00BE4B84"/>
    <w:rsid w:val="00BF46D0"/>
    <w:rsid w:val="00BF4891"/>
    <w:rsid w:val="00BF5AB7"/>
    <w:rsid w:val="00C026AE"/>
    <w:rsid w:val="00C06710"/>
    <w:rsid w:val="00C12BBB"/>
    <w:rsid w:val="00C16D83"/>
    <w:rsid w:val="00C2163A"/>
    <w:rsid w:val="00C25F05"/>
    <w:rsid w:val="00C351F1"/>
    <w:rsid w:val="00C53CAB"/>
    <w:rsid w:val="00C609DD"/>
    <w:rsid w:val="00C61142"/>
    <w:rsid w:val="00C6542C"/>
    <w:rsid w:val="00C66364"/>
    <w:rsid w:val="00C73F8F"/>
    <w:rsid w:val="00C74806"/>
    <w:rsid w:val="00C769C3"/>
    <w:rsid w:val="00C81EF2"/>
    <w:rsid w:val="00C84139"/>
    <w:rsid w:val="00C868B0"/>
    <w:rsid w:val="00C875BC"/>
    <w:rsid w:val="00C90718"/>
    <w:rsid w:val="00C91C83"/>
    <w:rsid w:val="00C96069"/>
    <w:rsid w:val="00CA2C43"/>
    <w:rsid w:val="00CB6D0D"/>
    <w:rsid w:val="00CC1637"/>
    <w:rsid w:val="00CC6756"/>
    <w:rsid w:val="00CC765A"/>
    <w:rsid w:val="00CD0614"/>
    <w:rsid w:val="00CD322C"/>
    <w:rsid w:val="00CD51B3"/>
    <w:rsid w:val="00CD587F"/>
    <w:rsid w:val="00CD6374"/>
    <w:rsid w:val="00CE02B6"/>
    <w:rsid w:val="00CF2B00"/>
    <w:rsid w:val="00CF3C1B"/>
    <w:rsid w:val="00D04A6D"/>
    <w:rsid w:val="00D05504"/>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C7C22"/>
    <w:rsid w:val="00DE4F74"/>
    <w:rsid w:val="00DE5901"/>
    <w:rsid w:val="00DE5EED"/>
    <w:rsid w:val="00DF21AC"/>
    <w:rsid w:val="00E15D12"/>
    <w:rsid w:val="00E2330E"/>
    <w:rsid w:val="00E26EAB"/>
    <w:rsid w:val="00E42290"/>
    <w:rsid w:val="00E507F2"/>
    <w:rsid w:val="00E63FA2"/>
    <w:rsid w:val="00E74ACE"/>
    <w:rsid w:val="00E81A3A"/>
    <w:rsid w:val="00E87AE7"/>
    <w:rsid w:val="00E91DBE"/>
    <w:rsid w:val="00E922DD"/>
    <w:rsid w:val="00E95790"/>
    <w:rsid w:val="00E965F7"/>
    <w:rsid w:val="00EB2525"/>
    <w:rsid w:val="00EB5409"/>
    <w:rsid w:val="00EC658F"/>
    <w:rsid w:val="00EE3F64"/>
    <w:rsid w:val="00EF6630"/>
    <w:rsid w:val="00F053C3"/>
    <w:rsid w:val="00F05C62"/>
    <w:rsid w:val="00F07D79"/>
    <w:rsid w:val="00F17823"/>
    <w:rsid w:val="00F218B4"/>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B58CC"/>
    <w:rsid w:val="00FC4EE4"/>
    <w:rsid w:val="00FD13C2"/>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2578"/>
  <w15:docId w15:val="{03A3F463-4A8E-41BD-BE6B-3EBD7441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 w:type="character" w:styleId="CommentReference">
    <w:name w:val="annotation reference"/>
    <w:basedOn w:val="DefaultParagraphFont"/>
    <w:uiPriority w:val="99"/>
    <w:semiHidden/>
    <w:unhideWhenUsed/>
    <w:rsid w:val="00EB2525"/>
    <w:rPr>
      <w:sz w:val="16"/>
      <w:szCs w:val="16"/>
    </w:rPr>
  </w:style>
  <w:style w:type="paragraph" w:styleId="CommentText">
    <w:name w:val="annotation text"/>
    <w:basedOn w:val="Normal"/>
    <w:link w:val="CommentTextChar"/>
    <w:uiPriority w:val="99"/>
    <w:semiHidden/>
    <w:unhideWhenUsed/>
    <w:rsid w:val="00EB2525"/>
    <w:pPr>
      <w:spacing w:line="240" w:lineRule="auto"/>
    </w:pPr>
    <w:rPr>
      <w:sz w:val="20"/>
      <w:szCs w:val="20"/>
    </w:rPr>
  </w:style>
  <w:style w:type="character" w:customStyle="1" w:styleId="CommentTextChar">
    <w:name w:val="Comment Text Char"/>
    <w:basedOn w:val="DefaultParagraphFont"/>
    <w:link w:val="CommentText"/>
    <w:uiPriority w:val="99"/>
    <w:semiHidden/>
    <w:rsid w:val="00EB2525"/>
    <w:rPr>
      <w:sz w:val="20"/>
      <w:szCs w:val="20"/>
    </w:rPr>
  </w:style>
  <w:style w:type="paragraph" w:styleId="CommentSubject">
    <w:name w:val="annotation subject"/>
    <w:basedOn w:val="CommentText"/>
    <w:next w:val="CommentText"/>
    <w:link w:val="CommentSubjectChar"/>
    <w:uiPriority w:val="99"/>
    <w:semiHidden/>
    <w:unhideWhenUsed/>
    <w:rsid w:val="00EB2525"/>
    <w:rPr>
      <w:b/>
      <w:bCs/>
    </w:rPr>
  </w:style>
  <w:style w:type="character" w:customStyle="1" w:styleId="CommentSubjectChar">
    <w:name w:val="Comment Subject Char"/>
    <w:basedOn w:val="CommentTextChar"/>
    <w:link w:val="CommentSubject"/>
    <w:uiPriority w:val="99"/>
    <w:semiHidden/>
    <w:rsid w:val="00EB25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andrewllakes@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7BA04-2842-4081-B134-9BE93C61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32</Pages>
  <Words>14334</Words>
  <Characters>81710</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41</cp:revision>
  <dcterms:created xsi:type="dcterms:W3CDTF">2019-08-06T17:50:00Z</dcterms:created>
  <dcterms:modified xsi:type="dcterms:W3CDTF">2019-08-09T02:38:00Z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