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658282D7" w:rsidR="008C67B8" w:rsidRPr="00C06710" w:rsidRDefault="00C2163A" w:rsidP="00504374">
      <w:pPr>
        <w:spacing w:line="480" w:lineRule="auto"/>
        <w:jc w:val="both"/>
        <w:rPr>
          <w:rFonts w:asciiTheme="majorHAnsi" w:hAnsiTheme="majorHAnsi" w:cstheme="majorHAnsi"/>
          <w:b/>
        </w:rPr>
      </w:pPr>
      <w:r>
        <w:rPr>
          <w:rFonts w:asciiTheme="majorHAnsi" w:hAnsiTheme="majorHAnsi" w:cstheme="majorHAnsi"/>
          <w:b/>
        </w:rPr>
        <w:t xml:space="preserve">Long-term </w:t>
      </w:r>
      <w:r w:rsidR="004D0AE6" w:rsidRPr="00980995">
        <w:rPr>
          <w:rFonts w:asciiTheme="majorHAnsi" w:hAnsiTheme="majorHAnsi" w:cstheme="majorHAnsi"/>
          <w:b/>
          <w:vertAlign w:val="superscript"/>
        </w:rPr>
        <w:t>227</w:t>
      </w:r>
      <w:r w:rsidR="00980995">
        <w:rPr>
          <w:rFonts w:asciiTheme="majorHAnsi" w:hAnsiTheme="majorHAnsi" w:cstheme="majorHAnsi"/>
          <w:b/>
        </w:rPr>
        <w:t>Ac</w:t>
      </w:r>
      <w:r w:rsidR="004D0AE6">
        <w:rPr>
          <w:rFonts w:asciiTheme="majorHAnsi" w:hAnsiTheme="majorHAnsi" w:cstheme="majorHAnsi"/>
          <w:b/>
        </w:rPr>
        <w:t xml:space="preserve"> Dose of Accelerator Generated</w:t>
      </w:r>
      <w:r w:rsidR="00C91C83">
        <w:rPr>
          <w:rFonts w:asciiTheme="majorHAnsi" w:hAnsiTheme="majorHAnsi" w:cstheme="majorHAnsi"/>
          <w:b/>
        </w:rPr>
        <w:t xml:space="preserve"> </w:t>
      </w:r>
      <w:r w:rsidR="00980995">
        <w:rPr>
          <w:rFonts w:asciiTheme="majorHAnsi" w:hAnsiTheme="majorHAnsi" w:cstheme="majorHAnsi"/>
          <w:b/>
          <w:vertAlign w:val="superscript"/>
        </w:rPr>
        <w:t>225</w:t>
      </w:r>
      <w:r w:rsidR="00980995">
        <w:rPr>
          <w:rFonts w:asciiTheme="majorHAnsi" w:hAnsiTheme="majorHAnsi" w:cstheme="majorHAnsi"/>
          <w:b/>
        </w:rPr>
        <w:t>Ac</w:t>
      </w:r>
      <w:r w:rsidR="00C91C83">
        <w:rPr>
          <w:rFonts w:asciiTheme="majorHAnsi" w:hAnsiTheme="majorHAnsi" w:cstheme="majorHAnsi"/>
          <w:b/>
        </w:rPr>
        <w:t xml:space="preserve"> </w:t>
      </w:r>
      <w:r w:rsidR="00980995">
        <w:rPr>
          <w:rFonts w:asciiTheme="majorHAnsi" w:hAnsiTheme="majorHAnsi" w:cstheme="majorHAnsi"/>
          <w:b/>
        </w:rPr>
        <w:t xml:space="preserve">Constructs </w:t>
      </w:r>
      <w:r w:rsidR="00C91C83">
        <w:rPr>
          <w:rFonts w:asciiTheme="majorHAnsi" w:hAnsiTheme="majorHAnsi" w:cstheme="majorHAnsi"/>
          <w:b/>
        </w:rPr>
        <w:t>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w:t>
      </w:r>
      <w:commentRangeStart w:id="0"/>
      <w:r w:rsidRPr="00C06710">
        <w:rPr>
          <w:rFonts w:asciiTheme="majorHAnsi" w:hAnsiTheme="majorHAnsi" w:cstheme="majorHAnsi"/>
        </w:rPr>
        <w:t xml:space="preserve"> </w:t>
      </w:r>
      <w:commentRangeEnd w:id="0"/>
      <w:r w:rsidR="009F2E17">
        <w:rPr>
          <w:rStyle w:val="CommentReference"/>
        </w:rPr>
        <w:commentReference w:id="0"/>
      </w:r>
      <w:r w:rsidRPr="00C06710">
        <w:rPr>
          <w:rFonts w:asciiTheme="majorHAnsi" w:hAnsiTheme="majorHAnsi" w:cstheme="majorHAnsi"/>
        </w:rPr>
        <w:t xml:space="preserve">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bookmarkStart w:id="1" w:name="_GoBack"/>
      <w:bookmarkEnd w:id="1"/>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8"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9"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9A685C">
        <w:rPr>
          <w:rFonts w:asciiTheme="majorHAnsi" w:hAnsiTheme="majorHAnsi" w:cstheme="majorHAnsi"/>
          <w:b/>
          <w:highlight w:val="yellow"/>
        </w:rPr>
        <w:t>Words:</w:t>
      </w:r>
      <w:r w:rsidR="003E6DF9" w:rsidRPr="009A685C">
        <w:rPr>
          <w:rFonts w:asciiTheme="majorHAnsi" w:hAnsiTheme="majorHAnsi" w:cstheme="majorHAnsi"/>
          <w:highlight w:val="yellow"/>
        </w:rPr>
        <w:t xml:space="preserve"> </w:t>
      </w:r>
      <w:r w:rsidR="00C91C83" w:rsidRPr="009A685C">
        <w:rPr>
          <w:rFonts w:asciiTheme="majorHAnsi" w:hAnsiTheme="majorHAnsi" w:cstheme="majorHAnsi"/>
          <w:highlight w:val="yellow"/>
        </w:rPr>
        <w:t>xxxx</w:t>
      </w:r>
      <w:r w:rsidRPr="009A685C">
        <w:rPr>
          <w:rFonts w:asciiTheme="majorHAnsi" w:hAnsiTheme="majorHAnsi" w:cstheme="majorHAnsi"/>
          <w:highlight w:val="yellow"/>
        </w:rPr>
        <w:t xml:space="preserve">. </w:t>
      </w:r>
      <w:r w:rsidRPr="009A685C">
        <w:rPr>
          <w:rFonts w:asciiTheme="majorHAnsi" w:hAnsiTheme="majorHAnsi" w:cstheme="majorHAnsi"/>
          <w:b/>
          <w:highlight w:val="yellow"/>
        </w:rPr>
        <w:t>Figures</w:t>
      </w:r>
      <w:r w:rsidR="00C91C83" w:rsidRPr="009A685C">
        <w:rPr>
          <w:rFonts w:asciiTheme="majorHAnsi" w:hAnsiTheme="majorHAnsi" w:cstheme="majorHAnsi"/>
          <w:highlight w:val="yellow"/>
        </w:rPr>
        <w:t>: xxxx</w:t>
      </w:r>
      <w:r w:rsidRPr="009A685C">
        <w:rPr>
          <w:rFonts w:asciiTheme="majorHAnsi" w:hAnsiTheme="majorHAnsi" w:cstheme="majorHAnsi"/>
          <w:highlight w:val="yellow"/>
        </w:rPr>
        <w:t xml:space="preserve">. </w:t>
      </w:r>
      <w:r w:rsidRPr="009A685C">
        <w:rPr>
          <w:rFonts w:asciiTheme="majorHAnsi" w:hAnsiTheme="majorHAnsi" w:cstheme="majorHAnsi"/>
          <w:b/>
          <w:highlight w:val="yellow"/>
        </w:rPr>
        <w:t>Tables</w:t>
      </w:r>
      <w:r w:rsidRPr="009A685C">
        <w:rPr>
          <w:rFonts w:asciiTheme="majorHAnsi" w:hAnsiTheme="majorHAnsi" w:cstheme="majorHAnsi"/>
          <w:highlight w:val="yellow"/>
        </w:rPr>
        <w:t xml:space="preserve">: </w:t>
      </w:r>
      <w:r w:rsidR="00C91C83" w:rsidRPr="009A685C">
        <w:rPr>
          <w:rFonts w:asciiTheme="majorHAnsi" w:hAnsiTheme="majorHAnsi" w:cstheme="majorHAnsi"/>
          <w:highlight w:val="yellow"/>
        </w:rPr>
        <w:t>xxxx.</w:t>
      </w:r>
      <w:r w:rsidR="00BE3D23" w:rsidRPr="009A685C">
        <w:rPr>
          <w:rFonts w:asciiTheme="majorHAnsi" w:hAnsiTheme="majorHAnsi" w:cstheme="majorHAnsi"/>
          <w:highlight w:val="yellow"/>
        </w:rPr>
        <w:t xml:space="preserve"> </w:t>
      </w:r>
      <w:r w:rsidR="00BE3D23" w:rsidRPr="009A685C">
        <w:rPr>
          <w:rFonts w:asciiTheme="majorHAnsi" w:hAnsiTheme="majorHAnsi" w:cstheme="majorHAnsi"/>
          <w:b/>
          <w:highlight w:val="yellow"/>
        </w:rPr>
        <w:t xml:space="preserve">References: </w:t>
      </w:r>
      <w:r w:rsidR="00C91C83" w:rsidRPr="009A685C">
        <w:rPr>
          <w:rFonts w:asciiTheme="majorHAnsi" w:hAnsiTheme="majorHAnsi" w:cstheme="majorHAnsi"/>
          <w:highlight w:val="yellow"/>
        </w:rPr>
        <w:t>xxxx</w:t>
      </w:r>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1B4296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sidR="009A685C">
        <w:rPr>
          <w:rFonts w:asciiTheme="majorHAnsi" w:hAnsiTheme="majorHAnsi" w:cstheme="majorHAnsi"/>
        </w:rPr>
        <w:t>225Ac, 227Ac, radioimmunoconjugates, targeted alpha therapy</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11720470" w14:textId="01634FDF" w:rsidR="0029181E" w:rsidRDefault="004E642E" w:rsidP="0029181E">
      <w:pPr>
        <w:spacing w:line="480" w:lineRule="auto"/>
        <w:jc w:val="both"/>
        <w:rPr>
          <w:rFonts w:asciiTheme="majorHAnsi" w:hAnsiTheme="majorHAnsi" w:cstheme="majorHAnsi"/>
        </w:rPr>
      </w:pPr>
      <w:r>
        <w:rPr>
          <w:rFonts w:asciiTheme="majorHAnsi" w:hAnsiTheme="majorHAnsi" w:cstheme="majorHAnsi"/>
        </w:rPr>
        <w:t>The US DOE Tri-Lab effort to create accelerator-produced Ac-225 is a welcome solution to the low output from reactor-produced Ac-225. To estimate potential safety of accelerator-produced Ac-225 radiotherapeutics containing the small fraction of inseparable Ac-227 contaminants, we performed a biodistribution study, and estimated worst-case scenario short and long-term biological doses. This was performed on mice wi</w:t>
      </w:r>
      <w:r w:rsidR="0029181E">
        <w:rPr>
          <w:rFonts w:asciiTheme="majorHAnsi" w:hAnsiTheme="majorHAnsi" w:cstheme="majorHAnsi"/>
        </w:rPr>
        <w:t xml:space="preserve">th three different Ac-225 constructs, </w:t>
      </w:r>
      <w:r>
        <w:rPr>
          <w:rFonts w:asciiTheme="majorHAnsi" w:hAnsiTheme="majorHAnsi" w:cstheme="majorHAnsi"/>
        </w:rPr>
        <w:t>and dose was modeled out to one</w:t>
      </w:r>
      <w:r w:rsidR="003547D8">
        <w:rPr>
          <w:rFonts w:asciiTheme="majorHAnsi" w:hAnsiTheme="majorHAnsi" w:cstheme="majorHAnsi"/>
        </w:rPr>
        <w:t xml:space="preserve"> Ac-227 half-</w:t>
      </w:r>
      <w:r>
        <w:rPr>
          <w:rFonts w:asciiTheme="majorHAnsi" w:hAnsiTheme="majorHAnsi" w:cstheme="majorHAnsi"/>
        </w:rPr>
        <w:t>life of</w:t>
      </w:r>
      <w:r w:rsidR="0029181E">
        <w:rPr>
          <w:rFonts w:asciiTheme="majorHAnsi" w:hAnsiTheme="majorHAnsi" w:cstheme="majorHAnsi"/>
        </w:rPr>
        <w:t xml:space="preserve"> 21.77 years</w:t>
      </w:r>
      <w:r>
        <w:rPr>
          <w:rFonts w:asciiTheme="majorHAnsi" w:hAnsiTheme="majorHAnsi" w:cstheme="majorHAnsi"/>
        </w:rPr>
        <w:t xml:space="preserve"> for several organs of interest</w:t>
      </w:r>
      <w:r w:rsidR="0029181E">
        <w:rPr>
          <w:rFonts w:asciiTheme="majorHAnsi" w:hAnsiTheme="majorHAnsi" w:cstheme="majorHAnsi"/>
        </w:rPr>
        <w:t>.</w:t>
      </w:r>
      <w:r>
        <w:rPr>
          <w:rFonts w:asciiTheme="majorHAnsi" w:hAnsiTheme="majorHAnsi" w:cstheme="majorHAnsi"/>
        </w:rPr>
        <w:t xml:space="preserve"> We found that while the Ac-227 dose is not entirely negligible from a chronic radiation syndrome standpoint, it does not likely pose a significant risk to outweigh treatment with Ac-225 radiotherapeutics in the first place. Further, there appeared to be some form of isotopic </w:t>
      </w:r>
      <w:r w:rsidR="0079558C">
        <w:rPr>
          <w:rFonts w:asciiTheme="majorHAnsi" w:hAnsiTheme="majorHAnsi" w:cstheme="majorHAnsi"/>
        </w:rPr>
        <w:t>fractionation with variable biological Ac-225/Ac-227 localization ratios which may be investigated further.</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77857344" w14:textId="51A5B7D4" w:rsidR="00C51721" w:rsidRPr="00682DA9" w:rsidRDefault="002B762C" w:rsidP="00C51721">
      <w:pPr>
        <w:spacing w:line="480" w:lineRule="auto"/>
        <w:jc w:val="both"/>
        <w:rPr>
          <w:rFonts w:asciiTheme="majorHAnsi" w:hAnsiTheme="majorHAnsi" w:cstheme="majorHAnsi"/>
          <w:highlight w:val="yellow"/>
        </w:rPr>
      </w:pPr>
      <w:r>
        <w:rPr>
          <w:rFonts w:asciiTheme="majorHAnsi" w:hAnsiTheme="majorHAnsi" w:cstheme="majorHAnsi"/>
        </w:rPr>
        <w:t>Ac-225 radiotherapeutics researchers are ripe with enthusiasm over the exceptional</w:t>
      </w:r>
      <w:r w:rsidRPr="002B762C">
        <w:rPr>
          <w:rFonts w:asciiTheme="majorHAnsi" w:hAnsiTheme="majorHAnsi" w:cstheme="majorHAnsi"/>
        </w:rPr>
        <w:t xml:space="preserve"> </w:t>
      </w:r>
      <w:r>
        <w:rPr>
          <w:rFonts w:asciiTheme="majorHAnsi" w:hAnsiTheme="majorHAnsi" w:cstheme="majorHAnsi"/>
        </w:rPr>
        <w:t xml:space="preserve">results being produced in </w:t>
      </w:r>
      <w:r w:rsidR="00E92E61">
        <w:rPr>
          <w:rFonts w:asciiTheme="majorHAnsi" w:hAnsiTheme="majorHAnsi" w:cstheme="majorHAnsi"/>
        </w:rPr>
        <w:t xml:space="preserve">both </w:t>
      </w:r>
      <w:r>
        <w:rPr>
          <w:rFonts w:asciiTheme="majorHAnsi" w:hAnsiTheme="majorHAnsi" w:cstheme="majorHAnsi"/>
        </w:rPr>
        <w:t>the lab</w:t>
      </w:r>
      <w:r w:rsidR="00E92E61">
        <w:rPr>
          <w:rFonts w:asciiTheme="majorHAnsi" w:hAnsiTheme="majorHAnsi" w:cstheme="majorHAnsi"/>
        </w:rPr>
        <w:t xml:space="preserve"> </w:t>
      </w:r>
      <w:r>
        <w:rPr>
          <w:rFonts w:asciiTheme="majorHAnsi" w:hAnsiTheme="majorHAnsi" w:cstheme="majorHAnsi"/>
        </w:rPr>
        <w:t>and in experimental</w:t>
      </w:r>
      <w:r w:rsidR="00E92E61">
        <w:rPr>
          <w:rFonts w:asciiTheme="majorHAnsi" w:hAnsiTheme="majorHAnsi" w:cstheme="majorHAnsi"/>
        </w:rPr>
        <w:t xml:space="preserve"> patient</w:t>
      </w:r>
      <w:r>
        <w:rPr>
          <w:rFonts w:asciiTheme="majorHAnsi" w:hAnsiTheme="majorHAnsi" w:cstheme="majorHAnsi"/>
        </w:rPr>
        <w:t xml:space="preserve"> treatments</w:t>
      </w:r>
      <w:r w:rsidR="00E92E61">
        <w:rPr>
          <w:rFonts w:asciiTheme="majorHAnsi" w:hAnsiTheme="majorHAnsi" w:cstheme="majorHAnsi"/>
        </w:rPr>
        <w:t xml:space="preserve"> </w:t>
      </w:r>
      <w:r w:rsidR="002E58D5">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id":"ITEM-3","itemData":{"DOI":"10.1126/science.1064126","ISBN":"0036-8075","ISSN":"00368075","PMID":"11711678","author":[{"dropping-particle":"","family":"McDevitt","given":"M. R.","non-dropping-particle":"","parse-names":false,"suffix":""}],"container-title":"Science","id":"ITEM-3","issue":"5546","issued":{"date-parts":[["2001"]]},"page":"1537-1540","title":"Tumor Therapy with Targeted Atomic Nanogenerators","type":"article-journal","volume":"294"},"uris":["http://www.mendeley.com/documents/?uuid=17054f57-99b0-4f24-ade7-6bd894c6b6da"]},{"id":"ITEM-4","itemData":{"ISSN":"00085472","abstract":"Advanced ovarian cancer is largely incurable, but initially it is frequently confined to the i.p. space. We explored i.p. radioimmunotherapy in a mouse model of human ovarian cancer. Use of a targeted actinium-225 ((225)Ac) in vivo generator of alpha particles exploits the extreme, selective cytotoxicity of alpha particles, while providing a feasible half-life to enable delivery to tumor. (225)Ac chelated with 2-(p-isothiocyanatobenzyl)-1,4,7,10-tetraazacyclododecane-1,4,7,10 tetraacetic acid was conjugated to trastuzumab, an anti-HER-2/neu antibody. The radioimmunoconjugate was tested for immunoreactivity, internalization, and cytotoxicity using a human ovarian carcinoma cell line, SKOV3. (225)Ac-labeled trastuzumab retained immunoreactivity (50-90%), rapidly internalized into cells (50% at 2 h), and had an ED(50) of 1.3 nCi/ml after 4 days of incubation in vitro. i.p. administered (225)Ac- or (111)In-labeled trastuzumab behaved similarly with high tumor uptake [56-60% injected dose per gram (% ID/g) at 4 h, which increased to 65-70% ID/g at 24 h]. Tumor uptake was 3-5-fold higher than liver and spleen, the normal organs with the highest uptake. i.v. administration of (111)In-labeled trastuzumab produced slightly higher normal organ uptake compared with i.p.-administered (111)In-labeled trastuzumab. However, tumor uptake was low, 5%-26% ID/g. Therapy was examined with native trastuzumab and 220, 330, and 450 nCi of (225)Ac-labeled trastuzumab or (225)Ac-labeled control antibody at different dosing schedules. Therapy was initiated 9 days after tumor seeding. Groups of control mice and those administered native trastuzumab had median survivals of 33 and 37 or 44 days, respectively. Median survival was 52-126 days with (225)Ac-labeled trastuzumab at various doses and schedules, and 48-64 days for (225)Ac-labeled control the same schedules. Deaths from toxicity occurred with the highest activity levels. In conclusion, i.p. administration with a (225)Ac-labeled internalizing anti-HER-2/neu antibody can extend survival significantly in a nude mouse model of human ovarian cancer at levels that produce no apparent gross toxicity.","author":[{"dropping-particle":"","family":"Borchardt","given":"Paul E.","non-dropping-particle":"","parse-names":false,"suffix":""},{"dropping-particle":"","family":"Yuan","given":"Rui R.","non-dropping-particle":"","parse-names":false,"suffix":""},{"dropping-particle":"","family":"Miederer","given":"Matthias","non-dropping-particle":"","parse-names":false,"suffix":""},{"dropping-particle":"","family":"McDevitt","given":"Michael R.","non-dropping-particle":"","parse-names":false,"suffix":""},{"dropping-particle":"","family":"Scheinberg","given":"David A.","non-dropping-particle":"","parse-names":false,"suffix":""}],"container-title":"Cancer Research","id":"ITEM-4","issue":"16","issued":{"date-parts":[["2003"]]},"page":"5084-5090","title":"Targeted actinium-225 in vivo generators for therapy of ovarian cancer","type":"article-journal","volume":"63"},"uris":["http://www.mendeley.com/documents/?uuid=7bc36d56-eaae-414a-a0cf-25a163fb5f28"]}],"mendeley":{"formattedCitation":"&lt;sup&gt;1–4&lt;/sup&gt;","plainTextFormattedCitation":"1–4","previouslyFormattedCitation":"&lt;sup&gt;1–4&lt;/sup&gt;"},"properties":{"noteIndex":0},"schema":"https://github.com/citation-style-language/schema/raw/master/csl-citation.json"}</w:instrText>
      </w:r>
      <w:r w:rsidR="002E58D5">
        <w:rPr>
          <w:rFonts w:asciiTheme="majorHAnsi" w:hAnsiTheme="majorHAnsi" w:cstheme="majorHAnsi"/>
        </w:rPr>
        <w:fldChar w:fldCharType="separate"/>
      </w:r>
      <w:r w:rsidR="002E58D5" w:rsidRPr="002E58D5">
        <w:rPr>
          <w:rFonts w:asciiTheme="majorHAnsi" w:hAnsiTheme="majorHAnsi" w:cstheme="majorHAnsi"/>
          <w:noProof/>
          <w:vertAlign w:val="superscript"/>
        </w:rPr>
        <w:t>1–4</w:t>
      </w:r>
      <w:r w:rsidR="002E58D5">
        <w:rPr>
          <w:rFonts w:asciiTheme="majorHAnsi" w:hAnsiTheme="majorHAnsi" w:cstheme="majorHAnsi"/>
        </w:rPr>
        <w:fldChar w:fldCharType="end"/>
      </w:r>
      <w:r>
        <w:rPr>
          <w:rFonts w:asciiTheme="majorHAnsi" w:hAnsiTheme="majorHAnsi" w:cstheme="majorHAnsi"/>
        </w:rPr>
        <w:t xml:space="preserve">. And yet, they still face numerous challenges ahead, from </w:t>
      </w:r>
      <w:r w:rsidR="00E92E61">
        <w:rPr>
          <w:rFonts w:asciiTheme="majorHAnsi" w:hAnsiTheme="majorHAnsi" w:cstheme="majorHAnsi"/>
        </w:rPr>
        <w:t>finding an improved chelator for superior radiolabeling</w:t>
      </w:r>
      <w:r>
        <w:rPr>
          <w:rFonts w:asciiTheme="majorHAnsi" w:hAnsiTheme="majorHAnsi" w:cstheme="majorHAnsi"/>
        </w:rPr>
        <w:t xml:space="preserve"> efficiency </w:t>
      </w:r>
      <w:r w:rsidR="00E92E61">
        <w:rPr>
          <w:rFonts w:asciiTheme="majorHAnsi" w:hAnsiTheme="majorHAnsi" w:cstheme="majorHAnsi"/>
        </w:rPr>
        <w:fldChar w:fldCharType="begin" w:fldLock="1"/>
      </w:r>
      <w:r w:rsidR="002E58D5">
        <w:rPr>
          <w:rFonts w:asciiTheme="majorHAnsi" w:hAnsiTheme="majorHAnsi" w:cstheme="majorHAnsi"/>
        </w:rPr>
        <w:instrText>ADDIN CSL_CITATION {"citationItems":[{"id":"ITEM-1","itemData":{"DOI":"10.1039/c8md00170g","ISSN":"20402511","abstract":" The stability of DOTA-chelated complexes coordinated with H 2 O has a strong correlation between the opening angle of DOTA and the atomic mass of the radioactive isotope.  The successful delivery of toxic cargo directly to tumor cells is of primary importance in targeted (α) particle therapy. Complexes of radioactive atoms with the 1,4,7,10-tetraazacyclododecane-1,4,7,10-tetraacetic acid (DOTA) chelating agent are considered as effective materials for such delivery processes. The DOTA chelator displays high affinity to radioactive metal isotopes and retains this capability after conjugation to tumor targeting moieties. Although the α-decay chains are well defined for many isotopes, the stability of chelations during the decay process and the impact of released energy on their structures remain unknown. The radioactive isotope 225 Ac is an α-particle emitter that can be easily chelated by DOTA. However, 225 Ac has a complex decay chain with four α-particle emissions during decay of each radionuclide. To advance our fundamental understanding of the consequences of α-decay on the stability of tumor-targeted 225 Ac–DOTA conjugate radiopharmaceuticals, we performed first principles calculations of the structure, stability, and electronic properties of the DOTA chelator to the 225 Ac radioactive isotope, and the initial daughters in the decay chain, 225 Ac, 221 Fr, 217 At and 213 Bi. Our calculations show that the atomic positions, binding energies, and electron localization functions are affected by the interplay between spin–orbit coupling, weak dispersive interactions, and environmental factors. Future empirical measurements may be guided and interpreted in light of these results. ","author":[{"dropping-particle":"","family":"Khabibullin","given":"Artem R.","non-dropping-particle":"","parse-names":false,"suffix":""},{"dropping-particle":"","family":"Karolak","given":"Aleksandra","non-dropping-particle":"","parse-names":false,"suffix":""},{"dropping-particle":"","family":"Budzevich","given":"Mikalai M.","non-dropping-particle":"","parse-names":false,"suffix":""},{"dropping-particle":"","family":"McLaughlin","given":"Mark L.","non-dropping-particle":"","parse-names":false,"suffix":""},{"dropping-particle":"","family":"Morse","given":"David L.","non-dropping-particle":"","parse-names":false,"suffix":""},{"dropping-particle":"","family":"Woods","given":"Lilia M.","non-dropping-particle":"","parse-names":false,"suffix":""}],"container-title":"MedChemComm","id":"ITEM-1","issue":"7","issued":{"date-parts":[["2018"]]},"page":"1155-1163","publisher":"Royal Society of Chemistry","title":"Structure and properties of DOTA-chelated radiopharmaceuticals within the 225 Ac decay pathway","type":"article-journal","volume":"9"},"uris":["http://www.mendeley.com/documents/?uuid=650e6baf-35a3-4851-9357-5733f490d98d"]},{"id":"ITEM-2","itemData":{"DOI":"10.1021/jm990141f","ISSN":"00222623","PMID":"10425108","abstract":"The favorable nuclear properties of actinium-225 ((225)Ac) have led to proposal of this isotope for use in radioimmunotherapy. In an effort to reduce the toxicity of free (225)Ac, a series of ligands were evaluated for stability in vivo. Loss of (225)Ac from acyclic chelating agents resulted in high liver uptake and poor whole body clearance. The macrocyclic ligands c-DOTA, PEPA, and HEHA were evaluated, and (225)Ac-HEHA showed exceptional stability in vivo. (225)Ac chelated with EDTA, DTPA, DOTA, or PEPA permitted substantial accumulation of the radionuclide to the liver, while the (225)Ac-HEHA complex was essentially excreted within minutes of administration. The preparation of the ligands and radiolabeled complexes and the biodistribution results will be discussed.","author":[{"dropping-particle":"","family":"Deal","given":"Kim A.","non-dropping-particle":"","parse-names":false,"suffix":""},{"dropping-particle":"","family":"Davis","given":"Ila A.","non-dropping-particle":"","parse-names":false,"suffix":""},{"dropping-particle":"","family":"Mirzadeh","given":"Saed","non-dropping-particle":"","parse-names":false,"suffix":""},{"dropping-particle":"","family":"Kennel","given":"Stephen J.","non-dropping-particle":"","parse-names":false,"suffix":""},{"dropping-particle":"","family":"Brechbiel","given":"Martin W.","non-dropping-particle":"","parse-names":false,"suffix":""}],"container-title":"Journal of Medicinal Chemistry","id":"ITEM-2","issue":"15","issued":{"date-parts":[["1999"]]},"page":"2988-2992","title":"Improved in vivo stability of actinium-225 macrocyclic complexes","type":"article-journal","volume":"42"},"uris":["http://www.mendeley.com/documents/?uuid=e7ca6466-b9ca-4250-9dc6-f74d05c2a290"]},{"id":"ITEM-3","itemData":{"DOI":"10.1039/c3cs60304k","ISBN":"0306-0012","ISSN":"1460-4744","PMID":"24173525","abstract":"Radiometals comprise many useful radioactive isotopes of various metallic elements. When properly harnessed, these have valuable emission properties that can be used for diagnostic imaging techniques, such as single photon emission computed tomography (SPECT, e.g.(67)Ga, (99m)Tc, (111)In, (177)Lu) and positron emission tomography (PET, e.g.(68)Ga, (64)Cu, (44)Sc, (86)Y, (89)Zr), as well as therapeutic applications (e.g.(47)Sc, (114m)In, (177)Lu, (90)Y, (212/213)Bi, (212)Pb, (225)Ac, (186/188)Re). A fundamental critical component of a radiometal-based radiopharmaceutical is the chelator, the ligand system that binds the radiometal ion in a tight stable coordination complex so that it can be properly directed to a desirable molecular target in vivo. This article is a guide for selecting the optimal match between chelator and radiometal for use in these systems. The article briefly introduces a selection of relevant and high impact radiometals, and their potential utility to the fields of radiochemistry, nuclear medicine, and molecular imaging. A description of radiometal-based radiopharmaceuticals is provided, and several key design considerations are discussed. The experimental methods by which chelators are assessed for their suitability with a variety of radiometal ions is explained, and a large selection of the most common and most promising chelators are evaluated and discussed for their potential use with a variety of radiometals. Comprehensive tables have been assembled to provide a convenient and accessible overview of the field of radiometal chelating agents.","author":[{"dropping-particle":"","family":"Price","given":"Eric W","non-dropping-particle":"","parse-names":false,"suffix":""},{"dropping-particle":"","family":"Orvig","given":"Chris","non-dropping-particle":"","parse-names":false,"suffix":""}],"container-title":"Chemical Society reviews","id":"ITEM-3","issue":"1","issued":{"date-parts":[["2014"]]},"page":"260-90","title":"Matching chelators to radiometals for radiopharmaceuticals.","type":"article-journal","volume":"43"},"uris":["http://www.mendeley.com/documents/?uuid=b4ed8f4b-8ad3-41e0-9837-d8e43e822bc7"]},{"id":"ITEM-4","itemData":{"DOI":"10.1002/anie.201709532","ISSN":"15213773","abstract":"© 2017 Wiley-VCH Verlag GmbH &amp; Co. KGaA, Weinheim. The 18-membered macrocycle H 2 macropa was investigated for 225 Ac chelation in targeted alpha therapy (TAT). Radiolabeling studies showed that macropa, at submicromolar concentration, complexed all 225 Ac (26 kBq) in 5min at RT. [ 225 Ac(macropa)] + remained intact over 7 to 8days when challenged with either excess La 3+ ions or human serum, and did not accumulate in any organ after 5h in healthy mice. A bifunctional analogue, macropa-NCS, was conjugated to trastuzumab as well as to the prostate-specific membrane antigen-targeting compound RPS-070. Both constructs rapidly radiolabeled 225 Ac in just minutes at RT, and macropa-Tmab retained &gt; 99% of its 225 Ac in human serum after 7days. In LNCaP xenograft mice, 225 Ac-macropa-RPS-070 was selectively targeted to tumors and did not release free 225 Ac over 96h. These findings establish macropa to be a highly promising ligand for 225 Ac chelation that will facilitate the clinical development of 225 Ac TAT for the treatment of soft-tissue metastases.","author":[{"dropping-particle":"","family":"Thiele","given":"Nikki A.","non-dropping-particle":"","parse-names":false,"suffix":""},{"dropping-particle":"","family":"Brown","given":"Victoria","non-dropping-particle":"","parse-names":false,"suffix":""},{"dropping-particle":"","family":"Kelly","given":"James M.","non-dropping-particle":"","parse-names":false,"suffix":""},{"dropping-particle":"","family":"Amor-Coarasa","given":"Alejandro","non-dropping-particle":"","parse-names":false,"suffix":""},{"dropping-particle":"","family":"Jermilova","given":"Una","non-dropping-particle":"","parse-names":false,"suffix":""},{"dropping-particle":"","family":"MacMillan","given":"Samantha N.","non-dropping-particle":"","parse-names":false,"suffix":""},{"dropping-particle":"","family":"Nikolopoulou","given":"Anastasia","non-dropping-particle":"","parse-names":false,"suffix":""},{"dropping-particle":"","family":"Ponnala","given":"Shashikanth","non-dropping-particle":"","parse-names":false,"suffix":""},{"dropping-particle":"","family":"Ramogida","given":"Caterina F.","non-dropping-particle":"","parse-names":false,"suffix":""},{"dropping-particle":"","family":"Robertson","given":"Andrew K.H.","non-dropping-particle":"","parse-names":false,"suffix":""},{"dropping-particle":"","family":"Rodríguez-Rodríguez","given":"Cristina","non-dropping-particle":"","parse-names":false,"suffix":""},{"dropping-particle":"","family":"Schaffer","given":"Paul","non-dropping-particle":"","parse-names":false,"suffix":""},{"dropping-particle":"","family":"Williams","given":"Clarence","non-dropping-particle":"","parse-names":false,"suffix":""},{"dropping-particle":"","family":"Babich","given":"John W.","non-dropping-particle":"","parse-names":false,"suffix":""},{"dropping-particle":"","family":"Radchenko","given":"Valery","non-dropping-particle":"","parse-names":false,"suffix":""},{"dropping-particle":"","family":"Wilson","given":"Justin J.","non-dropping-particle":"","parse-names":false,"suffix":""}],"container-title":"Angewandte Chemie - International Edition","id":"ITEM-4","issued":{"date-parts":[["2017"]]},"title":"An Eighteen-Membered Macrocyclic Ligand for Actinium-225 Targeted Alpha Therapy","type":"article-journal"},"uris":["http://www.mendeley.com/documents/?uuid=fa86a7b4-4c30-45d4-a737-3de6765c3933"]},{"id":"ITEM-5","itemData":{"DOI":"10.2967/jnumed.114.138347","ISSN":"1535-5667","PMID":"24982438","abstract":"UNLABELLED: Targeted α-particle radiation using the radioisotope (225)Ac is a promising form of therapy for various types of cancer. Historic obstacles to the use of (225)Ac have been the difficulty in finding suitable chelators to stably attach it to targeting vehicles such as peptides and monoclonal antibodies, the low specific activities of the products, and the lack of cost-effective radiolabeling procedures. We initially solved the first problem with a procedure involving 2 chemical steps that has been used as a standard in preclinical and clinical studies. However, this procedure involves the loss of 90% of the input (225)Ac. A more efficient, economical process is needed to facilitate the more widespread use of (225)Ac.\\n\\nMETHODS: We conjugated representative antibodies with 2 forms of DOTA as well as other chelators as controls. We developed conditions to radiolabel these constructs in 1 chemical step and characterized their stability, immunoreactivity, biodistribution, and therapeutic efficacy in healthy and tumor-bearing mice.\\n\\nRESULTS: DOTA-antibody constructs were labeled to a wide range of specific activities in 1 chemical step at 37°C. Radiochemical yields were approximately 10-fold higher, and specific activities were up to 30-fold higher than with the previous approach. The products retained immunoreactivity and were stable to serum challenge in vitro and in mice. Labeling kinetics of DOTA-antibody constructs linked through a benzyl isothiocyanate linkage were more favorable than those linked through an N-hydroxysuccinimide linkage. Tissue distribution was similar but not identical between the constructs. The constructs produced specific therapeutic responses in a mouse model of acute myeloid leukemia.\\n\\nCONCLUSION: We have characterized an efficient, 1-step radiolabeling method that produces stable, therapeutically active conjugates of antibodies with (225)Ac at high specific activity. We propose that this technology greatly expands the possible clinical applications of (225)Ac monoclonal antibodies.","author":[{"dropping-particle":"","family":"Maguire","given":"William F","non-dropping-particle":"","parse-names":false,"suffix":""},{"dropping-particle":"","family":"McDevitt","given":"Michael R","non-dropping-particle":"","parse-names":false,"suffix":""},{"dropping-particle":"","family":"Smith-Jones","given":"Peter M","non-dropping-particle":"","parse-names":false,"suffix":""},{"dropping-particle":"","family":"Scheinberg","given":"David A","non-dropping-particle":"","parse-names":false,"suffix":""}],"container-title":"Journal of Nuclear Medicine","id":"ITEM-5","issue":"9","issued":{"date-parts":[["2014"]]},"page":"1492-1498","title":"Efficient 1-step radiolabeling of monoclonal antibodies to high specific activity with &lt;sup&gt;225&lt;/sup&gt;Ac for α-particle radioimmunotherapy of cancer.","type":"article-journal","volume":"55"},"uris":["http://www.mendeley.com/documents/?uuid=3205b1ca-91ff-4ece-b8c1-6bdbff652647"]}],"mendeley":{"formattedCitation":"&lt;sup&gt;5–9&lt;/sup&gt;","plainTextFormattedCitation":"5–9","previouslyFormattedCitation":"&lt;sup&gt;5–9&lt;/sup&gt;"},"properties":{"noteIndex":0},"schema":"https://github.com/citation-style-language/schema/raw/master/csl-citation.json"}</w:instrText>
      </w:r>
      <w:r w:rsidR="00E92E61">
        <w:rPr>
          <w:rFonts w:asciiTheme="majorHAnsi" w:hAnsiTheme="majorHAnsi" w:cstheme="majorHAnsi"/>
        </w:rPr>
        <w:fldChar w:fldCharType="separate"/>
      </w:r>
      <w:r w:rsidR="002E58D5" w:rsidRPr="002E58D5">
        <w:rPr>
          <w:rFonts w:asciiTheme="majorHAnsi" w:hAnsiTheme="majorHAnsi" w:cstheme="majorHAnsi"/>
          <w:noProof/>
          <w:vertAlign w:val="superscript"/>
        </w:rPr>
        <w:t>5–9</w:t>
      </w:r>
      <w:r w:rsidR="00E92E61">
        <w:rPr>
          <w:rFonts w:asciiTheme="majorHAnsi" w:hAnsiTheme="majorHAnsi" w:cstheme="majorHAnsi"/>
        </w:rPr>
        <w:fldChar w:fldCharType="end"/>
      </w:r>
      <w:r>
        <w:rPr>
          <w:rFonts w:asciiTheme="majorHAnsi" w:hAnsiTheme="majorHAnsi" w:cstheme="majorHAnsi"/>
        </w:rPr>
        <w:t>, to solving recoil effects</w:t>
      </w:r>
      <w:r w:rsidR="00E92E61">
        <w:rPr>
          <w:rFonts w:asciiTheme="majorHAnsi" w:hAnsiTheme="majorHAnsi" w:cstheme="majorHAnsi"/>
        </w:rPr>
        <w:t xml:space="preserve"> </w:t>
      </w:r>
      <w:r w:rsidR="00E92E61">
        <w:rPr>
          <w:rFonts w:asciiTheme="majorHAnsi" w:hAnsiTheme="majorHAnsi" w:cstheme="majorHAnsi"/>
        </w:rPr>
        <w:fldChar w:fldCharType="begin" w:fldLock="1"/>
      </w:r>
      <w:r w:rsidR="002E58D5">
        <w:rPr>
          <w:rFonts w:asciiTheme="majorHAnsi" w:hAnsiTheme="majorHAnsi" w:cstheme="majorHAnsi"/>
        </w:rPr>
        <w:instrText>ADDIN CSL_CITATION {"citationItems":[{"id":"ITEM-1","itemData":{"DOI":"10.3390/molecules23030581","ISSN":"14203049","PMID":"29510568","abstract":"This review summarizes recent progress and developments as well as the most important pitfalls in targeted alpha-particle therapy, covering single alpha-particle emitters as well as in vivo alpha-particle generators. It discusses the production of radionuclides like 211At, 223Ra, 225Ac/213Bi, labelling and delivery employing various targeting vectors (small molecules, chelators for alpha-emitting nuclides and their biomolecular targets as well as nanocarriers), general radiopharmaceutical issues, preclinical studies, and clinical trials including the possibilities of therapy prognosis and follow-up imaging. Special attention is given to the nuclear recoil effect and its impacts on the possible use of alpha emitters for cancer treatment, proper dose estimation, and labelling chemistry. The most recent and important achievements in the development of alpha emitters carrying vectors for preclinical and clinical use are highlighted along with an outlook for future developments.","author":[{"dropping-particle":"","family":"Kozempel","given":"Ján","non-dropping-particle":"","parse-names":false,"suffix":""},{"dropping-particle":"","family":"Mokhodoeva","given":"Olga","non-dropping-particle":"","parse-names":false,"suffix":""},{"dropping-particle":"","family":"Vlk","given":"Martin","non-dropping-particle":"","parse-names":false,"suffix":""}],"container-title":"Molecules","id":"ITEM-1","issue":"3","issued":{"date-parts":[["2018"]]},"title":"Progress in targeted alpha-particle therapy. What we learned about recoils release from in vivo generators","type":"article-journal","volume":"23"},"uris":["http://www.mendeley.com/documents/?uuid=068cba36-7501-4501-861e-732eafc5ab13"]}],"mendeley":{"formattedCitation":"&lt;sup&gt;10&lt;/sup&gt;","plainTextFormattedCitation":"10","previouslyFormattedCitation":"&lt;sup&gt;10&lt;/sup&gt;"},"properties":{"noteIndex":0},"schema":"https://github.com/citation-style-language/schema/raw/master/csl-citation.json"}</w:instrText>
      </w:r>
      <w:r w:rsidR="00E92E61">
        <w:rPr>
          <w:rFonts w:asciiTheme="majorHAnsi" w:hAnsiTheme="majorHAnsi" w:cstheme="majorHAnsi"/>
        </w:rPr>
        <w:fldChar w:fldCharType="separate"/>
      </w:r>
      <w:r w:rsidR="002E58D5" w:rsidRPr="002E58D5">
        <w:rPr>
          <w:rFonts w:asciiTheme="majorHAnsi" w:hAnsiTheme="majorHAnsi" w:cstheme="majorHAnsi"/>
          <w:noProof/>
          <w:vertAlign w:val="superscript"/>
        </w:rPr>
        <w:t>10</w:t>
      </w:r>
      <w:r w:rsidR="00E92E61">
        <w:rPr>
          <w:rFonts w:asciiTheme="majorHAnsi" w:hAnsiTheme="majorHAnsi" w:cstheme="majorHAnsi"/>
        </w:rPr>
        <w:fldChar w:fldCharType="end"/>
      </w:r>
      <w:r w:rsidR="00E92E61">
        <w:rPr>
          <w:rFonts w:asciiTheme="majorHAnsi" w:hAnsiTheme="majorHAnsi" w:cstheme="majorHAnsi"/>
        </w:rPr>
        <w:fldChar w:fldCharType="begin" w:fldLock="1"/>
      </w:r>
      <w:r w:rsidR="002E58D5">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mendeley":{"formattedCitation":"&lt;sup&gt;11&lt;/sup&gt;","plainTextFormattedCitation":"11","previouslyFormattedCitation":"&lt;sup&gt;11&lt;/sup&gt;"},"properties":{"noteIndex":0},"schema":"https://github.com/citation-style-language/schema/raw/master/csl-citation.json"}</w:instrText>
      </w:r>
      <w:r w:rsidR="00E92E61">
        <w:rPr>
          <w:rFonts w:asciiTheme="majorHAnsi" w:hAnsiTheme="majorHAnsi" w:cstheme="majorHAnsi"/>
        </w:rPr>
        <w:fldChar w:fldCharType="separate"/>
      </w:r>
      <w:r w:rsidR="002E58D5" w:rsidRPr="002E58D5">
        <w:rPr>
          <w:rFonts w:asciiTheme="majorHAnsi" w:hAnsiTheme="majorHAnsi" w:cstheme="majorHAnsi"/>
          <w:noProof/>
          <w:vertAlign w:val="superscript"/>
        </w:rPr>
        <w:t>11</w:t>
      </w:r>
      <w:r w:rsidR="00E92E61">
        <w:rPr>
          <w:rFonts w:asciiTheme="majorHAnsi" w:hAnsiTheme="majorHAnsi" w:cstheme="majorHAnsi"/>
        </w:rPr>
        <w:fldChar w:fldCharType="end"/>
      </w:r>
      <w:r>
        <w:rPr>
          <w:rFonts w:asciiTheme="majorHAnsi" w:hAnsiTheme="majorHAnsi" w:cstheme="majorHAnsi"/>
        </w:rPr>
        <w:t>, to the simple lack of availabilit</w:t>
      </w:r>
      <w:r w:rsidR="00E92E61">
        <w:rPr>
          <w:rFonts w:asciiTheme="majorHAnsi" w:hAnsiTheme="majorHAnsi" w:cstheme="majorHAnsi"/>
        </w:rPr>
        <w:t xml:space="preserve">y of the isotope to begin with </w:t>
      </w:r>
      <w:r w:rsidR="00E92E61">
        <w:rPr>
          <w:rFonts w:asciiTheme="majorHAnsi" w:hAnsiTheme="majorHAnsi" w:cstheme="majorHAnsi"/>
        </w:rPr>
        <w:fldChar w:fldCharType="begin" w:fldLock="1"/>
      </w:r>
      <w:r w:rsidR="002E58D5">
        <w:rPr>
          <w:rFonts w:asciiTheme="majorHAnsi" w:hAnsiTheme="majorHAnsi" w:cstheme="majorHAnsi"/>
        </w:rPr>
        <w:instrText>ADDIN CSL_CITATION {"citationItems":[{"id":"ITEM-1","itemData":{"DOI":"10.2174/1874471011666180418141357","ISBN":"6661804181","ISSN":"18744710","PMID":"29669509","abstract":"BACKGROUND The radionuclide 225Ac and its daughter 213Bi are among the most interesting alpha emitters being evaluated for incorporation into targeted therapeutic vectors. Global supply of 225Ac is presently insufficient to meet anticipated clinical demand, but the deficiency has been targeted by many research and development efforts, privately and publicly funded. From more than a decade of these endeavors, no single production technology has emerged as a complete solution. In the foreseeable future, global supply of 225Ac will continue to be sourced from a patchwork of production methods and laboratories with a range of radioisotopic purities and achievable yields. Objective and Conclusion This manuscript attempts to present an overview of availability sources of 225Ac and production methods by which additional supplies might be made available to the community of clinical researchers seeking their application in the treatment of human disease.","author":[{"dropping-particle":"","family":"Engle","given":"Jonathan W.","non-dropping-particle":"","parse-names":false,"suffix":""}],"container-title":"Current Radiopharmaceuticals","id":"ITEM-1","issued":{"date-parts":[["2018"]]},"title":"The Production of Ac-225","type":"article-journal"},"uris":["http://www.mendeley.com/documents/?uuid=0d546f1c-81a9-4bd1-9d5d-f1756f1cbfaf"]}],"mendeley":{"formattedCitation":"&lt;sup&gt;12&lt;/sup&gt;","plainTextFormattedCitation":"12","previouslyFormattedCitation":"&lt;sup&gt;12&lt;/sup&gt;"},"properties":{"noteIndex":0},"schema":"https://github.com/citation-style-language/schema/raw/master/csl-citation.json"}</w:instrText>
      </w:r>
      <w:r w:rsidR="00E92E61">
        <w:rPr>
          <w:rFonts w:asciiTheme="majorHAnsi" w:hAnsiTheme="majorHAnsi" w:cstheme="majorHAnsi"/>
        </w:rPr>
        <w:fldChar w:fldCharType="separate"/>
      </w:r>
      <w:r w:rsidR="002E58D5" w:rsidRPr="002E58D5">
        <w:rPr>
          <w:rFonts w:asciiTheme="majorHAnsi" w:hAnsiTheme="majorHAnsi" w:cstheme="majorHAnsi"/>
          <w:noProof/>
          <w:vertAlign w:val="superscript"/>
        </w:rPr>
        <w:t>12</w:t>
      </w:r>
      <w:r w:rsidR="00E92E61">
        <w:rPr>
          <w:rFonts w:asciiTheme="majorHAnsi" w:hAnsiTheme="majorHAnsi" w:cstheme="majorHAnsi"/>
        </w:rPr>
        <w:fldChar w:fldCharType="end"/>
      </w:r>
      <w:r w:rsidR="00C51721">
        <w:rPr>
          <w:rFonts w:asciiTheme="majorHAnsi" w:hAnsiTheme="majorHAnsi" w:cstheme="majorHAnsi"/>
        </w:rPr>
        <w:t xml:space="preserve">. </w:t>
      </w:r>
      <w:r w:rsidR="00C51721" w:rsidRPr="00C51721">
        <w:rPr>
          <w:rFonts w:asciiTheme="majorHAnsi" w:hAnsiTheme="majorHAnsi" w:cstheme="majorHAnsi"/>
          <w:highlight w:val="yellow"/>
        </w:rPr>
        <w:t xml:space="preserve">Fortunately, </w:t>
      </w:r>
      <w:r w:rsidR="00DC4322">
        <w:rPr>
          <w:rFonts w:asciiTheme="majorHAnsi" w:hAnsiTheme="majorHAnsi" w:cstheme="majorHAnsi"/>
          <w:highlight w:val="yellow"/>
        </w:rPr>
        <w:t xml:space="preserve">the US DOE </w:t>
      </w:r>
      <w:r w:rsidR="00C51721" w:rsidRPr="00C51721">
        <w:rPr>
          <w:rFonts w:asciiTheme="majorHAnsi" w:hAnsiTheme="majorHAnsi" w:cstheme="majorHAnsi"/>
          <w:highlight w:val="yellow"/>
        </w:rPr>
        <w:t>Tri-Lab efforts in</w:t>
      </w:r>
      <w:r w:rsidR="00DC4322">
        <w:rPr>
          <w:rFonts w:asciiTheme="majorHAnsi" w:hAnsiTheme="majorHAnsi" w:cstheme="majorHAnsi"/>
          <w:highlight w:val="yellow"/>
        </w:rPr>
        <w:t xml:space="preserve"> accelerator produced Ac-225</w:t>
      </w:r>
      <w:r w:rsidR="00C51721" w:rsidRPr="00C51721">
        <w:rPr>
          <w:rFonts w:asciiTheme="majorHAnsi" w:hAnsiTheme="majorHAnsi" w:cstheme="majorHAnsi"/>
          <w:highlight w:val="yellow"/>
        </w:rPr>
        <w:t>…. **INSERT REBECCA</w:t>
      </w:r>
      <w:r w:rsidR="00C51721">
        <w:rPr>
          <w:rFonts w:asciiTheme="majorHAnsi" w:hAnsiTheme="majorHAnsi" w:cstheme="majorHAnsi"/>
          <w:highlight w:val="yellow"/>
        </w:rPr>
        <w:t xml:space="preserve"> on production</w:t>
      </w:r>
      <w:r w:rsidR="00DC4322">
        <w:rPr>
          <w:rFonts w:asciiTheme="majorHAnsi" w:hAnsiTheme="majorHAnsi" w:cstheme="majorHAnsi"/>
          <w:highlight w:val="yellow"/>
        </w:rPr>
        <w:t>, difference in number of potential patients treated, lack of separation</w:t>
      </w:r>
      <w:r w:rsidR="00C51721" w:rsidRPr="00C51721">
        <w:rPr>
          <w:rFonts w:asciiTheme="majorHAnsi" w:hAnsiTheme="majorHAnsi" w:cstheme="majorHAnsi"/>
          <w:highlight w:val="yellow"/>
        </w:rPr>
        <w:t>**</w:t>
      </w:r>
    </w:p>
    <w:p w14:paraId="4395E6BA" w14:textId="66126461" w:rsidR="002B762C" w:rsidRDefault="00682DA9" w:rsidP="00504374">
      <w:pPr>
        <w:spacing w:line="480" w:lineRule="auto"/>
        <w:jc w:val="both"/>
        <w:rPr>
          <w:rFonts w:asciiTheme="majorHAnsi" w:hAnsiTheme="majorHAnsi" w:cstheme="majorHAnsi"/>
        </w:rPr>
      </w:pPr>
      <w:r>
        <w:rPr>
          <w:rFonts w:asciiTheme="majorHAnsi" w:hAnsiTheme="majorHAnsi" w:cstheme="majorHAnsi"/>
        </w:rPr>
        <w:t xml:space="preserve">Both Ac-225 and Ac-227 have multiple daughters that emit alpha particles, with Ac-227 releasing approximately 20% more total energy from each parent atom. Contrastingly, </w:t>
      </w:r>
      <w:r w:rsidR="002B762C">
        <w:rPr>
          <w:rFonts w:asciiTheme="majorHAnsi" w:hAnsiTheme="majorHAnsi" w:cstheme="majorHAnsi"/>
        </w:rPr>
        <w:t>21.77 years, or 7946 days</w:t>
      </w:r>
      <w:r>
        <w:rPr>
          <w:rFonts w:asciiTheme="majorHAnsi" w:hAnsiTheme="majorHAnsi" w:cstheme="majorHAnsi"/>
        </w:rPr>
        <w:t xml:space="preserve"> is the half-life of Ac-227</w:t>
      </w:r>
      <w:r w:rsidR="00C51721">
        <w:rPr>
          <w:rFonts w:asciiTheme="majorHAnsi" w:hAnsiTheme="majorHAnsi" w:cstheme="majorHAnsi"/>
        </w:rPr>
        <w:t xml:space="preserve"> compared to 10 days for Ac-225</w:t>
      </w:r>
      <w:r w:rsidR="007705DF">
        <w:rPr>
          <w:rFonts w:asciiTheme="majorHAnsi" w:hAnsiTheme="majorHAnsi" w:cstheme="majorHAnsi"/>
        </w:rPr>
        <w:t xml:space="preserve"> (</w:t>
      </w:r>
      <w:r w:rsidR="007705DF" w:rsidRPr="007705DF">
        <w:rPr>
          <w:rFonts w:asciiTheme="majorHAnsi" w:hAnsiTheme="majorHAnsi" w:cstheme="majorHAnsi"/>
          <w:b/>
        </w:rPr>
        <w:t>Figure 1</w:t>
      </w:r>
      <w:r w:rsidR="007705DF">
        <w:rPr>
          <w:rFonts w:asciiTheme="majorHAnsi" w:hAnsiTheme="majorHAnsi" w:cstheme="majorHAnsi"/>
        </w:rPr>
        <w:t>)</w:t>
      </w:r>
      <w:r>
        <w:rPr>
          <w:rFonts w:asciiTheme="majorHAnsi" w:hAnsiTheme="majorHAnsi" w:cstheme="majorHAnsi"/>
        </w:rPr>
        <w:t>.</w:t>
      </w:r>
      <w:r w:rsidR="00C51721">
        <w:rPr>
          <w:rFonts w:asciiTheme="majorHAnsi" w:hAnsiTheme="majorHAnsi" w:cstheme="majorHAnsi"/>
        </w:rPr>
        <w:t xml:space="preserve"> </w:t>
      </w:r>
      <w:r w:rsidR="00DC4322">
        <w:rPr>
          <w:rFonts w:asciiTheme="majorHAnsi" w:hAnsiTheme="majorHAnsi" w:cstheme="majorHAnsi"/>
        </w:rPr>
        <w:t xml:space="preserve">As is readily apparent, </w:t>
      </w:r>
      <w:r w:rsidR="00C51721">
        <w:rPr>
          <w:rFonts w:asciiTheme="majorHAnsi" w:hAnsiTheme="majorHAnsi" w:cstheme="majorHAnsi"/>
        </w:rPr>
        <w:t>the biodistribution of Ac-227</w:t>
      </w:r>
      <w:r w:rsidR="00DC4322">
        <w:rPr>
          <w:rFonts w:asciiTheme="majorHAnsi" w:hAnsiTheme="majorHAnsi" w:cstheme="majorHAnsi"/>
        </w:rPr>
        <w:t xml:space="preserve"> contamination</w:t>
      </w:r>
      <w:r w:rsidR="00C51721">
        <w:rPr>
          <w:rFonts w:asciiTheme="majorHAnsi" w:hAnsiTheme="majorHAnsi" w:cstheme="majorHAnsi"/>
        </w:rPr>
        <w:t xml:space="preserve"> is vital in determining long-term toxicity. </w:t>
      </w:r>
      <w:r>
        <w:rPr>
          <w:rFonts w:asciiTheme="majorHAnsi" w:hAnsiTheme="majorHAnsi" w:cstheme="majorHAnsi"/>
        </w:rPr>
        <w:t>If the Ac-227 complex is excreted</w:t>
      </w:r>
      <w:r w:rsidR="00ED2EB5">
        <w:rPr>
          <w:rFonts w:asciiTheme="majorHAnsi" w:hAnsiTheme="majorHAnsi" w:cstheme="majorHAnsi"/>
        </w:rPr>
        <w:t xml:space="preserve"> at the same rate as Ac-225</w:t>
      </w:r>
      <w:r>
        <w:rPr>
          <w:rFonts w:asciiTheme="majorHAnsi" w:hAnsiTheme="majorHAnsi" w:cstheme="majorHAnsi"/>
        </w:rPr>
        <w:t xml:space="preserve">, then </w:t>
      </w:r>
      <w:r w:rsidR="00ED2EB5">
        <w:rPr>
          <w:rFonts w:asciiTheme="majorHAnsi" w:hAnsiTheme="majorHAnsi" w:cstheme="majorHAnsi"/>
        </w:rPr>
        <w:t>the risk</w:t>
      </w:r>
      <w:r>
        <w:rPr>
          <w:rFonts w:asciiTheme="majorHAnsi" w:hAnsiTheme="majorHAnsi" w:cstheme="majorHAnsi"/>
        </w:rPr>
        <w:t xml:space="preserve"> of long term dose</w:t>
      </w:r>
      <w:r w:rsidR="00ED2EB5">
        <w:rPr>
          <w:rFonts w:asciiTheme="majorHAnsi" w:hAnsiTheme="majorHAnsi" w:cstheme="majorHAnsi"/>
        </w:rPr>
        <w:t xml:space="preserve"> is lower</w:t>
      </w:r>
      <w:r>
        <w:rPr>
          <w:rFonts w:asciiTheme="majorHAnsi" w:hAnsiTheme="majorHAnsi" w:cstheme="majorHAnsi"/>
        </w:rPr>
        <w:t>. However,</w:t>
      </w:r>
      <w:r w:rsidR="00ED2EB5">
        <w:rPr>
          <w:rFonts w:asciiTheme="majorHAnsi" w:hAnsiTheme="majorHAnsi" w:cstheme="majorHAnsi"/>
        </w:rPr>
        <w:t xml:space="preserve"> if</w:t>
      </w:r>
      <w:r>
        <w:rPr>
          <w:rFonts w:asciiTheme="majorHAnsi" w:hAnsiTheme="majorHAnsi" w:cstheme="majorHAnsi"/>
        </w:rPr>
        <w:t xml:space="preserve"> bioaccumulation </w:t>
      </w:r>
      <w:r w:rsidR="00ED2EB5">
        <w:rPr>
          <w:rFonts w:asciiTheme="majorHAnsi" w:hAnsiTheme="majorHAnsi" w:cstheme="majorHAnsi"/>
        </w:rPr>
        <w:t>occurs, radio</w:t>
      </w:r>
      <w:r>
        <w:rPr>
          <w:rFonts w:asciiTheme="majorHAnsi" w:hAnsiTheme="majorHAnsi" w:cstheme="majorHAnsi"/>
        </w:rPr>
        <w:t>sensitive tissues</w:t>
      </w:r>
      <w:r w:rsidR="00ED2EB5">
        <w:rPr>
          <w:rFonts w:asciiTheme="majorHAnsi" w:hAnsiTheme="majorHAnsi" w:cstheme="majorHAnsi"/>
        </w:rPr>
        <w:t xml:space="preserve"> such as the kidney, liver, bone marrow etc. may impart</w:t>
      </w:r>
      <w:r>
        <w:rPr>
          <w:rFonts w:asciiTheme="majorHAnsi" w:hAnsiTheme="majorHAnsi" w:cstheme="majorHAnsi"/>
        </w:rPr>
        <w:t xml:space="preserve"> chronic radiation sickness</w:t>
      </w:r>
      <w:r w:rsidR="00ED2EB5">
        <w:rPr>
          <w:rFonts w:asciiTheme="majorHAnsi" w:hAnsiTheme="majorHAnsi" w:cstheme="majorHAnsi"/>
        </w:rPr>
        <w:t xml:space="preserve">. This </w:t>
      </w:r>
      <w:r>
        <w:rPr>
          <w:rFonts w:asciiTheme="majorHAnsi" w:hAnsiTheme="majorHAnsi" w:cstheme="majorHAnsi"/>
        </w:rPr>
        <w:t xml:space="preserve">could </w:t>
      </w:r>
      <w:r w:rsidR="00ED2EB5">
        <w:rPr>
          <w:rFonts w:asciiTheme="majorHAnsi" w:hAnsiTheme="majorHAnsi" w:cstheme="majorHAnsi"/>
        </w:rPr>
        <w:t>impart</w:t>
      </w:r>
      <w:r>
        <w:rPr>
          <w:rFonts w:asciiTheme="majorHAnsi" w:hAnsiTheme="majorHAnsi" w:cstheme="majorHAnsi"/>
        </w:rPr>
        <w:t xml:space="preserve"> a long-term dose limit</w:t>
      </w:r>
      <w:r w:rsidR="00ED2EB5">
        <w:rPr>
          <w:rFonts w:asciiTheme="majorHAnsi" w:hAnsiTheme="majorHAnsi" w:cstheme="majorHAnsi"/>
        </w:rPr>
        <w:t xml:space="preserve">ation </w:t>
      </w:r>
      <w:r>
        <w:rPr>
          <w:rFonts w:asciiTheme="majorHAnsi" w:hAnsiTheme="majorHAnsi" w:cstheme="majorHAnsi"/>
        </w:rPr>
        <w:t xml:space="preserve">beyond the acute radiation received from </w:t>
      </w:r>
      <w:r w:rsidR="00ED2EB5">
        <w:rPr>
          <w:rFonts w:asciiTheme="majorHAnsi" w:hAnsiTheme="majorHAnsi" w:cstheme="majorHAnsi"/>
        </w:rPr>
        <w:t>a</w:t>
      </w:r>
      <w:r>
        <w:rPr>
          <w:rFonts w:asciiTheme="majorHAnsi" w:hAnsiTheme="majorHAnsi" w:cstheme="majorHAnsi"/>
        </w:rPr>
        <w:t xml:space="preserve"> primary Ac-225 complex bolus. </w:t>
      </w:r>
    </w:p>
    <w:p w14:paraId="0A8C45A5" w14:textId="657BC5A1" w:rsidR="00682DA9" w:rsidRDefault="00764326" w:rsidP="00504374">
      <w:pPr>
        <w:spacing w:line="480" w:lineRule="auto"/>
        <w:jc w:val="both"/>
        <w:rPr>
          <w:rFonts w:asciiTheme="majorHAnsi" w:hAnsiTheme="majorHAnsi" w:cstheme="majorHAnsi"/>
        </w:rPr>
      </w:pPr>
      <w:r>
        <w:rPr>
          <w:rFonts w:asciiTheme="majorHAnsi" w:hAnsiTheme="majorHAnsi" w:cstheme="majorHAnsi"/>
        </w:rPr>
        <w:t>Creating a pseudo-</w:t>
      </w:r>
      <w:r w:rsidR="00ED2EB5">
        <w:rPr>
          <w:rFonts w:asciiTheme="majorHAnsi" w:hAnsiTheme="majorHAnsi" w:cstheme="majorHAnsi"/>
        </w:rPr>
        <w:t xml:space="preserve">worst case biodistribution scenario, we </w:t>
      </w:r>
      <w:r w:rsidR="006746F2">
        <w:rPr>
          <w:rFonts w:asciiTheme="majorHAnsi" w:hAnsiTheme="majorHAnsi" w:cstheme="majorHAnsi"/>
        </w:rPr>
        <w:t>produced constructs using accelerator-generated</w:t>
      </w:r>
      <w:r w:rsidR="00ED2EB5">
        <w:rPr>
          <w:rFonts w:asciiTheme="majorHAnsi" w:hAnsiTheme="majorHAnsi" w:cstheme="majorHAnsi"/>
        </w:rPr>
        <w:t xml:space="preserve"> Ac-225 which contained up to 0.5% Ac-227 contaminant. </w:t>
      </w:r>
      <w:r w:rsidR="006746F2">
        <w:rPr>
          <w:rFonts w:asciiTheme="majorHAnsi" w:hAnsiTheme="majorHAnsi" w:cstheme="majorHAnsi"/>
        </w:rPr>
        <w:t>From modeling based upon</w:t>
      </w:r>
      <w:r w:rsidR="002F22B1">
        <w:rPr>
          <w:rFonts w:asciiTheme="majorHAnsi" w:hAnsiTheme="majorHAnsi" w:cstheme="majorHAnsi"/>
        </w:rPr>
        <w:t xml:space="preserve"> Bateman dose calculations</w:t>
      </w:r>
      <w:r>
        <w:rPr>
          <w:rFonts w:asciiTheme="majorHAnsi" w:hAnsiTheme="majorHAnsi" w:cstheme="majorHAnsi"/>
        </w:rPr>
        <w:t xml:space="preserve"> for the primary daughter series of Ac-225 and Ac-227</w:t>
      </w:r>
      <w:r w:rsidR="002F22B1">
        <w:rPr>
          <w:rFonts w:asciiTheme="majorHAnsi" w:hAnsiTheme="majorHAnsi" w:cstheme="majorHAnsi"/>
        </w:rPr>
        <w:t xml:space="preserve">, we extrapolated the future cumulative dose and dose </w:t>
      </w:r>
      <w:r w:rsidR="002E58D5">
        <w:rPr>
          <w:rFonts w:asciiTheme="majorHAnsi" w:hAnsiTheme="majorHAnsi" w:cstheme="majorHAnsi"/>
        </w:rPr>
        <w:t xml:space="preserve">per day </w:t>
      </w:r>
      <w:r w:rsidR="006746F2">
        <w:rPr>
          <w:rFonts w:asciiTheme="majorHAnsi" w:hAnsiTheme="majorHAnsi" w:cstheme="majorHAnsi"/>
        </w:rPr>
        <w:t xml:space="preserve">for each tissue in our </w:t>
      </w:r>
      <w:r w:rsidR="002E58D5">
        <w:rPr>
          <w:rFonts w:asciiTheme="majorHAnsi" w:hAnsiTheme="majorHAnsi" w:cstheme="majorHAnsi"/>
        </w:rPr>
        <w:t>mouse biodistri</w:t>
      </w:r>
      <w:r w:rsidR="002F22B1">
        <w:rPr>
          <w:rFonts w:asciiTheme="majorHAnsi" w:hAnsiTheme="majorHAnsi" w:cstheme="majorHAnsi"/>
        </w:rPr>
        <w:t>b</w:t>
      </w:r>
      <w:r w:rsidR="002E58D5">
        <w:rPr>
          <w:rFonts w:asciiTheme="majorHAnsi" w:hAnsiTheme="majorHAnsi" w:cstheme="majorHAnsi"/>
        </w:rPr>
        <w:t>u</w:t>
      </w:r>
      <w:r w:rsidR="002F22B1">
        <w:rPr>
          <w:rFonts w:asciiTheme="majorHAnsi" w:hAnsiTheme="majorHAnsi" w:cstheme="majorHAnsi"/>
        </w:rPr>
        <w:t>tion</w:t>
      </w:r>
      <w:r w:rsidR="006746F2">
        <w:rPr>
          <w:rFonts w:asciiTheme="majorHAnsi" w:hAnsiTheme="majorHAnsi" w:cstheme="majorHAnsi"/>
        </w:rPr>
        <w:t xml:space="preserve"> data set</w:t>
      </w:r>
      <w:r w:rsidR="002F22B1">
        <w:rPr>
          <w:rFonts w:asciiTheme="majorHAnsi" w:hAnsiTheme="majorHAnsi" w:cstheme="majorHAnsi"/>
        </w:rPr>
        <w:t xml:space="preserve">. </w:t>
      </w:r>
    </w:p>
    <w:p w14:paraId="0236B9AB" w14:textId="77777777" w:rsidR="006746F2" w:rsidRDefault="006746F2" w:rsidP="00504374">
      <w:pPr>
        <w:spacing w:line="480" w:lineRule="auto"/>
        <w:jc w:val="both"/>
        <w:rPr>
          <w:rFonts w:asciiTheme="majorHAnsi" w:hAnsiTheme="majorHAnsi" w:cstheme="majorHAnsi"/>
          <w:b/>
          <w:sz w:val="24"/>
        </w:rPr>
      </w:pPr>
    </w:p>
    <w:p w14:paraId="3A98FE2E" w14:textId="77777777" w:rsidR="00B871F3" w:rsidRDefault="00B871F3">
      <w:pPr>
        <w:rPr>
          <w:rFonts w:asciiTheme="majorHAnsi" w:hAnsiTheme="majorHAnsi" w:cstheme="majorHAnsi"/>
          <w:b/>
          <w:sz w:val="24"/>
        </w:rPr>
      </w:pPr>
      <w:r>
        <w:rPr>
          <w:rFonts w:asciiTheme="majorHAnsi" w:hAnsiTheme="majorHAnsi" w:cstheme="majorHAnsi"/>
          <w:b/>
          <w:sz w:val="24"/>
        </w:rPr>
        <w:br w:type="page"/>
      </w:r>
    </w:p>
    <w:p w14:paraId="08C90823" w14:textId="0F9AA42D"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RESULTS</w:t>
      </w:r>
      <w:r w:rsidR="009273B0">
        <w:rPr>
          <w:rFonts w:asciiTheme="majorHAnsi" w:hAnsiTheme="majorHAnsi" w:cstheme="majorHAnsi"/>
          <w:b/>
          <w:sz w:val="24"/>
        </w:rPr>
        <w:t xml:space="preserve"> </w:t>
      </w:r>
    </w:p>
    <w:p w14:paraId="2349DF83" w14:textId="6FCFABBD"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w:t>
      </w:r>
      <w:r w:rsidR="00374B2A">
        <w:rPr>
          <w:rFonts w:asciiTheme="majorHAnsi" w:hAnsiTheme="majorHAnsi" w:cstheme="majorHAnsi"/>
        </w:rPr>
        <w:t xml:space="preserve"> </w:t>
      </w:r>
      <w:r w:rsidR="00374B2A">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{"citationItems":[{"id":"ITEM-1","itemData":{"DOI":"10.2174/1874471011666180416161908","ISSN":"18744710","abstract":"BACKGROUND The development of radiopharmaceuticals containing 225Ac for targeted alpha therapy is an active area of academic and commercial research worldwide. OBJECTIVES Despite promising results from recent clinical trials, 225Ac-radiopharmaceutical development still faces significant challenges that must be overcome to realize the widespread clinical use of 225Ac. Some of these challenges include the limited availability of the isotope, the challenging chemistry required to isolate 225Ac from any co-produced isotopes, and the need for stable targeting systems with high radiolabeling yields. RESULTS Here we provide a review of available literature pertaining to these challenges in the 225Acradiopharmaceutical field and also provide insight into how performed and planned efforts at TRIUMF - Canada's particle accelerator centre - aim to address these issues.","author":[{"dropping-particle":"","family":"Robertson","given":"Andrew Kyle Henderson","non-dropping-particle":"","parse-names":false,"suffix":""},{"dropping-particle":"","family":"Ramogida","given":"Caterina Fortunata","non-dropping-particle":"","parse-names":false,"suffix":""},{"dropping-particle":"","family":"Schaffer","given":"Paul","non-dropping-particle":"","parse-names":false,"suffix":""},{"dropping-particle":"","family":"Radchenko","given":"Valery","non-dropping-particle":"","parse-names":false,"suffix":""}],"container-title":"Current Radiopharmaceuticals","id":"ITEM-1","issued":{"date-parts":[["2018"]]},"title":"Development of 225 Ac Radiopharmaceuticals: TRIUMF Perspectives and Experiences","type":"article-journal"},"uris":["http://www.mendeley.com/documents/?uuid=27b8d4ed-b115-4f34-87be-4df009075df6"]}],"mendeley":{"formattedCitation":"&lt;sup&gt;13&lt;/sup&gt;","plainTextFormattedCitation":"13","previouslyFormattedCitation":"&lt;sup&gt;13&lt;/sup&gt;"},"properties":{"noteIndex":0},"schema":"https://github.com/citation-style-language/schema/raw/master/csl-citation.json"}</w:instrText>
      </w:r>
      <w:r w:rsidR="00374B2A">
        <w:rPr>
          <w:rFonts w:asciiTheme="majorHAnsi" w:hAnsiTheme="majorHAnsi" w:cstheme="majorHAnsi"/>
        </w:rPr>
        <w:fldChar w:fldCharType="separate"/>
      </w:r>
      <w:r w:rsidR="00374B2A" w:rsidRPr="00374B2A">
        <w:rPr>
          <w:rFonts w:asciiTheme="majorHAnsi" w:hAnsiTheme="majorHAnsi" w:cstheme="majorHAnsi"/>
          <w:noProof/>
          <w:vertAlign w:val="superscript"/>
        </w:rPr>
        <w:t>13</w:t>
      </w:r>
      <w:r w:rsidR="00374B2A">
        <w:rPr>
          <w:rFonts w:asciiTheme="majorHAnsi" w:hAnsiTheme="majorHAnsi" w:cstheme="majorHAnsi"/>
        </w:rPr>
        <w:fldChar w:fldCharType="end"/>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17AF6B48" w:rsidR="00C61142" w:rsidRDefault="00AD2DFE" w:rsidP="00504374">
      <w:pPr>
        <w:spacing w:line="480" w:lineRule="auto"/>
        <w:jc w:val="both"/>
        <w:rPr>
          <w:rFonts w:asciiTheme="majorHAnsi" w:hAnsiTheme="majorHAnsi" w:cstheme="majorHAnsi"/>
        </w:rPr>
      </w:pPr>
      <w:r>
        <w:rPr>
          <w:rFonts w:asciiTheme="majorHAnsi" w:hAnsiTheme="majorHAnsi" w:cstheme="majorHAnsi"/>
        </w:rPr>
        <w:t>DOTA</w:t>
      </w:r>
      <w:r w:rsidR="007705DF">
        <w:rPr>
          <w:rFonts w:asciiTheme="majorHAnsi" w:hAnsiTheme="majorHAnsi" w:cstheme="majorHAnsi"/>
        </w:rPr>
        <w:t>-Ac-225</w:t>
      </w:r>
      <w:r>
        <w:rPr>
          <w:rFonts w:asciiTheme="majorHAnsi" w:hAnsiTheme="majorHAnsi" w:cstheme="majorHAnsi"/>
        </w:rPr>
        <w:t xml:space="preserve">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7705DF">
        <w:rPr>
          <w:rFonts w:asciiTheme="majorHAnsi" w:hAnsiTheme="majorHAnsi" w:cstheme="majorHAnsi"/>
        </w:rPr>
        <w:t>DOTA-</w:t>
      </w:r>
      <w:r w:rsidR="00861B35">
        <w:rPr>
          <w:rFonts w:asciiTheme="majorHAnsi" w:hAnsiTheme="majorHAnsi" w:cstheme="majorHAnsi"/>
        </w:rPr>
        <w:t xml:space="preserve">Ac-227 </w:t>
      </w:r>
      <w:r w:rsidR="00724596">
        <w:rPr>
          <w:rFonts w:asciiTheme="majorHAnsi" w:hAnsiTheme="majorHAnsi" w:cstheme="majorHAnsi"/>
        </w:rPr>
        <w:t>bio</w:t>
      </w:r>
      <w:r w:rsidR="00861B35">
        <w:rPr>
          <w:rFonts w:asciiTheme="majorHAnsi" w:hAnsiTheme="majorHAnsi" w:cstheme="majorHAnsi"/>
        </w:rPr>
        <w:t>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w:t>
      </w:r>
      <w:r w:rsidR="007705DF">
        <w:rPr>
          <w:rFonts w:asciiTheme="majorHAnsi" w:hAnsiTheme="majorHAnsi" w:cstheme="majorHAnsi"/>
          <w:b/>
        </w:rPr>
        <w:t>C</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w:t>
      </w:r>
      <w:r w:rsidR="007705DF">
        <w:rPr>
          <w:rFonts w:asciiTheme="majorHAnsi" w:hAnsiTheme="majorHAnsi" w:cstheme="majorHAnsi"/>
          <w:b/>
        </w:rPr>
        <w:t>B</w:t>
      </w:r>
      <w:r w:rsidR="000B26C0" w:rsidRPr="000B26C0">
        <w:rPr>
          <w:rFonts w:asciiTheme="majorHAnsi" w:hAnsiTheme="majorHAnsi" w:cstheme="majorHAnsi"/>
          <w:b/>
        </w:rPr>
        <w:t>/D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w:t>
      </w:r>
      <w:r w:rsidR="00724596">
        <w:rPr>
          <w:rFonts w:asciiTheme="majorHAnsi" w:hAnsiTheme="majorHAnsi" w:cstheme="majorHAnsi"/>
        </w:rPr>
        <w:t>bio</w:t>
      </w:r>
      <w:r w:rsidR="00C61142">
        <w:rPr>
          <w:rFonts w:asciiTheme="majorHAnsi" w:hAnsiTheme="majorHAnsi" w:cstheme="majorHAnsi"/>
        </w:rPr>
        <w:t>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1D35C5BD"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 xml:space="preserve">equilibrium starts at roughly </w:t>
      </w:r>
      <w:r w:rsidR="00D04A6D">
        <w:rPr>
          <w:rFonts w:asciiTheme="majorHAnsi" w:hAnsiTheme="majorHAnsi" w:cstheme="majorHAnsi"/>
        </w:rPr>
        <w:lastRenderedPageBreak/>
        <w:t>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C37B98">
        <w:rPr>
          <w:rFonts w:asciiTheme="majorHAnsi" w:hAnsiTheme="majorHAnsi" w:cstheme="majorHAnsi"/>
          <w:b/>
        </w:rPr>
        <w:t>Figure 3</w:t>
      </w:r>
      <w:r w:rsidR="00D04A6D">
        <w:rPr>
          <w:rFonts w:asciiTheme="majorHAnsi" w:hAnsiTheme="majorHAnsi" w:cstheme="majorHAnsi"/>
          <w:b/>
        </w:rPr>
        <w:t>A</w:t>
      </w:r>
      <w:r w:rsidR="00D04A6D">
        <w:rPr>
          <w:rFonts w:asciiTheme="majorHAnsi" w:hAnsiTheme="majorHAnsi" w:cstheme="majorHAnsi"/>
        </w:rPr>
        <w:t>) shows</w:t>
      </w:r>
      <w:r>
        <w:rPr>
          <w:rFonts w:asciiTheme="majorHAnsi" w:hAnsiTheme="majorHAnsi" w:cstheme="majorHAnsi"/>
        </w:rPr>
        <w:t xml:space="preserv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xml:space="preserve">, with LR </w:t>
      </w:r>
      <w:r w:rsidR="00C37B98">
        <w:rPr>
          <w:rFonts w:asciiTheme="majorHAnsi" w:hAnsiTheme="majorHAnsi" w:cstheme="majorHAnsi"/>
        </w:rPr>
        <w:t xml:space="preserve">well </w:t>
      </w:r>
      <w:r w:rsidR="005A7BA4">
        <w:rPr>
          <w:rFonts w:asciiTheme="majorHAnsi" w:hAnsiTheme="majorHAnsi" w:cstheme="majorHAnsi"/>
        </w:rPr>
        <w:t>below 1</w:t>
      </w:r>
      <w:r w:rsidR="00C37B98">
        <w:rPr>
          <w:rFonts w:asciiTheme="majorHAnsi" w:hAnsiTheme="majorHAnsi" w:cstheme="majorHAnsi"/>
        </w:rPr>
        <w:t xml:space="preserve"> for all tissues other than the abdominal remaining tissues (ART)</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w:t>
      </w:r>
      <w:r w:rsidR="00374B2A">
        <w:rPr>
          <w:rFonts w:asciiTheme="majorHAnsi" w:hAnsiTheme="majorHAnsi" w:cstheme="majorHAnsi"/>
        </w:rPr>
        <w:t>-</w:t>
      </w:r>
      <w:r w:rsidR="004B408E">
        <w:rPr>
          <w:rFonts w:asciiTheme="majorHAnsi" w:hAnsiTheme="majorHAnsi" w:cstheme="majorHAnsi"/>
        </w:rPr>
        <w:t xml:space="preserve">day time point for Trastuzumab-DOTA-Ac LR is beyond the scale due to extremely low activity in the Ac-227 </w:t>
      </w:r>
      <w:r w:rsidR="00C37B98">
        <w:rPr>
          <w:rFonts w:asciiTheme="majorHAnsi" w:hAnsiTheme="majorHAnsi" w:cstheme="majorHAnsi"/>
        </w:rPr>
        <w:t xml:space="preserve">blood sample, and there is no </w:t>
      </w:r>
      <w:r w:rsidR="004B408E">
        <w:rPr>
          <w:rFonts w:asciiTheme="majorHAnsi" w:hAnsiTheme="majorHAnsi" w:cstheme="majorHAnsi"/>
        </w:rPr>
        <w:t>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5844B0A9" w:rsidR="002C4963" w:rsidRPr="006746F2"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r w:rsidR="009245E6">
        <w:rPr>
          <w:rFonts w:asciiTheme="majorHAnsi" w:hAnsiTheme="majorHAnsi" w:cstheme="majorHAnsi"/>
        </w:rPr>
        <w:t xml:space="preserve"> </w:t>
      </w:r>
      <w:r w:rsidR="009245E6" w:rsidRPr="009245E6">
        <w:rPr>
          <w:rFonts w:asciiTheme="majorHAnsi" w:hAnsiTheme="majorHAnsi" w:cstheme="majorHAnsi"/>
          <w:b/>
        </w:rPr>
        <w:t>Figures 4</w:t>
      </w:r>
      <w:r w:rsidR="009245E6">
        <w:rPr>
          <w:rFonts w:asciiTheme="majorHAnsi" w:hAnsiTheme="majorHAnsi" w:cstheme="majorHAnsi"/>
        </w:rPr>
        <w:t xml:space="preserve"> and </w:t>
      </w:r>
      <w:r w:rsidR="009245E6" w:rsidRPr="009245E6">
        <w:rPr>
          <w:rFonts w:asciiTheme="majorHAnsi" w:hAnsiTheme="majorHAnsi" w:cstheme="majorHAnsi"/>
          <w:b/>
        </w:rPr>
        <w:t>5</w:t>
      </w:r>
      <w:r w:rsidR="009245E6">
        <w:rPr>
          <w:rFonts w:asciiTheme="majorHAnsi" w:hAnsiTheme="majorHAnsi" w:cstheme="majorHAnsi"/>
        </w:rPr>
        <w:t xml:space="preserve"> show extrapolated </w:t>
      </w:r>
      <w:r w:rsidR="006746F2">
        <w:rPr>
          <w:rFonts w:asciiTheme="majorHAnsi" w:hAnsiTheme="majorHAnsi" w:cstheme="majorHAnsi"/>
        </w:rPr>
        <w:t xml:space="preserve">future </w:t>
      </w:r>
      <w:r w:rsidR="009245E6">
        <w:rPr>
          <w:rFonts w:asciiTheme="majorHAnsi" w:hAnsiTheme="majorHAnsi" w:cstheme="majorHAnsi"/>
        </w:rPr>
        <w:t>dose</w:t>
      </w:r>
      <w:r w:rsidR="007A5FC4">
        <w:rPr>
          <w:rFonts w:asciiTheme="majorHAnsi" w:hAnsiTheme="majorHAnsi" w:cstheme="majorHAnsi"/>
        </w:rPr>
        <w:t xml:space="preserve"> (</w:t>
      </w:r>
      <w:r w:rsidR="007A5FC4" w:rsidRPr="007A5FC4">
        <w:rPr>
          <w:rFonts w:asciiTheme="majorHAnsi" w:hAnsiTheme="majorHAnsi" w:cstheme="majorHAnsi"/>
          <w:b/>
        </w:rPr>
        <w:t>Figure S9</w:t>
      </w:r>
      <w:r w:rsidR="007A5FC4">
        <w:rPr>
          <w:rFonts w:asciiTheme="majorHAnsi" w:hAnsiTheme="majorHAnsi" w:cstheme="majorHAnsi"/>
        </w:rPr>
        <w:t xml:space="preserve"> and </w:t>
      </w:r>
      <w:r w:rsidR="007A5FC4" w:rsidRPr="007A5FC4">
        <w:rPr>
          <w:rFonts w:asciiTheme="majorHAnsi" w:hAnsiTheme="majorHAnsi" w:cstheme="majorHAnsi"/>
          <w:b/>
        </w:rPr>
        <w:t>S10</w:t>
      </w:r>
      <w:r w:rsidR="007A5FC4">
        <w:rPr>
          <w:rFonts w:asciiTheme="majorHAnsi" w:hAnsiTheme="majorHAnsi" w:cstheme="majorHAnsi"/>
        </w:rPr>
        <w:t xml:space="preserve"> are in log scale)</w:t>
      </w:r>
      <w:r w:rsidR="009245E6">
        <w:rPr>
          <w:rFonts w:asciiTheme="majorHAnsi" w:hAnsiTheme="majorHAnsi" w:cstheme="majorHAnsi"/>
        </w:rPr>
        <w:t xml:space="preserve">, and </w:t>
      </w:r>
      <w:r w:rsidR="009245E6" w:rsidRPr="009245E6">
        <w:rPr>
          <w:rFonts w:asciiTheme="majorHAnsi" w:hAnsiTheme="majorHAnsi" w:cstheme="majorHAnsi"/>
          <w:b/>
        </w:rPr>
        <w:t>Figure S2</w:t>
      </w:r>
      <w:r w:rsidR="009245E6">
        <w:rPr>
          <w:rFonts w:asciiTheme="majorHAnsi" w:hAnsiTheme="majorHAnsi" w:cstheme="majorHAnsi"/>
        </w:rPr>
        <w:t xml:space="preserve"> shows dose at each collected time point. HOPO doses are found in </w:t>
      </w:r>
      <w:r w:rsidR="009245E6">
        <w:rPr>
          <w:rFonts w:asciiTheme="majorHAnsi" w:hAnsiTheme="majorHAnsi" w:cstheme="majorHAnsi"/>
          <w:b/>
        </w:rPr>
        <w:t xml:space="preserve">Figures S5 </w:t>
      </w:r>
      <w:r w:rsidR="009245E6">
        <w:rPr>
          <w:rFonts w:asciiTheme="majorHAnsi" w:hAnsiTheme="majorHAnsi" w:cstheme="majorHAnsi"/>
        </w:rPr>
        <w:t xml:space="preserve">and </w:t>
      </w:r>
      <w:r w:rsidR="009245E6" w:rsidRPr="009245E6">
        <w:rPr>
          <w:rFonts w:asciiTheme="majorHAnsi" w:hAnsiTheme="majorHAnsi" w:cstheme="majorHAnsi"/>
          <w:b/>
        </w:rPr>
        <w:t>S6</w:t>
      </w:r>
      <w:r w:rsidR="006746F2">
        <w:rPr>
          <w:rFonts w:asciiTheme="majorHAnsi" w:hAnsiTheme="majorHAnsi" w:cstheme="majorHAnsi"/>
        </w:rPr>
        <w:t xml:space="preserve">, and time taken to reach dose equivalency is found in </w:t>
      </w:r>
      <w:r w:rsidR="006746F2">
        <w:rPr>
          <w:rFonts w:asciiTheme="majorHAnsi" w:hAnsiTheme="majorHAnsi" w:cstheme="majorHAnsi"/>
          <w:b/>
        </w:rPr>
        <w:t>Figure S7</w:t>
      </w:r>
      <w:r w:rsidR="006746F2">
        <w:rPr>
          <w:rFonts w:asciiTheme="majorHAnsi" w:hAnsiTheme="majorHAnsi" w:cstheme="majorHAnsi"/>
        </w:rPr>
        <w:t>.</w:t>
      </w:r>
      <w:r w:rsidR="007A5FC4">
        <w:rPr>
          <w:rFonts w:asciiTheme="majorHAnsi" w:hAnsiTheme="majorHAnsi" w:cstheme="majorHAnsi"/>
        </w:rPr>
        <w:t xml:space="preserve"> </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0D124E1"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 xml:space="preserve">Figure </w:t>
      </w:r>
      <w:r w:rsidR="00C37B98">
        <w:rPr>
          <w:rFonts w:asciiTheme="majorHAnsi" w:hAnsiTheme="majorHAnsi" w:cstheme="majorHAnsi"/>
          <w:b/>
        </w:rPr>
        <w:t>4A</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 xml:space="preserve">Figure </w:t>
      </w:r>
      <w:r w:rsidR="00C37B98">
        <w:rPr>
          <w:rFonts w:asciiTheme="majorHAnsi" w:hAnsiTheme="majorHAnsi" w:cstheme="majorHAnsi"/>
          <w:b/>
        </w:rPr>
        <w:t>4B</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 xml:space="preserve">Figure </w:t>
      </w:r>
      <w:r w:rsidR="00C37B98">
        <w:rPr>
          <w:rFonts w:asciiTheme="majorHAnsi" w:hAnsiTheme="majorHAnsi" w:cstheme="majorHAnsi"/>
          <w:b/>
        </w:rPr>
        <w:t>4B</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w:t>
      </w:r>
      <w:r w:rsidR="005104C0">
        <w:rPr>
          <w:rFonts w:asciiTheme="majorHAnsi" w:hAnsiTheme="majorHAnsi" w:cstheme="majorHAnsi"/>
        </w:rPr>
        <w:lastRenderedPageBreak/>
        <w:t>20 times at 7946 days (</w:t>
      </w:r>
      <w:r w:rsidR="005104C0">
        <w:rPr>
          <w:rFonts w:asciiTheme="majorHAnsi" w:hAnsiTheme="majorHAnsi" w:cstheme="majorHAnsi"/>
          <w:b/>
        </w:rPr>
        <w:t xml:space="preserve">Figure </w:t>
      </w:r>
      <w:r w:rsidR="00C37B98">
        <w:rPr>
          <w:rFonts w:asciiTheme="majorHAnsi" w:hAnsiTheme="majorHAnsi" w:cstheme="majorHAnsi"/>
          <w:b/>
        </w:rPr>
        <w:t>4C</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 xml:space="preserve">Figure </w:t>
      </w:r>
      <w:r w:rsidR="00C37B98">
        <w:rPr>
          <w:rFonts w:asciiTheme="majorHAnsi" w:hAnsiTheme="majorHAnsi" w:cstheme="majorHAnsi"/>
          <w:b/>
        </w:rPr>
        <w:t>5A</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 xml:space="preserve">Figure </w:t>
      </w:r>
      <w:r w:rsidR="00C37B98">
        <w:rPr>
          <w:rFonts w:asciiTheme="majorHAnsi" w:hAnsiTheme="majorHAnsi" w:cstheme="majorHAnsi"/>
          <w:b/>
        </w:rPr>
        <w:t>5B</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78B4F200"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 xml:space="preserve">Figure </w:t>
      </w:r>
      <w:r w:rsidR="00C37B98">
        <w:rPr>
          <w:rFonts w:asciiTheme="majorHAnsi" w:hAnsiTheme="majorHAnsi" w:cstheme="majorHAnsi"/>
          <w:b/>
        </w:rPr>
        <w:t>4D</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 xml:space="preserve">Figure </w:t>
      </w:r>
      <w:r w:rsidR="00C37B98">
        <w:rPr>
          <w:rFonts w:asciiTheme="majorHAnsi" w:hAnsiTheme="majorHAnsi" w:cstheme="majorHAnsi"/>
          <w:b/>
        </w:rPr>
        <w:t>4E</w:t>
      </w:r>
      <w:r w:rsidR="00C25F05">
        <w:rPr>
          <w:rFonts w:asciiTheme="majorHAnsi" w:hAnsiTheme="majorHAnsi" w:cstheme="majorHAnsi"/>
        </w:rPr>
        <w:t xml:space="preserve">) for a </w:t>
      </w:r>
      <w:r w:rsidR="00C37B98">
        <w:rPr>
          <w:rFonts w:asciiTheme="majorHAnsi" w:hAnsiTheme="majorHAnsi" w:cstheme="majorHAnsi"/>
        </w:rPr>
        <w:t>dose ratio of Ac-227/</w:t>
      </w:r>
      <w:r w:rsidR="00C25F05">
        <w:rPr>
          <w:rFonts w:asciiTheme="majorHAnsi" w:hAnsiTheme="majorHAnsi" w:cstheme="majorHAnsi"/>
        </w:rPr>
        <w:t>Ac-225 of roughly 1-5:1 for all samples but blood (</w:t>
      </w:r>
      <w:r w:rsidR="00C25F05">
        <w:rPr>
          <w:rFonts w:asciiTheme="majorHAnsi" w:hAnsiTheme="majorHAnsi" w:cstheme="majorHAnsi"/>
          <w:b/>
        </w:rPr>
        <w:t xml:space="preserve">Figure </w:t>
      </w:r>
      <w:r w:rsidR="00C37B98">
        <w:rPr>
          <w:rFonts w:asciiTheme="majorHAnsi" w:hAnsiTheme="majorHAnsi" w:cstheme="majorHAnsi"/>
          <w:b/>
        </w:rPr>
        <w:t>4F</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Gy/day (95% CI 0.7</w:t>
      </w:r>
      <w:r w:rsidR="002F0417">
        <w:rPr>
          <w:rFonts w:asciiTheme="majorHAnsi" w:hAnsiTheme="majorHAnsi" w:cstheme="majorHAnsi"/>
        </w:rPr>
        <w:t>1-1.1</w:t>
      </w:r>
      <w:r w:rsidR="00CF2B00">
        <w:rPr>
          <w:rFonts w:asciiTheme="majorHAnsi" w:hAnsiTheme="majorHAnsi" w:cstheme="majorHAnsi"/>
        </w:rPr>
        <w:t xml:space="preserve"> Gy/day)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 xml:space="preserve">Figure </w:t>
      </w:r>
      <w:r w:rsidR="00C37B98">
        <w:rPr>
          <w:rFonts w:asciiTheme="majorHAnsi" w:hAnsiTheme="majorHAnsi" w:cstheme="majorHAnsi"/>
          <w:b/>
        </w:rPr>
        <w:t>5C</w:t>
      </w:r>
      <w:r w:rsidR="002F0417">
        <w:rPr>
          <w:rFonts w:asciiTheme="majorHAnsi" w:hAnsiTheme="majorHAnsi" w:cstheme="majorHAnsi"/>
        </w:rPr>
        <w:t>), and at 200 days 0.058</w:t>
      </w:r>
      <w:r w:rsidR="00CF2B00">
        <w:rPr>
          <w:rFonts w:asciiTheme="majorHAnsi" w:hAnsiTheme="majorHAnsi" w:cstheme="majorHAnsi"/>
        </w:rPr>
        <w:t xml:space="preserve"> Gy/day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Gy/day) for Trastuzumab-DOTA-Ac-227 (</w:t>
      </w:r>
      <w:r w:rsidR="00CF2B00">
        <w:rPr>
          <w:rFonts w:asciiTheme="majorHAnsi" w:hAnsiTheme="majorHAnsi" w:cstheme="majorHAnsi"/>
          <w:b/>
        </w:rPr>
        <w:t xml:space="preserve">Figure </w:t>
      </w:r>
      <w:r w:rsidR="00C37B98">
        <w:rPr>
          <w:rFonts w:asciiTheme="majorHAnsi" w:hAnsiTheme="majorHAnsi" w:cstheme="majorHAnsi"/>
          <w:b/>
        </w:rPr>
        <w:t>5D</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Gy (95% CI 0.49-0.58 Gy) and 1.42 </w:t>
      </w:r>
      <w:r w:rsidR="00485645">
        <w:rPr>
          <w:rFonts w:asciiTheme="majorHAnsi" w:hAnsiTheme="majorHAnsi" w:cstheme="majorHAnsi"/>
        </w:rPr>
        <w:t>(95% CI 1.35-1.49) respectively, as was the kidney dose per day, with Ac-225 at 3 mGy/day (95% CI 2.9-3.1 mGy/day) and Ac-227 at 54 µGy/day (95% CI 51-56 µGy/day).</w:t>
      </w:r>
    </w:p>
    <w:p w14:paraId="4D389AE2" w14:textId="77777777" w:rsidR="00B871F3" w:rsidRDefault="00B871F3">
      <w:pPr>
        <w:rPr>
          <w:rFonts w:asciiTheme="majorHAnsi" w:hAnsiTheme="majorHAnsi" w:cstheme="majorHAnsi"/>
          <w:b/>
          <w:sz w:val="24"/>
        </w:rPr>
      </w:pPr>
      <w:r>
        <w:rPr>
          <w:rFonts w:asciiTheme="majorHAnsi" w:hAnsiTheme="majorHAnsi" w:cstheme="majorHAnsi"/>
          <w:b/>
          <w:sz w:val="24"/>
        </w:rPr>
        <w:br w:type="page"/>
      </w:r>
    </w:p>
    <w:p w14:paraId="66F8CBB4" w14:textId="6A6F5C6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DISCUSSION</w:t>
      </w:r>
    </w:p>
    <w:p w14:paraId="71ABB571" w14:textId="0E2E9C11"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724596">
        <w:rPr>
          <w:rFonts w:asciiTheme="majorHAnsi" w:hAnsiTheme="majorHAnsi" w:cstheme="majorHAnsi"/>
        </w:rPr>
        <w:t xml:space="preserve">in time, disallowing future distribution, </w:t>
      </w:r>
      <w:r w:rsidR="00B9671C">
        <w:rPr>
          <w:rFonts w:asciiTheme="majorHAnsi" w:hAnsiTheme="majorHAnsi" w:cstheme="majorHAnsi"/>
        </w:rPr>
        <w:t xml:space="preserve">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B71CFF">
        <w:rPr>
          <w:rFonts w:asciiTheme="majorHAnsi" w:hAnsiTheme="majorHAnsi" w:cstheme="majorHAnsi"/>
        </w:rPr>
        <w:t>Also, all samples were left to sit to secular equilibrium for Ac-225 and Ac-227 counting</w:t>
      </w:r>
      <w:r w:rsidR="0074554B">
        <w:rPr>
          <w:rFonts w:asciiTheme="majorHAnsi" w:hAnsiTheme="majorHAnsi" w:cstheme="majorHAnsi"/>
        </w:rPr>
        <w:t xml:space="preserve"> (see </w:t>
      </w:r>
      <w:r w:rsidR="0074554B">
        <w:rPr>
          <w:rFonts w:asciiTheme="majorHAnsi" w:hAnsiTheme="majorHAnsi" w:cstheme="majorHAnsi"/>
          <w:b/>
        </w:rPr>
        <w:t>Figure 1</w:t>
      </w:r>
      <w:r w:rsidR="0074554B">
        <w:rPr>
          <w:rFonts w:asciiTheme="majorHAnsi" w:hAnsiTheme="majorHAnsi" w:cstheme="majorHAnsi"/>
        </w:rPr>
        <w:t>)</w:t>
      </w:r>
      <w:r w:rsidR="00B71CF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374B2A">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Nanogenerators","type":"article-journal","volume":"294"},"uris":["http://www.mendeley.com/documents/?uuid=36542395-423f-46e8-be45-67aacfc4195c"]},{"id":"ITEM-2","itemData":{"DOI":"10.1186/s13550-017-0303-2","ISSN":"2191219X","abstract":"BACKGROUND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Research","id":"ITEM-2","issued":{"date-parts":[["2017"]]},"publisher":"EJNMMI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14,15&lt;/sup&gt;","plainTextFormattedCitation":"14,15"},"properties":{"noteIndex":0},"schema":"https://github.com/citation-style-language/schema/raw/master/csl-citation.json"}</w:instrText>
      </w:r>
      <w:r w:rsidR="00374B2A">
        <w:rPr>
          <w:rFonts w:asciiTheme="majorHAnsi" w:hAnsiTheme="majorHAnsi" w:cstheme="majorHAnsi"/>
        </w:rPr>
        <w:fldChar w:fldCharType="separate"/>
      </w:r>
      <w:r w:rsidR="00374B2A" w:rsidRPr="00374B2A">
        <w:rPr>
          <w:rFonts w:asciiTheme="majorHAnsi" w:hAnsiTheme="majorHAnsi" w:cstheme="majorHAnsi"/>
          <w:noProof/>
          <w:vertAlign w:val="superscript"/>
        </w:rPr>
        <w:t>14,15</w:t>
      </w:r>
      <w:r w:rsidR="00374B2A">
        <w:rPr>
          <w:rFonts w:asciiTheme="majorHAnsi" w:hAnsiTheme="majorHAnsi" w:cstheme="majorHAnsi"/>
        </w:rPr>
        <w:fldChar w:fldCharType="end"/>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374B2A">
        <w:rPr>
          <w:rFonts w:asciiTheme="majorHAnsi" w:hAnsiTheme="majorHAnsi" w:cstheme="majorHAnsi"/>
        </w:rPr>
        <w:t>these</w:t>
      </w:r>
      <w:r w:rsidR="00FC4EE4">
        <w:rPr>
          <w:rFonts w:asciiTheme="majorHAnsi" w:hAnsiTheme="majorHAnsi" w:cstheme="majorHAnsi"/>
        </w:rPr>
        <w:t xml:space="preserve"> </w:t>
      </w:r>
      <w:r w:rsidR="001241BF">
        <w:rPr>
          <w:rFonts w:asciiTheme="majorHAnsi" w:hAnsiTheme="majorHAnsi" w:cstheme="majorHAnsi"/>
        </w:rPr>
        <w:t>MTD</w:t>
      </w:r>
      <w:r w:rsidR="00374B2A">
        <w:rPr>
          <w:rFonts w:asciiTheme="majorHAnsi" w:hAnsiTheme="majorHAnsi" w:cstheme="majorHAnsi"/>
        </w:rPr>
        <w:t xml:space="preserve"> are</w:t>
      </w:r>
      <w:r w:rsidR="00FC4EE4">
        <w:rPr>
          <w:rFonts w:asciiTheme="majorHAnsi" w:hAnsiTheme="majorHAnsi" w:cstheme="majorHAnsi"/>
        </w:rPr>
        <w:t xml:space="preserve">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738CCFF3"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sidR="008B6689">
        <w:rPr>
          <w:rFonts w:asciiTheme="majorHAnsi" w:hAnsiTheme="majorHAnsi" w:cstheme="majorHAnsi"/>
        </w:rPr>
        <w:t xml:space="preserve"> radiotherapies, as well as</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8B6689">
        <w:rPr>
          <w:rFonts w:asciiTheme="majorHAnsi" w:hAnsiTheme="majorHAnsi" w:cstheme="majorHAnsi"/>
        </w:rPr>
        <w:t xml:space="preserve"> </w:t>
      </w:r>
      <w:r w:rsidR="004C76AA">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{"citationItems":[{"id":"ITEM-1","itemData":{"DOI":"10.2967/jnumed.110.075101","ISSN":"0161-5505","abstract":"Peptide-receptor radionuclide therapy (PRRT) with radiolabeled somatostatin analogs such as octreotide is an effective therapy against neuroendocrine tumors. Other radiolabeled peptides and antibody fragments are under investigation. Most of these compounds are cleared through the kidneys and reabsorbed and partially retained in the proximal tubules, causing dose-limiting nephrotoxicity. An overview of renal handling of radiolabeled peptides and resulting nephrotoxicity is presented, and strategies to reduce nephrotoxicity are discussed. Modification of size, charge, or structure of radiolabeled peptides can alter glomerular filtration and tubular reabsorption. Coinfusion of competitive inhibitors of reabsorption also interferes with the interaction of peptides with renal endocytic receptors; coinfusion of basic amino acids is currently used for kidney protection in clinical PRRT. Furthermore, nephrotoxicity may be reduced by dose fractionation, use of radioprotectors, or use of mitigating agents. Decreasing the risk of nephrotoxicity allows for administration of higher radiation doses, increasing the effectiveness of PRRT. COPYRIGHT © 2010 by the Society of Nuclear Medicine, Inc.","author":[{"dropping-particle":"","family":"Vegt","given":"E.","non-dropping-particle":"","parse-names":false,"suffix":""},{"dropping-particle":"","family":"Jong","given":"M.","non-dropping-particle":"de","parse-names":false,"suffix":""},{"dropping-particle":"","family":"Wetzels","given":"J. F. M.","non-dropping-particle":"","parse-names":false,"suffix":""},{"dropping-particle":"","family":"Masereeuw","given":"R.","non-dropping-particle":"","parse-names":false,"suffix":""},{"dropping-particle":"","family":"Melis","given":"M.","non-dropping-particle":"","parse-names":false,"suffix":""},{"dropping-particle":"","family":"Oyen","given":"W. J. G.","non-dropping-particle":"","parse-names":false,"suffix":""},{"dropping-particle":"","family":"Gotthardt","given":"M.","non-dropping-particle":"","parse-names":false,"suffix":""},{"dropping-particle":"","family":"Boerman","given":"O. C.","non-dropping-particle":"","parse-names":false,"suffix":""}],"container-title":"Journal of Nuclear Medicine","id":"ITEM-1","issued":{"date-parts":[["2010"]]},"title":"Renal Toxicity of Radiolabeled Peptides and Antibody Fragments: Mechanisms, Impact on Radionuclide Therapy, and Strategies for Prevention","type":"article-journal"},"uris":["http://www.mendeley.com/documents/?uuid=9deb9ff0-e97e-4a73-ae95-4f88a91e0d78"]},{"id":"ITEM-2","itemData":{"DOI":"10.1016/B978-0-12-415948-8.00007-6","ISBN":"9780124159488","abstract":"Radiation-associated kidney injury, also known as radiation nephropathy, can occur in both the acute and chronic phase, but most commonly occurs 612 months after exposure. It is difficult to predict who is at risk for radiation nephropathy because of the varying doses, dosing fractionation and other systemic treatments cancer patients receive. Patients typically present with hypertension, edema and proteinuria consistent with an acute kidney injury but can also be accompanied by microangiopathic hemolytic anemia with schistocytes and thrombocytopenia. Renal biopsy findings are not specific to radiation injury and are more typical of HUS. Progression to chronic renal failure and ultimately to dialysis dependence is common. ACE inhibitors and ARBs are increasingly being used as successful treatment. The development of end stage renal disease is a poor prognostic event in these patients and survival on chronic dialysis is poor compared to that of age-matched non-diabetic and diabetic patients. © 2014 Elsevier Inc. All rights reserved.","author":[{"dropping-particle":"","family":"Podoll","given":"Amber S.","non-dropping-particle":"","parse-names":false,"suffix":""},{"dropping-particle":"","family":"Amsbaugh","given":"Mark J.","non-dropping-particle":"","parse-names":false,"suffix":""}],"container-title":"Renal Disease in Cancer Patients","id":"ITEM-2","issued":{"date-parts":[["2013"]]},"title":"Radiation-associated Kidney Injury","type":"chapter"},"uris":["http://www.mendeley.com/documents/?uuid=b99ba3b6-c60b-4fb9-8e88-e0f420b857ab"]},{"id":"ITEM-3","itemData":{"DOI":"10.2174/1874471011104040306","ISSN":"18744710","abstract":"Alpha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Radiopharmaceuticalse","id":"ITEM-3","issued":{"date-parts":[["2012"]]},"title":"Actinium-225 in Targeted Alpha-Particle Therapeutic Applications","type":"article-journal"},"uris":["http://www.mendeley.com/documents/?uuid=cdc15e80-a60e-47fa-8337-7dfbc43ce93a"]}],"mendeley":{"formattedCitation":"&lt;sup&gt;16–18&lt;/sup&gt;","plainTextFormattedCitation":"16–18","previouslyFormattedCitation":"&lt;sup&gt;16–18&lt;/sup&gt;"},"properties":{"noteIndex":0},"schema":"https://github.com/citation-style-language/schema/raw/master/csl-citation.json"}</w:instrText>
      </w:r>
      <w:r w:rsidR="004C76AA">
        <w:rPr>
          <w:rFonts w:asciiTheme="majorHAnsi" w:hAnsiTheme="majorHAnsi" w:cstheme="majorHAnsi"/>
        </w:rPr>
        <w:fldChar w:fldCharType="separate"/>
      </w:r>
      <w:r w:rsidR="00374B2A" w:rsidRPr="00374B2A">
        <w:rPr>
          <w:rFonts w:asciiTheme="majorHAnsi" w:hAnsiTheme="majorHAnsi" w:cstheme="majorHAnsi"/>
          <w:noProof/>
          <w:vertAlign w:val="superscript"/>
        </w:rPr>
        <w:t>16–18</w:t>
      </w:r>
      <w:r w:rsidR="004C76AA">
        <w:rPr>
          <w:rFonts w:asciiTheme="majorHAnsi" w:hAnsiTheme="majorHAnsi" w:cstheme="majorHAnsi"/>
        </w:rPr>
        <w:fldChar w:fldCharType="end"/>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374B2A">
        <w:rPr>
          <w:rFonts w:ascii="Calibri Light" w:hAnsi="Calibri Light" w:cs="Calibri Light"/>
        </w:rPr>
        <w:instrText></w:instrText>
      </w:r>
      <w:r w:rsidR="00374B2A">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1,19&lt;/sup&gt;","plainTextFormattedCitation":"1,19","previouslyFormattedCitation":"&lt;sup&gt;1,19&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1,19</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B86CAB">
        <w:rPr>
          <w:rFonts w:asciiTheme="majorHAnsi" w:hAnsiTheme="majorHAnsi" w:cstheme="majorHAnsi"/>
        </w:rPr>
        <w:t>,</w:t>
      </w:r>
      <w:r w:rsidR="000E698C">
        <w:rPr>
          <w:rFonts w:asciiTheme="majorHAnsi" w:hAnsiTheme="majorHAnsi" w:cstheme="majorHAnsi"/>
        </w:rPr>
        <w:t xml:space="preserve"> 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1EEDEE74"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(3.36 Gy) from 3x fractionated ~7.4 MBq doses (200 nCi each, 5.6 Gy/µCi) </w:t>
      </w:r>
      <w:r>
        <w:rPr>
          <w:rFonts w:asciiTheme="majorHAnsi" w:hAnsiTheme="majorHAnsi" w:cstheme="majorHAnsi"/>
        </w:rPr>
        <w:fldChar w:fldCharType="begin" w:fldLock="1"/>
      </w:r>
      <w:r w:rsidR="00E92E61">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1,2&lt;/sup&gt;","plainTextFormattedCitation":"1,2","previouslyFormattedCitation":"&lt;sup&gt;1,2&lt;/sup&gt;"},"properties":{"noteIndex":0},"schema":"https://github.com/citation-style-language/schema/raw/master/csl-citation.json"}</w:instrText>
      </w:r>
      <w:r>
        <w:rPr>
          <w:rFonts w:asciiTheme="majorHAnsi" w:hAnsiTheme="majorHAnsi" w:cstheme="majorHAnsi"/>
        </w:rPr>
        <w:fldChar w:fldCharType="separate"/>
      </w:r>
      <w:r w:rsidR="00E92E61" w:rsidRPr="00E92E61">
        <w:rPr>
          <w:rFonts w:asciiTheme="majorHAnsi" w:hAnsiTheme="majorHAnsi" w:cstheme="majorHAnsi"/>
          <w:noProof/>
          <w:vertAlign w:val="superscript"/>
        </w:rPr>
        <w:t>1,2</w:t>
      </w:r>
      <w:r>
        <w:rPr>
          <w:rFonts w:asciiTheme="majorHAnsi" w:hAnsiTheme="majorHAnsi" w:cstheme="majorHAnsi"/>
        </w:rPr>
        <w:fldChar w:fldCharType="end"/>
      </w:r>
      <w:r w:rsidR="008B6689">
        <w:rPr>
          <w:rFonts w:asciiTheme="majorHAnsi" w:hAnsiTheme="majorHAnsi" w:cstheme="majorHAnsi"/>
        </w:rPr>
        <w:t>, with an approximate</w:t>
      </w:r>
      <w:r>
        <w:rPr>
          <w:rFonts w:asciiTheme="majorHAnsi" w:hAnsiTheme="majorHAnsi" w:cstheme="majorHAnsi"/>
        </w:rPr>
        <w:t xml:space="preserve"> 27 Sv</w:t>
      </w:r>
      <w:r>
        <w:rPr>
          <w:rFonts w:asciiTheme="majorHAnsi" w:hAnsiTheme="majorHAnsi" w:cstheme="majorHAnsi"/>
          <w:vertAlign w:val="subscript"/>
        </w:rPr>
        <w:t>RBE5</w:t>
      </w:r>
      <w:r>
        <w:rPr>
          <w:rFonts w:asciiTheme="majorHAnsi" w:hAnsiTheme="majorHAnsi" w:cstheme="majorHAnsi"/>
        </w:rPr>
        <w:t xml:space="preserve"> as the MTD (5.4 Gy)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20&lt;/sup&gt;","plainTextFormattedCitation":"20","previouslyFormattedCitation":"&lt;sup&gt;20&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20</w:t>
      </w:r>
      <w:r>
        <w:rPr>
          <w:rFonts w:asciiTheme="majorHAnsi" w:hAnsiTheme="majorHAnsi" w:cstheme="majorHAnsi"/>
        </w:rPr>
        <w:fldChar w:fldCharType="end"/>
      </w:r>
      <w:r>
        <w:rPr>
          <w:rFonts w:asciiTheme="majorHAnsi" w:hAnsiTheme="majorHAnsi" w:cstheme="majorHAnsi"/>
        </w:rPr>
        <w:t xml:space="preserve">. </w:t>
      </w:r>
      <w:commentRangeStart w:id="2"/>
      <w:r w:rsidRPr="00D11B38">
        <w:rPr>
          <w:rFonts w:asciiTheme="majorHAnsi" w:hAnsiTheme="majorHAnsi" w:cstheme="majorHAnsi"/>
          <w:highlight w:val="yellow"/>
        </w:rPr>
        <w:t>For protein based Ac-225 radioimmunoconjugates, clinicaltrials.org shows six recruiting/active/completed phase I studies in the United States, however dose estimate data could not be found.</w:t>
      </w:r>
      <w:commentRangeEnd w:id="2"/>
      <w:r w:rsidRPr="00D11B38">
        <w:rPr>
          <w:rStyle w:val="CommentReference"/>
          <w:highlight w:val="yellow"/>
        </w:rPr>
        <w:commentReference w:id="2"/>
      </w:r>
      <w:r>
        <w:rPr>
          <w:rFonts w:asciiTheme="majorHAnsi" w:hAnsiTheme="majorHAnsi" w:cstheme="majorHAnsi"/>
        </w:rPr>
        <w:t xml:space="preserve"> Nonetheless for an estimate, in mice, there have been a few studies reporting a variety of ranges for radioimmunoconjugate dosimetry. In one study with Ac-225-HuM195 antibody conjugates, an upper-</w:t>
      </w:r>
      <w:r>
        <w:rPr>
          <w:rFonts w:asciiTheme="majorHAnsi" w:hAnsiTheme="majorHAnsi" w:cstheme="majorHAnsi"/>
        </w:rPr>
        <w:lastRenderedPageBreak/>
        <w:t>end kidney dose of 27.6 Gy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nCi administration to SCID mice, giving (79 Gy/µCi)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21&lt;/sup&gt;","plainTextFormattedCitation":"21","previouslyFormattedCitation":"&lt;sup&gt;21&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21</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r w:rsidRPr="00C026AE">
        <w:rPr>
          <w:rFonts w:asciiTheme="majorHAnsi" w:hAnsiTheme="majorHAnsi" w:cstheme="majorHAnsi"/>
          <w:i/>
        </w:rPr>
        <w:t>neu</w:t>
      </w:r>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kBq dose (405 nCi) created absorbed doses of 9.2 Gy kidneys (22.7 Gy/uCi, 46 Sv</w:t>
      </w:r>
      <w:r>
        <w:rPr>
          <w:rFonts w:asciiTheme="majorHAnsi" w:hAnsiTheme="majorHAnsi" w:cstheme="majorHAnsi"/>
          <w:vertAlign w:val="subscript"/>
        </w:rPr>
        <w:t>RBE5</w:t>
      </w:r>
      <w:r>
        <w:rPr>
          <w:rFonts w:asciiTheme="majorHAnsi" w:hAnsiTheme="majorHAnsi" w:cstheme="majorHAnsi"/>
        </w:rPr>
        <w:t>), 11.1 Gy liver (27.4 Gy/µCi, 55.5 Sv</w:t>
      </w:r>
      <w:r>
        <w:rPr>
          <w:rFonts w:asciiTheme="majorHAnsi" w:hAnsiTheme="majorHAnsi" w:cstheme="majorHAnsi"/>
          <w:vertAlign w:val="subscript"/>
        </w:rPr>
        <w:t>RBE5</w:t>
      </w:r>
      <w:r>
        <w:rPr>
          <w:rFonts w:asciiTheme="majorHAnsi" w:hAnsiTheme="majorHAnsi" w:cstheme="majorHAnsi"/>
        </w:rPr>
        <w:t>), and 2 Gy spleen (4.9 Gy/µCi,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15&lt;/sup&gt;","plainTextFormattedCitation":"15","previouslyFormattedCitation":"&lt;sup&gt;15&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15</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2678D022" w:rsidR="00BC0E45" w:rsidRDefault="00BC0E45" w:rsidP="00BC0E45">
      <w:pPr>
        <w:spacing w:line="480" w:lineRule="auto"/>
        <w:jc w:val="both"/>
        <w:rPr>
          <w:rFonts w:asciiTheme="majorHAnsi" w:hAnsiTheme="majorHAnsi" w:cstheme="majorHAnsi"/>
        </w:rPr>
      </w:pPr>
      <w:r>
        <w:rPr>
          <w:rFonts w:asciiTheme="majorHAnsi" w:hAnsiTheme="majorHAnsi" w:cstheme="majorHAnsi"/>
        </w:rPr>
        <w:t>In our study, Trastuzumab-DOTA-Ac conjugates administered to NOD SCID mice showed the anticipated biodistribution, considering antibodies are often distributed to immune-functioning orga</w:t>
      </w:r>
      <w:r w:rsidR="00BF439E">
        <w:rPr>
          <w:rFonts w:asciiTheme="majorHAnsi" w:hAnsiTheme="majorHAnsi" w:cstheme="majorHAnsi"/>
        </w:rPr>
        <w:t xml:space="preserve">ns </w:t>
      </w:r>
      <w:r w:rsidR="00BF439E">
        <w:rPr>
          <w:rFonts w:asciiTheme="majorHAnsi" w:hAnsiTheme="majorHAnsi" w:cstheme="majorHAnsi"/>
        </w:rPr>
        <w:fldChar w:fldCharType="begin" w:fldLock="1"/>
      </w:r>
      <w:r w:rsidR="00BF439E">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22&lt;/sup&gt;","plainTextFormattedCitation":"22","previouslyFormattedCitation":"&lt;sup&gt;22&lt;/sup&gt;"},"properties":{"noteIndex":0},"schema":"https://github.com/citation-style-language/schema/raw/master/csl-citation.json"}</w:instrText>
      </w:r>
      <w:r w:rsidR="00BF439E">
        <w:rPr>
          <w:rFonts w:asciiTheme="majorHAnsi" w:hAnsiTheme="majorHAnsi" w:cstheme="majorHAnsi"/>
        </w:rPr>
        <w:fldChar w:fldCharType="separate"/>
      </w:r>
      <w:r w:rsidR="00BF439E" w:rsidRPr="00374B2A">
        <w:rPr>
          <w:rFonts w:asciiTheme="majorHAnsi" w:hAnsiTheme="majorHAnsi" w:cstheme="majorHAnsi"/>
          <w:noProof/>
          <w:vertAlign w:val="superscript"/>
        </w:rPr>
        <w:t>22</w:t>
      </w:r>
      <w:r w:rsidR="00BF439E">
        <w:rPr>
          <w:rFonts w:asciiTheme="majorHAnsi" w:hAnsiTheme="majorHAnsi" w:cstheme="majorHAnsi"/>
        </w:rPr>
        <w:fldChar w:fldCharType="end"/>
      </w:r>
      <w:r w:rsidR="00BF439E">
        <w:rPr>
          <w:rFonts w:asciiTheme="majorHAnsi" w:hAnsiTheme="majorHAnsi" w:cstheme="majorHAnsi"/>
        </w:rPr>
        <w:t xml:space="preserve"> such as the spleen, liver, as well as the expressing tumor</w:t>
      </w:r>
      <w:r>
        <w:rPr>
          <w:rFonts w:asciiTheme="majorHAnsi" w:hAnsiTheme="majorHAnsi" w:cstheme="majorHAnsi"/>
        </w:rPr>
        <w:t xml:space="preserve"> </w:t>
      </w:r>
      <w:r w:rsidR="00BF439E">
        <w:rPr>
          <w:rFonts w:asciiTheme="majorHAnsi" w:hAnsiTheme="majorHAnsi" w:cstheme="majorHAnsi"/>
        </w:rPr>
        <w:t>(</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18&lt;/sup&gt;","plainTextFormattedCitation":"18","previouslyFormattedCitation":"&lt;sup&gt;18&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18</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23&lt;/sup&gt;","plainTextFormattedCitation":"23","previouslyFormattedCitation":"&lt;sup&gt;23&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23</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Gy found in the Ac-225-PSMA-617 trial (see </w:t>
      </w:r>
      <w:r>
        <w:rPr>
          <w:rFonts w:asciiTheme="majorHAnsi" w:hAnsiTheme="majorHAnsi" w:cstheme="majorHAnsi"/>
          <w:b/>
        </w:rPr>
        <w:t>Table 1</w:t>
      </w:r>
      <w:r w:rsidR="001217CD">
        <w:rPr>
          <w:rFonts w:asciiTheme="majorHAnsi" w:hAnsiTheme="majorHAnsi" w:cstheme="majorHAnsi"/>
          <w:b/>
        </w:rPr>
        <w:t xml:space="preserve"> </w:t>
      </w:r>
      <w:r w:rsidR="001217CD">
        <w:rPr>
          <w:rFonts w:asciiTheme="majorHAnsi" w:hAnsiTheme="majorHAnsi" w:cstheme="majorHAnsi"/>
        </w:rPr>
        <w:t>for a data compilation</w:t>
      </w:r>
      <w:r w:rsidRPr="00FB58CC">
        <w:rPr>
          <w:rFonts w:asciiTheme="majorHAnsi" w:hAnsiTheme="majorHAnsi" w:cstheme="majorHAnsi"/>
        </w:rPr>
        <w:t>)</w:t>
      </w:r>
      <w:r>
        <w:rPr>
          <w:rFonts w:asciiTheme="majorHAnsi" w:hAnsiTheme="majorHAnsi" w:cstheme="majorHAnsi"/>
        </w:rPr>
        <w:t xml:space="preserve">. </w:t>
      </w:r>
    </w:p>
    <w:p w14:paraId="027B68B1" w14:textId="5F0E2E91" w:rsidR="00800C45" w:rsidRPr="0018208F"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w:t>
      </w:r>
      <w:r w:rsidR="0074554B">
        <w:rPr>
          <w:rFonts w:asciiTheme="majorHAnsi" w:hAnsiTheme="majorHAnsi" w:cstheme="majorHAnsi"/>
        </w:rPr>
        <w:t>are typical for radiotherapies, long term dose effects from alpha radiation is less studied. L</w:t>
      </w:r>
      <w:r w:rsidR="00800C45">
        <w:rPr>
          <w:rFonts w:asciiTheme="majorHAnsi" w:hAnsiTheme="majorHAnsi" w:cstheme="majorHAnsi"/>
        </w:rPr>
        <w:t xml:space="preserve">ong term doses </w:t>
      </w:r>
      <w:r w:rsidR="0074554B">
        <w:rPr>
          <w:rFonts w:asciiTheme="majorHAnsi" w:hAnsiTheme="majorHAnsi" w:cstheme="majorHAnsi"/>
        </w:rPr>
        <w:t>often involve reduction in immune function due to</w:t>
      </w:r>
      <w:r w:rsidR="00800C45">
        <w:rPr>
          <w:rFonts w:asciiTheme="majorHAnsi" w:hAnsiTheme="majorHAnsi" w:cstheme="majorHAnsi"/>
        </w:rPr>
        <w:t xml:space="preserve"> chronic bone marrow function decay, as over time there tends to be a depletion of the stem cell compartments</w:t>
      </w:r>
      <w:r>
        <w:rPr>
          <w:rFonts w:asciiTheme="majorHAnsi" w:hAnsiTheme="majorHAnsi" w:cstheme="majorHAnsi"/>
        </w:rPr>
        <w:t xml:space="preserve">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374B2A">
        <w:rPr>
          <w:rFonts w:ascii="Calibri Light" w:hAnsi="Calibri Light" w:cs="Calibri Light"/>
        </w:rPr>
        <w:instrText></w:instrText>
      </w:r>
      <w:r w:rsidR="00374B2A">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19,24&lt;/sup&gt;","plainTextFormattedCitation":"19,24","previouslyFormattedCitation":"&lt;sup&gt;19,24&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19,24</w:t>
      </w:r>
      <w:r>
        <w:rPr>
          <w:rFonts w:asciiTheme="majorHAnsi" w:hAnsiTheme="majorHAnsi" w:cstheme="majorHAnsi"/>
        </w:rPr>
        <w:fldChar w:fldCharType="end"/>
      </w:r>
      <w:r>
        <w:rPr>
          <w:rFonts w:asciiTheme="majorHAnsi" w:hAnsiTheme="majorHAnsi" w:cstheme="majorHAnsi"/>
        </w:rPr>
        <w:t xml:space="preserve">. </w:t>
      </w:r>
      <w:r w:rsidR="0074554B">
        <w:rPr>
          <w:rFonts w:asciiTheme="majorHAnsi" w:hAnsiTheme="majorHAnsi" w:cstheme="majorHAnsi"/>
        </w:rPr>
        <w:t xml:space="preserve">Thus, Ac-227 effects from this study may be compared to what literature is available, often involving </w:t>
      </w:r>
      <w:r w:rsidR="00036148">
        <w:rPr>
          <w:rFonts w:asciiTheme="majorHAnsi" w:hAnsiTheme="majorHAnsi" w:cstheme="majorHAnsi"/>
        </w:rPr>
        <w:t xml:space="preserve">long-term </w:t>
      </w:r>
      <w:r w:rsidR="0074554B">
        <w:rPr>
          <w:rFonts w:asciiTheme="majorHAnsi" w:hAnsiTheme="majorHAnsi" w:cstheme="majorHAnsi"/>
        </w:rPr>
        <w:t>gamma irradiation.</w:t>
      </w:r>
      <w:r w:rsidR="009A22CF">
        <w:rPr>
          <w:rFonts w:asciiTheme="majorHAnsi" w:hAnsiTheme="majorHAnsi" w:cstheme="majorHAnsi"/>
        </w:rPr>
        <w:t xml:space="preserve"> In a</w:t>
      </w:r>
      <w:r w:rsidR="00CD322C">
        <w:rPr>
          <w:rFonts w:asciiTheme="majorHAnsi" w:hAnsiTheme="majorHAnsi" w:cstheme="majorHAnsi"/>
        </w:rPr>
        <w:t>n estimate to</w:t>
      </w:r>
      <w:r w:rsidR="00216BD7">
        <w:rPr>
          <w:rFonts w:asciiTheme="majorHAnsi" w:hAnsiTheme="majorHAnsi" w:cstheme="majorHAnsi"/>
        </w:rPr>
        <w:t xml:space="preserve"> correlate to external beam studies</w:t>
      </w:r>
      <w:r w:rsidR="00CD322C">
        <w:rPr>
          <w:rFonts w:asciiTheme="majorHAnsi" w:hAnsiTheme="majorHAnsi" w:cstheme="majorHAnsi"/>
        </w:rPr>
        <w:t>,</w:t>
      </w:r>
      <w:r w:rsidR="00216BD7">
        <w:rPr>
          <w:rFonts w:asciiTheme="majorHAnsi" w:hAnsiTheme="majorHAnsi" w:cstheme="majorHAnsi"/>
        </w:rPr>
        <w:t xml:space="preserve"> </w:t>
      </w:r>
      <w:r w:rsidR="009A22CF">
        <w:rPr>
          <w:rFonts w:asciiTheme="majorHAnsi" w:hAnsiTheme="majorHAnsi" w:cstheme="majorHAnsi"/>
        </w:rPr>
        <w:t>where 100% of injected Ac-227 was retained in the mouse regardless of carrier (</w:t>
      </w:r>
      <w:r w:rsidR="00216BD7">
        <w:rPr>
          <w:rFonts w:asciiTheme="majorHAnsi" w:hAnsiTheme="majorHAnsi" w:cstheme="majorHAnsi"/>
        </w:rPr>
        <w:t>4% RD/g total body for a 25 g mouse</w:t>
      </w:r>
      <w:r w:rsidR="005D1022">
        <w:rPr>
          <w:rFonts w:asciiTheme="majorHAnsi" w:hAnsiTheme="majorHAnsi" w:cstheme="majorHAnsi"/>
        </w:rPr>
        <w:t xml:space="preserve"> at 10 days</w:t>
      </w:r>
      <w:r w:rsidR="009A22CF">
        <w:rPr>
          <w:rFonts w:asciiTheme="majorHAnsi" w:hAnsiTheme="majorHAnsi" w:cstheme="majorHAnsi"/>
        </w:rPr>
        <w:t xml:space="preserve">), after </w:t>
      </w:r>
      <w:r w:rsidR="00B016A1">
        <w:rPr>
          <w:rFonts w:asciiTheme="majorHAnsi" w:hAnsiTheme="majorHAnsi" w:cstheme="majorHAnsi"/>
        </w:rPr>
        <w:t>7946 days</w:t>
      </w:r>
      <w:r w:rsidR="009A22CF">
        <w:rPr>
          <w:rFonts w:asciiTheme="majorHAnsi" w:hAnsiTheme="majorHAnsi" w:cstheme="majorHAnsi"/>
        </w:rPr>
        <w:t>, Ac-227 would show</w:t>
      </w:r>
      <w:r w:rsidR="00B016A1">
        <w:rPr>
          <w:rFonts w:asciiTheme="majorHAnsi" w:hAnsiTheme="majorHAnsi" w:cstheme="majorHAnsi"/>
        </w:rPr>
        <w:t xml:space="preserve"> </w:t>
      </w:r>
      <w:r w:rsidR="009A22CF">
        <w:rPr>
          <w:rFonts w:asciiTheme="majorHAnsi" w:hAnsiTheme="majorHAnsi" w:cstheme="majorHAnsi"/>
        </w:rPr>
        <w:t>2.25 Gy cumulative total body dose, with a peak of 388 µGy/day, or 142 mGy/year</w:t>
      </w:r>
      <w:r w:rsidR="00B016A1">
        <w:rPr>
          <w:rFonts w:asciiTheme="majorHAnsi" w:hAnsiTheme="majorHAnsi" w:cstheme="majorHAnsi"/>
        </w:rPr>
        <w:t xml:space="preserve"> after 200 days, lessening to 79 mGy/year </w:t>
      </w:r>
      <w:r w:rsidR="00B016A1" w:rsidRPr="0018208F">
        <w:rPr>
          <w:rFonts w:asciiTheme="majorHAnsi" w:hAnsiTheme="majorHAnsi" w:cstheme="majorHAnsi"/>
        </w:rPr>
        <w:t>after 7946 days</w:t>
      </w:r>
      <w:r w:rsidR="009A22CF" w:rsidRPr="0018208F">
        <w:rPr>
          <w:rFonts w:asciiTheme="majorHAnsi" w:hAnsiTheme="majorHAnsi" w:cstheme="majorHAnsi"/>
        </w:rPr>
        <w:t>.</w:t>
      </w:r>
      <w:r w:rsidR="00B016A1" w:rsidRPr="0018208F">
        <w:rPr>
          <w:rFonts w:asciiTheme="majorHAnsi" w:hAnsiTheme="majorHAnsi" w:cstheme="majorHAnsi"/>
        </w:rPr>
        <w:t xml:space="preserve"> The RBE for whole body alpha is generally considered to </w:t>
      </w:r>
      <w:r w:rsidR="00B016A1" w:rsidRPr="0018208F">
        <w:rPr>
          <w:rFonts w:asciiTheme="majorHAnsi" w:hAnsiTheme="majorHAnsi" w:cstheme="majorHAnsi"/>
        </w:rPr>
        <w:lastRenderedPageBreak/>
        <w:t>be 10:1 alpha:gamma, and so that would give 1.4 Sv</w:t>
      </w:r>
      <w:r w:rsidR="00B016A1" w:rsidRPr="0018208F">
        <w:rPr>
          <w:rFonts w:asciiTheme="majorHAnsi" w:hAnsiTheme="majorHAnsi" w:cstheme="majorHAnsi"/>
          <w:vertAlign w:val="subscript"/>
        </w:rPr>
        <w:t>RBE10</w:t>
      </w:r>
      <w:r w:rsidR="00B016A1" w:rsidRPr="0018208F">
        <w:rPr>
          <w:rFonts w:asciiTheme="majorHAnsi" w:hAnsiTheme="majorHAnsi" w:cstheme="majorHAnsi"/>
        </w:rPr>
        <w:t>/year, which is over</w:t>
      </w:r>
      <w:r w:rsidR="0018208F">
        <w:rPr>
          <w:rFonts w:asciiTheme="majorHAnsi" w:hAnsiTheme="majorHAnsi" w:cstheme="majorHAnsi"/>
        </w:rPr>
        <w:t xml:space="preserve"> the </w:t>
      </w:r>
      <w:r w:rsidR="00B016A1" w:rsidRPr="0018208F">
        <w:rPr>
          <w:rFonts w:asciiTheme="majorHAnsi" w:hAnsiTheme="majorHAnsi" w:cstheme="majorHAnsi"/>
        </w:rPr>
        <w:t xml:space="preserve">0.4 Gy/year threshold </w:t>
      </w:r>
      <w:r w:rsidR="0018208F">
        <w:rPr>
          <w:rFonts w:asciiTheme="majorHAnsi" w:hAnsiTheme="majorHAnsi" w:cstheme="majorHAnsi"/>
        </w:rPr>
        <w:t>for depression of h</w:t>
      </w:r>
      <w:r w:rsidR="00B016A1" w:rsidRPr="0018208F">
        <w:rPr>
          <w:rFonts w:asciiTheme="majorHAnsi" w:hAnsiTheme="majorHAnsi" w:cstheme="majorHAnsi"/>
        </w:rPr>
        <w:t xml:space="preserve">ematopoiesis </w:t>
      </w:r>
      <w:r w:rsidR="00B016A1" w:rsidRPr="0018208F">
        <w:rPr>
          <w:rFonts w:asciiTheme="majorHAnsi" w:hAnsiTheme="majorHAnsi" w:cstheme="majorHAnsi"/>
        </w:rPr>
        <w:fldChar w:fldCharType="begin" w:fldLock="1"/>
      </w:r>
      <w:r w:rsidR="00374B2A">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25&lt;/sup&gt;","plainTextFormattedCitation":"25","previouslyFormattedCitation":"&lt;sup&gt;25&lt;/sup&gt;"},"properties":{"noteIndex":0},"schema":"https://github.com/citation-style-language/schema/raw/master/csl-citation.json"}</w:instrText>
      </w:r>
      <w:r w:rsidR="00B016A1" w:rsidRPr="0018208F">
        <w:rPr>
          <w:rFonts w:asciiTheme="majorHAnsi" w:hAnsiTheme="majorHAnsi" w:cstheme="majorHAnsi"/>
        </w:rPr>
        <w:fldChar w:fldCharType="separate"/>
      </w:r>
      <w:r w:rsidR="00374B2A" w:rsidRPr="00374B2A">
        <w:rPr>
          <w:rFonts w:asciiTheme="majorHAnsi" w:hAnsiTheme="majorHAnsi" w:cstheme="majorHAnsi"/>
          <w:noProof/>
          <w:vertAlign w:val="superscript"/>
        </w:rPr>
        <w:t>25</w:t>
      </w:r>
      <w:r w:rsidR="00B016A1" w:rsidRPr="0018208F">
        <w:rPr>
          <w:rFonts w:asciiTheme="majorHAnsi" w:hAnsiTheme="majorHAnsi" w:cstheme="majorHAnsi"/>
        </w:rPr>
        <w:fldChar w:fldCharType="end"/>
      </w:r>
      <w:r w:rsidR="000D0FA8" w:rsidRPr="0018208F">
        <w:rPr>
          <w:rFonts w:asciiTheme="majorHAnsi" w:hAnsiTheme="majorHAnsi" w:cstheme="majorHAnsi"/>
        </w:rPr>
        <w:t xml:space="preserve">, but much lower than the lethal bone marrow dose maximum of </w:t>
      </w:r>
      <w:r w:rsidR="0018208F" w:rsidRPr="0018208F">
        <w:rPr>
          <w:rFonts w:asciiTheme="majorHAnsi" w:hAnsiTheme="majorHAnsi" w:cstheme="majorHAnsi"/>
        </w:rPr>
        <w:t>&gt;</w:t>
      </w:r>
      <w:r w:rsidR="000D0FA8" w:rsidRPr="0018208F">
        <w:rPr>
          <w:rFonts w:asciiTheme="majorHAnsi" w:hAnsiTheme="majorHAnsi" w:cstheme="majorHAnsi"/>
        </w:rPr>
        <w:t>4</w:t>
      </w:r>
      <w:r w:rsidR="0018208F" w:rsidRPr="0018208F">
        <w:rPr>
          <w:rFonts w:asciiTheme="majorHAnsi" w:hAnsiTheme="majorHAnsi" w:cstheme="majorHAnsi"/>
        </w:rPr>
        <w:t>.5</w:t>
      </w:r>
      <w:r w:rsidR="000D0FA8" w:rsidRPr="0018208F">
        <w:rPr>
          <w:rFonts w:asciiTheme="majorHAnsi" w:hAnsiTheme="majorHAnsi" w:cstheme="majorHAnsi"/>
        </w:rPr>
        <w:t xml:space="preserve"> Gy/year</w:t>
      </w:r>
      <w:r w:rsidR="0018208F" w:rsidRPr="0018208F">
        <w:rPr>
          <w:rFonts w:asciiTheme="majorHAnsi" w:hAnsiTheme="majorHAnsi" w:cstheme="majorHAnsi"/>
        </w:rPr>
        <w:t xml:space="preserve"> </w:t>
      </w:r>
      <w:r w:rsidR="000B6F5F">
        <w:rPr>
          <w:rFonts w:asciiTheme="majorHAnsi" w:hAnsiTheme="majorHAnsi" w:cstheme="majorHAnsi"/>
        </w:rPr>
        <w:t>However, looking at the actual carcass (ashed remainder of animal, including bones) values for Trastuzumab-DOTA-Ac-227 show 197 uGy/day maximum (95% CI 194-200 uGy/day) which equates to 72 mGy/year on average or 0.36 Sv</w:t>
      </w:r>
      <w:r w:rsidR="000B6F5F" w:rsidRPr="000B6F5F">
        <w:rPr>
          <w:rFonts w:asciiTheme="majorHAnsi" w:hAnsiTheme="majorHAnsi" w:cstheme="majorHAnsi"/>
          <w:vertAlign w:val="subscript"/>
        </w:rPr>
        <w:t>RBE5</w:t>
      </w:r>
      <w:r w:rsidR="000B6F5F">
        <w:rPr>
          <w:rFonts w:asciiTheme="majorHAnsi" w:hAnsiTheme="majorHAnsi" w:cstheme="majorHAnsi"/>
        </w:rPr>
        <w:t>/year for bones which is just below the 0.4 Gy/year threshold.</w:t>
      </w:r>
    </w:p>
    <w:p w14:paraId="445A3199" w14:textId="5683457B" w:rsidR="0048141A" w:rsidRDefault="00724596" w:rsidP="00F07D79">
      <w:pPr>
        <w:spacing w:line="480" w:lineRule="auto"/>
        <w:jc w:val="both"/>
        <w:rPr>
          <w:rFonts w:asciiTheme="majorHAnsi" w:hAnsiTheme="majorHAnsi" w:cstheme="majorHAnsi"/>
        </w:rPr>
      </w:pPr>
      <w:r>
        <w:rPr>
          <w:rFonts w:asciiTheme="majorHAnsi" w:hAnsiTheme="majorHAnsi" w:cstheme="majorHAnsi"/>
        </w:rPr>
        <w:t>Considering</w:t>
      </w:r>
      <w:r w:rsidR="00C2163A">
        <w:rPr>
          <w:rFonts w:asciiTheme="majorHAnsi" w:hAnsiTheme="majorHAnsi" w:cstheme="majorHAnsi"/>
        </w:rPr>
        <w:t xml:space="preserve"> the spleen is not as vital an organ as the kidneys or liver, </w:t>
      </w:r>
      <w:r w:rsidR="00BC0E45">
        <w:rPr>
          <w:rFonts w:asciiTheme="majorHAnsi" w:hAnsiTheme="majorHAnsi" w:cstheme="majorHAnsi"/>
        </w:rPr>
        <w:t xml:space="preserve">spleen chronic toxicity has been shown to appear in rats and mice exposed to </w:t>
      </w:r>
      <w:r w:rsidR="00BC0E45" w:rsidRPr="00BF46D0">
        <w:rPr>
          <w:rFonts w:asciiTheme="majorHAnsi" w:hAnsiTheme="majorHAnsi" w:cstheme="majorHAnsi"/>
        </w:rPr>
        <w:t>0.01–0.5 Gy/day</w:t>
      </w:r>
      <w:r w:rsidR="00BC0E45">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sidR="00BC0E45">
        <w:rPr>
          <w:rFonts w:asciiTheme="majorHAnsi" w:hAnsiTheme="majorHAnsi" w:cstheme="majorHAnsi"/>
        </w:rPr>
        <w:t xml:space="preserve">/day alpha </w:t>
      </w:r>
      <w:r w:rsidR="00BC0E45">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374B2A">
        <w:rPr>
          <w:rFonts w:ascii="Calibri Light" w:hAnsi="Calibri Light" w:cs="Calibri Light"/>
        </w:rPr>
        <w:instrText></w:instrText>
      </w:r>
      <w:r w:rsidR="00374B2A">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19&lt;/sup&gt;","plainTextFormattedCitation":"19","previouslyFormattedCitation":"&lt;sup&gt;19&lt;/sup&gt;"},"properties":{"noteIndex":0},"schema":"https://github.com/citation-style-language/schema/raw/master/csl-citation.json"}</w:instrText>
      </w:r>
      <w:r w:rsidR="00BC0E45">
        <w:rPr>
          <w:rFonts w:asciiTheme="majorHAnsi" w:hAnsiTheme="majorHAnsi" w:cstheme="majorHAnsi"/>
        </w:rPr>
        <w:fldChar w:fldCharType="separate"/>
      </w:r>
      <w:r w:rsidR="00374B2A" w:rsidRPr="00374B2A">
        <w:rPr>
          <w:rFonts w:asciiTheme="majorHAnsi" w:hAnsiTheme="majorHAnsi" w:cstheme="majorHAnsi"/>
          <w:noProof/>
          <w:vertAlign w:val="superscript"/>
        </w:rPr>
        <w:t>19</w:t>
      </w:r>
      <w:r w:rsidR="00BC0E45">
        <w:rPr>
          <w:rFonts w:asciiTheme="majorHAnsi" w:hAnsiTheme="majorHAnsi" w:cstheme="majorHAnsi"/>
        </w:rPr>
        <w:fldChar w:fldCharType="end"/>
      </w:r>
      <w:r w:rsidR="001D1FE5">
        <w:rPr>
          <w:rFonts w:asciiTheme="majorHAnsi" w:hAnsiTheme="majorHAnsi" w:cstheme="majorHAnsi"/>
        </w:rPr>
        <w:t xml:space="preserve">. While the </w:t>
      </w:r>
      <w:r w:rsidR="00C2163A">
        <w:rPr>
          <w:rFonts w:asciiTheme="majorHAnsi" w:hAnsiTheme="majorHAnsi" w:cstheme="majorHAnsi"/>
        </w:rPr>
        <w:t>Trastuzumab-DOTA-</w:t>
      </w:r>
      <w:r w:rsidR="001D1FE5">
        <w:rPr>
          <w:rFonts w:asciiTheme="majorHAnsi" w:hAnsiTheme="majorHAnsi" w:cstheme="majorHAnsi"/>
        </w:rPr>
        <w:t>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p>
    <w:p w14:paraId="23EDCA43" w14:textId="3D2D407B" w:rsidR="001D3824" w:rsidRDefault="00732CA3" w:rsidP="00732CA3">
      <w:pPr>
        <w:spacing w:line="480" w:lineRule="auto"/>
        <w:jc w:val="both"/>
        <w:rPr>
          <w:rFonts w:asciiTheme="majorHAnsi" w:hAnsiTheme="majorHAnsi" w:cstheme="majorHAnsi"/>
        </w:rPr>
      </w:pPr>
      <w:r>
        <w:rPr>
          <w:rFonts w:asciiTheme="majorHAnsi" w:hAnsiTheme="majorHAnsi" w:cstheme="majorHAnsi"/>
        </w:rPr>
        <w:t>It is important to keep in mind that this study is limited to counting only activity due to direct parent-daughter activit</w:t>
      </w:r>
      <w:r w:rsidR="0081506B">
        <w:rPr>
          <w:rFonts w:asciiTheme="majorHAnsi" w:hAnsiTheme="majorHAnsi" w:cstheme="majorHAnsi"/>
        </w:rPr>
        <w:t>y after tissue resection. This would likely</w:t>
      </w:r>
      <w:r>
        <w:rPr>
          <w:rFonts w:asciiTheme="majorHAnsi" w:hAnsiTheme="majorHAnsi" w:cstheme="majorHAnsi"/>
        </w:rPr>
        <w:t xml:space="preserve"> result in undercounting </w:t>
      </w:r>
      <w:r w:rsidR="006834E6">
        <w:rPr>
          <w:rFonts w:asciiTheme="majorHAnsi" w:hAnsiTheme="majorHAnsi" w:cstheme="majorHAnsi"/>
        </w:rPr>
        <w:t>effects due to</w:t>
      </w:r>
      <w:r>
        <w:rPr>
          <w:rFonts w:asciiTheme="majorHAnsi" w:hAnsiTheme="majorHAnsi" w:cstheme="majorHAnsi"/>
        </w:rPr>
        <w:t xml:space="preserve"> daughter re-distribution</w:t>
      </w:r>
      <w:r w:rsidR="006834E6">
        <w:rPr>
          <w:rFonts w:asciiTheme="majorHAnsi" w:hAnsiTheme="majorHAnsi" w:cstheme="majorHAnsi"/>
        </w:rPr>
        <w:t xml:space="preserve"> to organs </w:t>
      </w:r>
      <w:r>
        <w:rPr>
          <w:rFonts w:asciiTheme="majorHAnsi" w:hAnsiTheme="majorHAnsi" w:cstheme="majorHAnsi"/>
        </w:rPr>
        <w:t xml:space="preserve">after recoil effects </w:t>
      </w:r>
      <w:r w:rsidR="00FD13C2">
        <w:rPr>
          <w:rFonts w:asciiTheme="majorHAnsi" w:hAnsiTheme="majorHAnsi" w:cstheme="majorHAnsi"/>
        </w:rPr>
        <w:fldChar w:fldCharType="begin" w:fldLock="1"/>
      </w:r>
      <w:r w:rsidR="002E58D5">
        <w:rPr>
          <w:rFonts w:asciiTheme="majorHAnsi" w:hAnsiTheme="majorHAnsi" w:cstheme="majorHAnsi"/>
        </w:rPr>
        <w:instrText>ADDIN CSL_CITATION {"citationItems":[{"id":"ITEM-1","itemData":{"DOI":"10.3390/ph8020321","ISBN":"0304-4238","ISSN":"14248247","PMID":"26066613","abstract":"This review presents an overview of the successes and challenges currently faced in alpha radionuclide therapy. Alpha particles have an advantage in killing tumour cells as compared to beta or gamma radiation due to their short penetration depth and high linear energy transfer (LET). Touching briefly on the clinical successes of radionuclides emitting only one alpha particle, the main focus of this article lies on those alpha-emitting radionuclides with multiple alpha-emitting daughters in their decay chain. While having the advantage of longer half-lives, the recoiled daughters of radionuclides like 224Ra (radium), 223Ra, and 225Ac (actinium) can do significant damage to healthy tissue when not retained at the tumour site. Three different approaches to deal with this problem are discussed: encapsulation in a nano-carrier, fast uptake of the alpha emitting radionuclides in tumour cells, and local administration. Each approach has been shown to have its advantages and disadvantages, but when larger activities need to be used clinically, nano-carriers appear to be the most promising solution for reducing toxic effects, provided there is no accumulation in healthy tissue.","author":[{"dropping-particle":"","family":"Kruijff","given":"Robin M.","non-dropping-particle":"de","parse-names":false,"suffix":""},{"dropping-particle":"","family":"Wolterbeek","given":"Hubert T.","non-dropping-particle":"","parse-names":false,"suffix":""},{"dropping-particle":"","family":"Denkova","given":"Antonia G.","non-dropping-particle":"","parse-names":false,"suffix":""}],"container-title":"Pharmaceuticals","id":"ITEM-1","issued":{"date-parts":[["2015"]]},"title":"A critical review of alpha radionuclide therapy-how to deal with recoiling daughters?","type":"article-journal"},"uris":["http://www.mendeley.com/documents/?uuid=ed837589-98b7-4aac-81a5-f7d538c62b6c"]},{"id":"ITEM-2","itemData":{"DOI":"10.3390/molecules23030581","ISSN":"14203049","PMID":"29510568","abstract":"This review summarizes recent progress and developments as well as the most important pitfalls in targeted alpha-particle therapy, covering single alpha-particle emitters as well as in vivo alpha-particle generators. It discusses the production of radionuclides like 211At, 223Ra, 225Ac/213Bi, labelling and delivery employing various targeting vectors (small molecules, chelators for alpha-emitting nuclides and their biomolecular targets as well as nanocarriers), general radiopharmaceutical issues, preclinical studies, and clinical trials including the possibilities of therapy prognosis and follow-up imaging. Special attention is given to the nuclear recoil effect and its impacts on the possible use of alpha emitters for cancer treatment, proper dose estimation, and labelling chemistry. The most recent and important achievements in the development of alpha emitters carrying vectors for preclinical and clinical use are highlighted along with an outlook for future developments.","author":[{"dropping-particle":"","family":"Kozempel","given":"Ján","non-dropping-particle":"","parse-names":false,"suffix":""},{"dropping-particle":"","family":"Mokhodoeva","given":"Olga","non-dropping-particle":"","parse-names":false,"suffix":""},{"dropping-particle":"","family":"Vlk","given":"Martin","non-dropping-particle":"","parse-names":false,"suffix":""}],"container-title":"Molecules","id":"ITEM-2","issue":"3","issued":{"date-parts":[["2018"]]},"title":"Progress in targeted alpha-particle therapy. What we learned about recoils release from in vivo generators","type":"article-journal","volume":"23"},"uris":["http://www.mendeley.com/documents/?uuid=068cba36-7501-4501-861e-732eafc5ab13"]}],"mendeley":{"formattedCitation":"&lt;sup&gt;10,11&lt;/sup&gt;","plainTextFormattedCitation":"10,11","previouslyFormattedCitation":"&lt;sup&gt;10,11&lt;/sup&gt;"},"properties":{"noteIndex":0},"schema":"https://github.com/citation-style-language/schema/raw/master/csl-citation.json"}</w:instrText>
      </w:r>
      <w:r w:rsidR="00FD13C2">
        <w:rPr>
          <w:rFonts w:asciiTheme="majorHAnsi" w:hAnsiTheme="majorHAnsi" w:cstheme="majorHAnsi"/>
        </w:rPr>
        <w:fldChar w:fldCharType="separate"/>
      </w:r>
      <w:r w:rsidR="002E58D5" w:rsidRPr="002E58D5">
        <w:rPr>
          <w:rFonts w:asciiTheme="majorHAnsi" w:hAnsiTheme="majorHAnsi" w:cstheme="majorHAnsi"/>
          <w:noProof/>
          <w:vertAlign w:val="superscript"/>
        </w:rPr>
        <w:t>10,11</w:t>
      </w:r>
      <w:r w:rsidR="00FD13C2">
        <w:rPr>
          <w:rFonts w:asciiTheme="majorHAnsi" w:hAnsiTheme="majorHAnsi" w:cstheme="majorHAnsi"/>
        </w:rPr>
        <w:fldChar w:fldCharType="end"/>
      </w:r>
      <w:r>
        <w:rPr>
          <w:rFonts w:asciiTheme="majorHAnsi" w:hAnsiTheme="majorHAnsi" w:cstheme="majorHAnsi"/>
        </w:rPr>
        <w:t xml:space="preserve">. </w:t>
      </w:r>
      <w:r w:rsidRPr="00653A4E">
        <w:rPr>
          <w:rFonts w:asciiTheme="majorHAnsi" w:hAnsiTheme="majorHAnsi" w:cstheme="majorHAnsi"/>
        </w:rPr>
        <w:t>Daughter</w:t>
      </w:r>
      <w:r>
        <w:rPr>
          <w:rFonts w:asciiTheme="majorHAnsi" w:hAnsiTheme="majorHAnsi" w:cstheme="majorHAnsi"/>
        </w:rPr>
        <w:t xml:space="preserve"> isotope re-distribution has been observed in other studies, and redistribution of Bi-213 has been shown to cause dose-limiting renal toxicity in Ac-225 therapies </w:t>
      </w:r>
      <w:r>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{"citationItems":[{"id":"ITEM-1","itemData":{"DOI":"10.1158/0008-5472.CAN-04-3096","ISSN":"00085472","PMID":"15930310","abstract":"Alpha-particle immunotherapy by targeted alpha-emitters or alpha-emitting isotope generators is a novel form of extraordinarily potent cancer therapy. A major impediment to the clinical use of targeted actinium-225 (225Ac) in vivo generators may be the radiotoxicity of the systemically released daughter radionuclides. The daughters, especially bismuth-213 (213Bi), tend to accumulate in the kidneys. We tested the efficacy of various pharmacologic agents and the effect of tumor burden in altering the pharmacokinetics of the 225Ac daughters to modify their renal uptake. Pharmacologic treatments in animals were started before i.v. administration of the HuM195-225Ac generator. 225Ac, francium-221 (221Fr), and 213Bi biodistributions were calculated in each animal at different time points after 225Ac generator injection. Oral metal chelation with 2,3-dimercapto-1-propanesulfonic acid (DMPS) or meso-2,3-dimercaptosuccinic acid (DMSA) caused a significant reduction (P &lt; 0.0001) in the renal 213Bi uptake; however, DMPS was more effective than DMSA (P &lt; 0.001). The results with DMPS were also confirmed in a monkey model. The renal 213Bi and 221Fr activities were significantly reduced by furosemide and chlorothiazide treatment (P &lt; 0.0001). The effect on renal 213Bi activity was further enhanced by the combination of DMPS with either chlorothiazide or furosemide (P &lt; 0.0001). Competitive antagonism by bismuth subnitrate moderately reduced the renal uptake of 213Bi. The presence of a higher target-tumor burden significantly prevented the renal 213Bi accumulation (P = 0.003), which was further reduced by DMPS treatment (P &lt; 0.0001). Metal chelation, diuresis with furosemide or chlorothiazide, and competitive metal blockade may be used as adjuvant therapies to modify the renal accumulation of 225Ac daughters.","author":[{"dropping-particle":"","family":"Jaggi","given":"Jaspreet Singh","non-dropping-particle":"","parse-names":false,"suffix":""},{"dropping-particle":"","family":"Kappel","given":"Barry J.","non-dropping-particle":"","parse-names":false,"suffix":""},{"dropping-particle":"","family":"McDevitt","given":"Michael R.","non-dropping-particle":"","parse-names":false,"suffix":""},{"dropping-particle":"","family":"Sgouros","given":"George","non-dropping-particle":"","parse-names":false,"suffix":""},{"dropping-particle":"","family":"Flombaum","given":"Carlos D.","non-dropping-particle":"","parse-names":false,"suffix":""},{"dropping-particle":"","family":"Cabassa","given":"Catalina","non-dropping-particle":"","parse-names":false,"suffix":""},{"dropping-particle":"","family":"Scheinberg","given":"David A.","non-dropping-particle":"","parse-names":false,"suffix":""}],"container-title":"Cancer Research","id":"ITEM-1","issue":"11","issued":{"date-parts":[["2005"]]},"page":"4888-4895","title":"Efforts to control the errant products of a targeted in vivo generator","type":"article-journal","volume":"65"},"uris":["http://www.mendeley.com/documents/?uuid=073ba98b-620c-40a8-88d3-e32a0f281f25"]}],"mendeley":{"formattedCitation":"&lt;sup&gt;26&lt;/sup&gt;","plainTextFormattedCitation":"26","previouslyFormattedCitation":"&lt;sup&gt;26&lt;/sup&gt;"},"properties":{"noteIndex":0},"schema":"https://github.com/citation-style-language/schema/raw/master/csl-citation.json"}</w:instrText>
      </w:r>
      <w:r>
        <w:rPr>
          <w:rFonts w:asciiTheme="majorHAnsi" w:hAnsiTheme="majorHAnsi" w:cstheme="majorHAnsi"/>
        </w:rPr>
        <w:fldChar w:fldCharType="separate"/>
      </w:r>
      <w:r w:rsidR="00374B2A" w:rsidRPr="00374B2A">
        <w:rPr>
          <w:rFonts w:asciiTheme="majorHAnsi" w:hAnsiTheme="majorHAnsi" w:cstheme="majorHAnsi"/>
          <w:noProof/>
          <w:vertAlign w:val="superscript"/>
        </w:rPr>
        <w:t>26</w:t>
      </w:r>
      <w:r>
        <w:rPr>
          <w:rFonts w:asciiTheme="majorHAnsi" w:hAnsiTheme="majorHAnsi" w:cstheme="majorHAnsi"/>
        </w:rPr>
        <w:fldChar w:fldCharType="end"/>
      </w:r>
      <w:r>
        <w:rPr>
          <w:rFonts w:asciiTheme="majorHAnsi" w:hAnsiTheme="majorHAnsi" w:cstheme="majorHAnsi"/>
        </w:rPr>
        <w:t xml:space="preserve">. </w:t>
      </w:r>
      <w:r w:rsidR="006834E6">
        <w:rPr>
          <w:rFonts w:asciiTheme="majorHAnsi" w:hAnsiTheme="majorHAnsi" w:cstheme="majorHAnsi"/>
        </w:rPr>
        <w:t>As an example, m</w:t>
      </w:r>
      <w:r w:rsidR="0036025A">
        <w:rPr>
          <w:rFonts w:asciiTheme="majorHAnsi" w:hAnsiTheme="majorHAnsi" w:cstheme="majorHAnsi"/>
        </w:rPr>
        <w:t xml:space="preserve">odeling the fraction of activity produced from decays prior to the first alpha decay in each Ac-225 and Ac-227 decay chains produces </w:t>
      </w:r>
      <w:r w:rsidR="0036025A">
        <w:rPr>
          <w:rFonts w:asciiTheme="majorHAnsi" w:hAnsiTheme="majorHAnsi" w:cstheme="majorHAnsi"/>
          <w:b/>
        </w:rPr>
        <w:t>Figure S</w:t>
      </w:r>
      <w:r w:rsidR="006746F2">
        <w:rPr>
          <w:rFonts w:asciiTheme="majorHAnsi" w:hAnsiTheme="majorHAnsi" w:cstheme="majorHAnsi"/>
          <w:b/>
        </w:rPr>
        <w:t>8</w:t>
      </w:r>
      <w:r w:rsidR="0036025A">
        <w:rPr>
          <w:rFonts w:asciiTheme="majorHAnsi" w:hAnsiTheme="majorHAnsi" w:cstheme="majorHAnsi"/>
        </w:rPr>
        <w:t xml:space="preserve">, and </w:t>
      </w:r>
      <w:r w:rsidR="006834E6">
        <w:rPr>
          <w:rFonts w:asciiTheme="majorHAnsi" w:hAnsiTheme="majorHAnsi" w:cstheme="majorHAnsi"/>
        </w:rPr>
        <w:t>exemplifies</w:t>
      </w:r>
      <w:r w:rsidR="0036025A">
        <w:rPr>
          <w:rFonts w:asciiTheme="majorHAnsi" w:hAnsiTheme="majorHAnsi" w:cstheme="majorHAnsi"/>
        </w:rPr>
        <w:t xml:space="preserve"> how if the first alpha decay were to release the metal from the ligand carrier due to recoil, isotopic daughter distribution variance would also occur. Within the first few days of administration of pure Ac-225 and pure Ac-227 into a ligand,</w:t>
      </w:r>
      <w:r w:rsidR="00923F38">
        <w:rPr>
          <w:rFonts w:asciiTheme="majorHAnsi" w:hAnsiTheme="majorHAnsi" w:cstheme="majorHAnsi"/>
        </w:rPr>
        <w:t xml:space="preserve"> </w:t>
      </w:r>
      <w:r w:rsidR="001D3824">
        <w:rPr>
          <w:rFonts w:asciiTheme="majorHAnsi" w:hAnsiTheme="majorHAnsi" w:cstheme="majorHAnsi"/>
        </w:rPr>
        <w:t xml:space="preserve">Ac-227 and Th-227 </w:t>
      </w:r>
      <w:r w:rsidR="006834E6">
        <w:rPr>
          <w:rFonts w:asciiTheme="majorHAnsi" w:hAnsiTheme="majorHAnsi" w:cstheme="majorHAnsi"/>
        </w:rPr>
        <w:t xml:space="preserve">daughter </w:t>
      </w:r>
      <w:r w:rsidR="001D3824">
        <w:rPr>
          <w:rFonts w:asciiTheme="majorHAnsi" w:hAnsiTheme="majorHAnsi" w:cstheme="majorHAnsi"/>
        </w:rPr>
        <w:t>would remain largely intact, whe</w:t>
      </w:r>
      <w:r w:rsidR="006834E6">
        <w:rPr>
          <w:rFonts w:asciiTheme="majorHAnsi" w:hAnsiTheme="majorHAnsi" w:cstheme="majorHAnsi"/>
        </w:rPr>
        <w:t xml:space="preserve">reas Ac-225 would rapidly reach </w:t>
      </w:r>
      <w:r w:rsidR="001D3824">
        <w:rPr>
          <w:rFonts w:asciiTheme="majorHAnsi" w:hAnsiTheme="majorHAnsi" w:cstheme="majorHAnsi"/>
        </w:rPr>
        <w:t xml:space="preserve">secular equilibrium, </w:t>
      </w:r>
      <w:r w:rsidR="006834E6">
        <w:rPr>
          <w:rFonts w:asciiTheme="majorHAnsi" w:hAnsiTheme="majorHAnsi" w:cstheme="majorHAnsi"/>
        </w:rPr>
        <w:t>with more activity</w:t>
      </w:r>
      <w:r w:rsidR="001D3824">
        <w:rPr>
          <w:rFonts w:asciiTheme="majorHAnsi" w:hAnsiTheme="majorHAnsi" w:cstheme="majorHAnsi"/>
        </w:rPr>
        <w:t xml:space="preserve"> coming from</w:t>
      </w:r>
      <w:r w:rsidR="006834E6">
        <w:rPr>
          <w:rFonts w:asciiTheme="majorHAnsi" w:hAnsiTheme="majorHAnsi" w:cstheme="majorHAnsi"/>
        </w:rPr>
        <w:t xml:space="preserve"> freed</w:t>
      </w:r>
      <w:r w:rsidR="001D3824">
        <w:rPr>
          <w:rFonts w:asciiTheme="majorHAnsi" w:hAnsiTheme="majorHAnsi" w:cstheme="majorHAnsi"/>
        </w:rPr>
        <w:t xml:space="preserve"> daughters than parent.</w:t>
      </w:r>
      <w:r w:rsidR="00CD0614">
        <w:rPr>
          <w:rFonts w:asciiTheme="majorHAnsi" w:hAnsiTheme="majorHAnsi" w:cstheme="majorHAnsi"/>
        </w:rPr>
        <w:t xml:space="preserve"> This effect may be measured, if desired, via gamma counting, but it was not deemed necessary considering we were more interested in long-term dose effects from Ac-227.</w:t>
      </w:r>
    </w:p>
    <w:p w14:paraId="6FA31AA2" w14:textId="2CC9F764" w:rsidR="00BD4A53" w:rsidRDefault="00734679" w:rsidP="009D74FB">
      <w:pPr>
        <w:spacing w:line="480" w:lineRule="auto"/>
        <w:jc w:val="both"/>
        <w:rPr>
          <w:rFonts w:asciiTheme="majorHAnsi" w:hAnsiTheme="majorHAnsi" w:cstheme="majorHAnsi"/>
        </w:rPr>
      </w:pPr>
      <w:r>
        <w:rPr>
          <w:rFonts w:asciiTheme="majorHAnsi" w:hAnsiTheme="majorHAnsi" w:cstheme="majorHAnsi"/>
        </w:rPr>
        <w:lastRenderedPageBreak/>
        <w:t>Nonetheless, we did observe interesting localization ratio</w:t>
      </w:r>
      <w:r w:rsidR="00CD0614">
        <w:rPr>
          <w:rFonts w:asciiTheme="majorHAnsi" w:hAnsiTheme="majorHAnsi" w:cstheme="majorHAnsi"/>
        </w:rPr>
        <w:t xml:space="preserve"> (LR)</w:t>
      </w:r>
      <w:r>
        <w:rPr>
          <w:rFonts w:asciiTheme="majorHAnsi" w:hAnsiTheme="majorHAnsi" w:cstheme="majorHAnsi"/>
        </w:rPr>
        <w:t xml:space="preserve"> effects</w:t>
      </w:r>
      <w:r w:rsidR="00CD0614">
        <w:rPr>
          <w:rFonts w:asciiTheme="majorHAnsi" w:hAnsiTheme="majorHAnsi" w:cstheme="majorHAnsi"/>
        </w:rPr>
        <w:t xml:space="preserve"> of Ac-225/Ac-227</w:t>
      </w:r>
      <w:r>
        <w:rPr>
          <w:rFonts w:asciiTheme="majorHAnsi" w:hAnsiTheme="majorHAnsi" w:cstheme="majorHAnsi"/>
        </w:rPr>
        <w:t>. As can be seen in</w:t>
      </w:r>
      <w:r w:rsidR="00CD0614">
        <w:rPr>
          <w:rFonts w:asciiTheme="majorHAnsi" w:hAnsiTheme="majorHAnsi" w:cstheme="majorHAnsi"/>
        </w:rPr>
        <w:t xml:space="preserve"> the</w:t>
      </w:r>
      <w:r>
        <w:rPr>
          <w:rFonts w:asciiTheme="majorHAnsi" w:hAnsiTheme="majorHAnsi" w:cstheme="majorHAnsi"/>
        </w:rPr>
        <w:t xml:space="preserve"> LR for all three tested </w:t>
      </w:r>
      <w:r w:rsidR="009D74FB">
        <w:rPr>
          <w:rFonts w:asciiTheme="majorHAnsi" w:hAnsiTheme="majorHAnsi" w:cstheme="majorHAnsi"/>
        </w:rPr>
        <w:t>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w:t>
      </w:r>
      <w:r w:rsidR="00CD0614">
        <w:rPr>
          <w:rFonts w:asciiTheme="majorHAnsi" w:hAnsiTheme="majorHAnsi" w:cstheme="majorHAnsi"/>
        </w:rPr>
        <w:t xml:space="preserve"> this is likely due to</w:t>
      </w:r>
      <w:r w:rsidR="009D74FB">
        <w:rPr>
          <w:rFonts w:asciiTheme="majorHAnsi" w:hAnsiTheme="majorHAnsi" w:cstheme="majorHAnsi"/>
        </w:rPr>
        <w:t xml:space="preserve"> a factor other than activity counting conditions that is creating isotopic localization</w:t>
      </w:r>
      <w:r w:rsidR="00CD0614">
        <w:rPr>
          <w:rFonts w:asciiTheme="majorHAnsi" w:hAnsiTheme="majorHAnsi" w:cstheme="majorHAnsi"/>
        </w:rPr>
        <w:t>, post-equilibrium</w:t>
      </w:r>
      <w:r w:rsidR="009D74FB">
        <w:rPr>
          <w:rFonts w:asciiTheme="majorHAnsi" w:hAnsiTheme="majorHAnsi" w:cstheme="majorHAnsi"/>
        </w:rPr>
        <w:t>.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w:t>
      </w:r>
      <w:r w:rsidR="00CD0614">
        <w:rPr>
          <w:rFonts w:asciiTheme="majorHAnsi" w:hAnsiTheme="majorHAnsi" w:cstheme="majorHAnsi"/>
        </w:rPr>
        <w:t xml:space="preserve"> also</w:t>
      </w:r>
      <w:r w:rsidR="009D74FB">
        <w:rPr>
          <w:rFonts w:asciiTheme="majorHAnsi" w:hAnsiTheme="majorHAnsi" w:cstheme="majorHAnsi"/>
        </w:rPr>
        <w:t xml:space="preserve"> not simply due to rapid decay of Ac-225 vs Ac-227. It is possible that changes in LR may be due to </w:t>
      </w:r>
      <w:r w:rsidR="00CD0614">
        <w:rPr>
          <w:rFonts w:asciiTheme="majorHAnsi" w:hAnsiTheme="majorHAnsi" w:cstheme="majorHAnsi"/>
        </w:rPr>
        <w:t>biomolecular actinium</w:t>
      </w:r>
      <w:r w:rsidR="00A8495A">
        <w:rPr>
          <w:rFonts w:asciiTheme="majorHAnsi" w:hAnsiTheme="majorHAnsi" w:cstheme="majorHAnsi"/>
        </w:rPr>
        <w:t xml:space="preserve"> scavenging of</w:t>
      </w:r>
      <w:r w:rsidR="009D74FB">
        <w:rPr>
          <w:rFonts w:asciiTheme="majorHAnsi" w:hAnsiTheme="majorHAnsi" w:cstheme="majorHAnsi"/>
        </w:rPr>
        <w:t xml:space="preserve"> constructs</w:t>
      </w:r>
      <w:r w:rsidR="00CD0614">
        <w:rPr>
          <w:rFonts w:asciiTheme="majorHAnsi" w:hAnsiTheme="majorHAnsi" w:cstheme="majorHAnsi"/>
        </w:rPr>
        <w:t xml:space="preserve"> directly,</w:t>
      </w:r>
      <w:r w:rsidR="009D74FB">
        <w:rPr>
          <w:rFonts w:asciiTheme="majorHAnsi" w:hAnsiTheme="majorHAnsi" w:cstheme="majorHAnsi"/>
        </w:rPr>
        <w:t xml:space="preserve"> pre-decay</w:t>
      </w:r>
      <w:r w:rsidR="00CD0614">
        <w:rPr>
          <w:rFonts w:asciiTheme="majorHAnsi" w:hAnsiTheme="majorHAnsi" w:cstheme="majorHAnsi"/>
        </w:rPr>
        <w:t>.</w:t>
      </w:r>
      <w:r w:rsidR="008C18C0">
        <w:rPr>
          <w:rFonts w:asciiTheme="majorHAnsi" w:hAnsiTheme="majorHAnsi" w:cstheme="majorHAnsi"/>
        </w:rPr>
        <w:t xml:space="preserve"> However, that would require a difference in chemical potential between isotopes in the same constructs and/or scavenging molecules.</w:t>
      </w:r>
      <w:r w:rsidR="00A8495A">
        <w:rPr>
          <w:rFonts w:asciiTheme="majorHAnsi" w:hAnsiTheme="majorHAnsi" w:cstheme="majorHAnsi"/>
        </w:rPr>
        <w:t xml:space="preserve"> </w:t>
      </w:r>
      <w:r w:rsidR="0024309C">
        <w:rPr>
          <w:rFonts w:asciiTheme="majorHAnsi" w:hAnsiTheme="majorHAnsi" w:cstheme="majorHAnsi"/>
        </w:rPr>
        <w:t xml:space="preserve">While this occurs naturally in </w:t>
      </w:r>
      <w:r w:rsidR="00CD51B3">
        <w:rPr>
          <w:rFonts w:asciiTheme="majorHAnsi" w:hAnsiTheme="majorHAnsi" w:cstheme="majorHAnsi"/>
        </w:rPr>
        <w:t>numerous</w:t>
      </w:r>
      <w:r w:rsidR="0024309C">
        <w:rPr>
          <w:rFonts w:asciiTheme="majorHAnsi" w:hAnsiTheme="majorHAnsi" w:cstheme="majorHAnsi"/>
        </w:rPr>
        <w:t xml:space="preserve"> systems</w:t>
      </w:r>
      <w:r w:rsidR="00FD13C2">
        <w:rPr>
          <w:rFonts w:asciiTheme="majorHAnsi" w:hAnsiTheme="majorHAnsi" w:cstheme="majorHAnsi"/>
        </w:rPr>
        <w:t xml:space="preserve"> </w:t>
      </w:r>
      <w:r w:rsidR="00A845F5">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{"citationItems":[{"id":"ITEM-1","itemData":{"DOI":"10.1038/s41598-019-46368-5","ISSN":"2045-2322","author":[{"dropping-particle":"","family":"Keenan","given":"Sarah W.","non-dropping-particle":"","parse-names":false,"suffix":""},{"dropping-particle":"","family":"DeBruyn","given":"Jennifer M.","non-dropping-particle":"","parse-names":false,"suffix":""}],"container-title":"Scientific Reports","id":"ITEM-1","issue":"1","issued":{"date-parts":[["2019"]]},"page":"9929","publisher":"Springer US","title":"Changes to vertebrate tissue stable isotope (δ15N) composition during decomposition","type":"article-journal","volume":"9"},"uris":["http://www.mendeley.com/documents/?uuid=4efc8c23-2d77-4fc0-926b-1b3e320d07ed"]},{"id":"ITEM-2","itemData":{"DOI":"10.1038/srep44255","abstract":"Stable Ca isotopes are fractionated between bones, urine and blood of animals and between soils, roots and leaves of plants by &gt;1000 ppm for the 44Ca/40Ca ratio. These isotopic variations have important implications to understand Ca transport and fluxes in living organisms; however, the mechanisms of isotopic fractionation are unclear. Here we present ab initio calculations for the isotopic fractionation between various aqueous species of Ca and show that this fractionation can be up to 3000 ppm. We show that the Ca isotopic fractionation between soil solutions and plant roots can be explained by the difference of isotopic fractionation between the different first shell hydration degree of Ca2+ and that the isotopic fractionation between roots and leaves is controlled by the precipitation of Ca-oxalates. The isotopic fractionation between blood and urine is due to the complexation of heavy Ca with citrate and oxalates in urine. Calculations are presented for additional Ca species that may be useful to interpret future Ca isotopic measurements.","author":[{"dropping-particle":"","family":"Moynier","given":"Frédéric","non-dropping-particle":"","parse-names":false,"suffix":""},{"dropping-particle":"","family":"Fujii","given":"Toshiyuki","non-dropping-particle":"","parse-names":false,"suffix":""}],"container-title":"Scientific Reports","id":"ITEM-2","issued":{"date-parts":[["2017"]]},"publisher":"Nature Publishing Group","title":"Calcium isotope fractionation between aqueous compounds relevant to low-temperature geochemistry, biology and medicine","type":"article-journal"},"uris":["http://www.mendeley.com/documents/?uuid=49ecfd67-c89d-4f05-a174-bd3ae1b4d31a"]},{"id":"ITEM-3","itemData":{"DOI":"10.1038/s41598-017-07305-6","ISSN":"20452322","abstract":"© 2017 The Author(s). Magnesium is the metal at the center of all types of chlorophyll and is thus crucial to photosynthesis. When an element is involved in a biosynthetic pathway its isotopes are fractionated based on the difference of vibrational frequency between the different molecules. With the technical advance of multi-collectors plasma-mass-spectrometry and improvement in analytical precision, it has recently been found that two types of chlorophylls (a and b) are isotopically distinct. These results have very significant implications with regards to the use of Mg isotopes to understand the biosynthesis of chlorophyll. Here we present theoretical constraints on the origin of these isotopic fractionations through ab initio calculations. We present the fractionation factor for chlorphyll a, b, d, and f. We show that the natural isotopic variations among chlorophyll a and b are well explained by isotopic fractionation under equilibrium, which implies exchanges of Mg during the chlorophyll cycle. We predict that chlorophyll d and f should be isotopically fractionated compared to chlorophyll a and that this could be used in the future to understand the biosynthesis of these molecules.","author":[{"dropping-particle":"","family":"Moynier","given":"Frédéric","non-dropping-particle":"","parse-names":false,"suffix":""},{"dropping-particle":"","family":"Fujii","given":"Toshiyuki","non-dropping-particle":"","parse-names":false,"suffix":""}],"container-title":"Scientific Reports","id":"ITEM-3","issue":"1","issued":{"date-parts":[["2017"]]},"page":"1-6","title":"Theoretical isotopic fractionation of magnesium between chlorophylls","type":"article-journal","volume":"7"},"uris":["http://www.mendeley.com/documents/?uuid=8ff51ec2-a5e2-4d67-acc1-b8baa3e13010"]}],"mendeley":{"formattedCitation":"&lt;sup&gt;27–29&lt;/sup&gt;","plainTextFormattedCitation":"27–29","previouslyFormattedCitation":"&lt;sup&gt;27–29&lt;/sup&gt;"},"properties":{"noteIndex":0},"schema":"https://github.com/citation-style-language/schema/raw/master/csl-citation.json"}</w:instrText>
      </w:r>
      <w:r w:rsidR="00A845F5">
        <w:rPr>
          <w:rFonts w:asciiTheme="majorHAnsi" w:hAnsiTheme="majorHAnsi" w:cstheme="majorHAnsi"/>
        </w:rPr>
        <w:fldChar w:fldCharType="separate"/>
      </w:r>
      <w:r w:rsidR="00374B2A" w:rsidRPr="00374B2A">
        <w:rPr>
          <w:rFonts w:asciiTheme="majorHAnsi" w:hAnsiTheme="majorHAnsi" w:cstheme="majorHAnsi"/>
          <w:noProof/>
          <w:vertAlign w:val="superscript"/>
        </w:rPr>
        <w:t>27–29</w:t>
      </w:r>
      <w:r w:rsidR="00A845F5">
        <w:rPr>
          <w:rFonts w:asciiTheme="majorHAnsi" w:hAnsiTheme="majorHAnsi" w:cstheme="majorHAnsi"/>
        </w:rPr>
        <w:fldChar w:fldCharType="end"/>
      </w:r>
      <w:r w:rsidR="0024309C">
        <w:rPr>
          <w:rFonts w:asciiTheme="majorHAnsi" w:hAnsiTheme="majorHAnsi" w:cstheme="majorHAnsi"/>
        </w:rPr>
        <w:t>, most notably δ</w:t>
      </w:r>
      <w:r w:rsidR="0024309C" w:rsidRPr="0024309C">
        <w:rPr>
          <w:rFonts w:asciiTheme="majorHAnsi" w:hAnsiTheme="majorHAnsi" w:cstheme="majorHAnsi"/>
          <w:vertAlign w:val="superscript"/>
        </w:rPr>
        <w:t>13</w:t>
      </w:r>
      <w:r w:rsidR="0024309C">
        <w:rPr>
          <w:rFonts w:asciiTheme="majorHAnsi" w:hAnsiTheme="majorHAnsi" w:cstheme="majorHAnsi"/>
        </w:rPr>
        <w:t xml:space="preserve">C </w:t>
      </w:r>
      <w:r w:rsidR="00CD51B3">
        <w:rPr>
          <w:rFonts w:asciiTheme="majorHAnsi" w:hAnsiTheme="majorHAnsi" w:cstheme="majorHAnsi"/>
        </w:rPr>
        <w:t xml:space="preserve">differential sequestration </w:t>
      </w:r>
      <w:r w:rsidR="0024309C">
        <w:rPr>
          <w:rFonts w:asciiTheme="majorHAnsi" w:hAnsiTheme="majorHAnsi" w:cstheme="majorHAnsi"/>
        </w:rPr>
        <w:t xml:space="preserve">in </w:t>
      </w:r>
      <w:r w:rsidR="00CD51B3">
        <w:rPr>
          <w:rFonts w:asciiTheme="majorHAnsi" w:hAnsiTheme="majorHAnsi" w:cstheme="majorHAnsi"/>
        </w:rPr>
        <w:t>ecology</w:t>
      </w:r>
      <w:r w:rsidR="00E81A3A">
        <w:rPr>
          <w:rFonts w:asciiTheme="majorHAnsi" w:hAnsiTheme="majorHAnsi" w:cstheme="majorHAnsi"/>
        </w:rPr>
        <w:t xml:space="preserve"> </w:t>
      </w:r>
      <w:r w:rsidR="0024309C">
        <w:rPr>
          <w:rFonts w:asciiTheme="majorHAnsi" w:hAnsiTheme="majorHAnsi" w:cstheme="majorHAnsi"/>
        </w:rPr>
        <w:t>, where kinetic fractionation occurs due to the added neutron mass, the added mass in Ac-227/Ac-225 (+0.88%) is a much smaller fraction than with C-13/C-12 (+8.3%).</w:t>
      </w:r>
      <w:r w:rsidR="008B176F">
        <w:rPr>
          <w:rFonts w:asciiTheme="majorHAnsi" w:hAnsiTheme="majorHAnsi" w:cstheme="majorHAnsi"/>
        </w:rPr>
        <w:t xml:space="preserve"> If this is the case, then perhaps the DOTA-Ac complexes are more easily scavenged than Trastuzumab-DOTA-Ac due to less steric hindrance, and Ac-225 more easily scavenged compared to Ac-227 and cleared more rapidly from the body.</w:t>
      </w:r>
      <w:r w:rsidR="008D6E74">
        <w:rPr>
          <w:rFonts w:asciiTheme="majorHAnsi" w:hAnsiTheme="majorHAnsi" w:cstheme="majorHAnsi"/>
        </w:rPr>
        <w:t xml:space="preserve"> </w:t>
      </w:r>
      <w:r w:rsidR="004C39CD">
        <w:rPr>
          <w:rFonts w:asciiTheme="majorHAnsi" w:hAnsiTheme="majorHAnsi" w:cstheme="majorHAnsi"/>
        </w:rPr>
        <w:t xml:space="preserve">Otherwise, there are some cases of mass-independent fractionation due to differences in nuclear magnetic moment in heavier elements, such as in paramagnetic iron isotopes in magnetotactic bacteria </w:t>
      </w:r>
      <w:r w:rsidR="004C39CD">
        <w:rPr>
          <w:rFonts w:asciiTheme="majorHAnsi" w:hAnsiTheme="majorHAnsi" w:cstheme="majorHAnsi"/>
        </w:rPr>
        <w:fldChar w:fldCharType="begin" w:fldLock="1"/>
      </w:r>
      <w:r w:rsidR="00374B2A">
        <w:rPr>
          <w:rFonts w:asciiTheme="majorHAnsi" w:hAnsiTheme="majorHAnsi" w:cstheme="majorHAnsi"/>
        </w:rPr>
        <w:instrText>ADDIN CSL_CITATION {"citationItems":[{"id":"ITEM-1","itemData":{"DOI":"10.1126/science.aad7632","ISSN":"0036-8075","author":[{"dropping-particle":"","family":"Louvat","given":"P.","non-dropping-particle":"","parse-names":false,"suffix":""},{"dropping-particle":"","family":"Busigny","given":"V.","non-dropping-particle":"","parse-names":false,"suffix":""},{"dropping-particle":"","family":"Guyot","given":"F.","non-dropping-particle":"","parse-names":false,"suffix":""},{"dropping-particle":"","family":"Amor","given":"M.","non-dropping-particle":"","parse-names":false,"suffix":""},{"dropping-particle":"","family":"Durand-Dubief","given":"M.","non-dropping-particle":"","parse-names":false,"suffix":""},{"dropping-particle":"","family":"Alphandery","given":"E.","non-dropping-particle":"","parse-names":false,"suffix":""},{"dropping-particle":"","family":"Gelabert","given":"A.","non-dropping-particle":"","parse-names":false,"suffix":""},{"dropping-particle":"","family":"Cartigny","given":"P.","non-dropping-particle":"","parse-names":false,"suffix":""},{"dropping-particle":"","family":"Ona-Nguema","given":"G.","non-dropping-particle":"","parse-names":false,"suffix":""},{"dropping-particle":"","family":"Chebbi","given":"I.","non-dropping-particle":"","parse-names":false,"suffix":""}],"container-title":"Science","id":"ITEM-1","issue":"6286","issued":{"date-parts":[["2016"]]},"page":"705-708","title":"Mass-dependent and -independent signature of Fe isotopes in magnetotactic bacteria","type":"article-journal","volume":"352"},"uris":["http://www.mendeley.com/documents/?uuid=0e007812-2efd-4eca-ac33-696a8c74bc05"]}],"mendeley":{"formattedCitation":"&lt;sup&gt;30&lt;/sup&gt;","plainTextFormattedCitation":"30","previouslyFormattedCitation":"&lt;sup&gt;30&lt;/sup&gt;"},"properties":{"noteIndex":0},"schema":"https://github.com/citation-style-language/schema/raw/master/csl-citation.json"}</w:instrText>
      </w:r>
      <w:r w:rsidR="004C39CD">
        <w:rPr>
          <w:rFonts w:asciiTheme="majorHAnsi" w:hAnsiTheme="majorHAnsi" w:cstheme="majorHAnsi"/>
        </w:rPr>
        <w:fldChar w:fldCharType="separate"/>
      </w:r>
      <w:r w:rsidR="00374B2A" w:rsidRPr="00374B2A">
        <w:rPr>
          <w:rFonts w:asciiTheme="majorHAnsi" w:hAnsiTheme="majorHAnsi" w:cstheme="majorHAnsi"/>
          <w:noProof/>
          <w:vertAlign w:val="superscript"/>
        </w:rPr>
        <w:t>30</w:t>
      </w:r>
      <w:r w:rsidR="004C39CD">
        <w:rPr>
          <w:rFonts w:asciiTheme="majorHAnsi" w:hAnsiTheme="majorHAnsi" w:cstheme="majorHAnsi"/>
        </w:rPr>
        <w:fldChar w:fldCharType="end"/>
      </w:r>
      <w:r w:rsidR="004C39CD">
        <w:rPr>
          <w:rFonts w:asciiTheme="majorHAnsi" w:hAnsiTheme="majorHAnsi" w:cstheme="majorHAnsi"/>
        </w:rPr>
        <w:t xml:space="preserve">. </w:t>
      </w:r>
      <w:r w:rsidR="0087472C">
        <w:rPr>
          <w:rFonts w:asciiTheme="majorHAnsi" w:hAnsiTheme="majorHAnsi" w:cstheme="majorHAnsi"/>
        </w:rPr>
        <w:t>Search for differences</w:t>
      </w:r>
      <w:r w:rsidR="009D74FB">
        <w:rPr>
          <w:rFonts w:asciiTheme="majorHAnsi" w:hAnsiTheme="majorHAnsi" w:cstheme="majorHAnsi"/>
        </w:rPr>
        <w:t xml:space="preserve"> could be tested through further experimentation in mice with variatio</w:t>
      </w:r>
      <w:r w:rsidR="008B176F">
        <w:rPr>
          <w:rFonts w:asciiTheme="majorHAnsi" w:hAnsiTheme="majorHAnsi" w:cstheme="majorHAnsi"/>
        </w:rPr>
        <w:t xml:space="preserve">ns of Ac-225 / Ac-227 dose in a </w:t>
      </w:r>
      <w:r w:rsidR="008D6E74">
        <w:rPr>
          <w:rFonts w:asciiTheme="majorHAnsi" w:hAnsiTheme="majorHAnsi" w:cstheme="majorHAnsi"/>
        </w:rPr>
        <w:t>weak ligand, such as citrate,</w:t>
      </w:r>
      <w:r w:rsidR="009D74FB">
        <w:rPr>
          <w:rFonts w:asciiTheme="majorHAnsi" w:hAnsiTheme="majorHAnsi" w:cstheme="majorHAnsi"/>
        </w:rPr>
        <w:t xml:space="preserve"> to pr</w:t>
      </w:r>
      <w:r w:rsidR="008B176F">
        <w:rPr>
          <w:rFonts w:asciiTheme="majorHAnsi" w:hAnsiTheme="majorHAnsi" w:cstheme="majorHAnsi"/>
        </w:rPr>
        <w:t>omote biomolecular scavenging.</w:t>
      </w:r>
    </w:p>
    <w:p w14:paraId="7093A009" w14:textId="77777777" w:rsidR="00B871F3" w:rsidRDefault="00B871F3">
      <w:pPr>
        <w:rPr>
          <w:rFonts w:asciiTheme="majorHAnsi" w:hAnsiTheme="majorHAnsi" w:cstheme="majorHAnsi"/>
          <w:b/>
          <w:sz w:val="24"/>
        </w:rPr>
      </w:pPr>
      <w:r>
        <w:rPr>
          <w:rFonts w:asciiTheme="majorHAnsi" w:hAnsiTheme="majorHAnsi" w:cstheme="majorHAnsi"/>
          <w:b/>
          <w:sz w:val="24"/>
        </w:rPr>
        <w:br w:type="page"/>
      </w:r>
    </w:p>
    <w:p w14:paraId="1B362D07" w14:textId="1C33215D"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14:paraId="12C906B4" w14:textId="77777777" w:rsidR="00B871F3" w:rsidRDefault="00AA5D27" w:rsidP="00433C44">
      <w:pPr>
        <w:spacing w:line="480" w:lineRule="auto"/>
        <w:jc w:val="both"/>
        <w:rPr>
          <w:rFonts w:asciiTheme="majorHAnsi" w:hAnsiTheme="majorHAnsi" w:cstheme="majorHAnsi"/>
        </w:rPr>
      </w:pPr>
      <w:r>
        <w:rPr>
          <w:rFonts w:asciiTheme="majorHAnsi" w:hAnsiTheme="majorHAnsi" w:cstheme="majorHAnsi"/>
        </w:rPr>
        <w:t>Considering the limitations of this study only collecting raw data out to 6-10 day</w:t>
      </w:r>
      <w:r w:rsidR="0079558C">
        <w:rPr>
          <w:rFonts w:asciiTheme="majorHAnsi" w:hAnsiTheme="majorHAnsi" w:cstheme="majorHAnsi"/>
        </w:rPr>
        <w:t xml:space="preserve">s, the dose extrapolation appears </w:t>
      </w:r>
      <w:r>
        <w:rPr>
          <w:rFonts w:asciiTheme="majorHAnsi" w:hAnsiTheme="majorHAnsi" w:cstheme="majorHAnsi"/>
        </w:rPr>
        <w:t xml:space="preserve">promising for utilization of accelerator generated Ac-225 with longer and large scale studies. </w:t>
      </w:r>
      <w:r w:rsidR="00433C44">
        <w:rPr>
          <w:rFonts w:asciiTheme="majorHAnsi" w:hAnsiTheme="majorHAnsi" w:cstheme="majorHAnsi"/>
        </w:rPr>
        <w:t xml:space="preserve">While Ac-227 constructs do seem to create a measurable absorbed dose over extended periods of time, the cumulative dose does not become significant for years, and </w:t>
      </w:r>
      <w:r w:rsidR="004E642E">
        <w:rPr>
          <w:rFonts w:asciiTheme="majorHAnsi" w:hAnsiTheme="majorHAnsi" w:cstheme="majorHAnsi"/>
        </w:rPr>
        <w:t>is likely</w:t>
      </w:r>
      <w:r w:rsidR="00433C44">
        <w:rPr>
          <w:rFonts w:asciiTheme="majorHAnsi" w:hAnsiTheme="majorHAnsi" w:cstheme="majorHAnsi"/>
        </w:rPr>
        <w:t xml:space="preserve"> </w:t>
      </w:r>
      <w:r w:rsidR="0079558C">
        <w:rPr>
          <w:rFonts w:asciiTheme="majorHAnsi" w:hAnsiTheme="majorHAnsi" w:cstheme="majorHAnsi"/>
        </w:rPr>
        <w:t xml:space="preserve">lower risk than avoiding Ac-225 radiotherapy </w:t>
      </w:r>
      <w:r w:rsidR="00433C44">
        <w:rPr>
          <w:rFonts w:asciiTheme="majorHAnsi" w:hAnsiTheme="majorHAnsi" w:cstheme="majorHAnsi"/>
        </w:rPr>
        <w:t xml:space="preserve">for </w:t>
      </w:r>
      <w:r w:rsidR="0079558C">
        <w:rPr>
          <w:rFonts w:asciiTheme="majorHAnsi" w:hAnsiTheme="majorHAnsi" w:cstheme="majorHAnsi"/>
        </w:rPr>
        <w:t>older or late-stage</w:t>
      </w:r>
      <w:r w:rsidR="00433C44">
        <w:rPr>
          <w:rFonts w:asciiTheme="majorHAnsi" w:hAnsiTheme="majorHAnsi" w:cstheme="majorHAnsi"/>
        </w:rPr>
        <w:t xml:space="preserve"> patients. </w:t>
      </w:r>
      <w:r>
        <w:rPr>
          <w:rFonts w:asciiTheme="majorHAnsi" w:hAnsiTheme="majorHAnsi" w:cstheme="majorHAnsi"/>
        </w:rPr>
        <w:t>The observati</w:t>
      </w:r>
      <w:r w:rsidR="004E642E">
        <w:rPr>
          <w:rFonts w:asciiTheme="majorHAnsi" w:hAnsiTheme="majorHAnsi" w:cstheme="majorHAnsi"/>
        </w:rPr>
        <w:t>on of</w:t>
      </w:r>
      <w:r>
        <w:rPr>
          <w:rFonts w:asciiTheme="majorHAnsi" w:hAnsiTheme="majorHAnsi" w:cstheme="majorHAnsi"/>
        </w:rPr>
        <w:t xml:space="preserve"> isotopic localization of Ac-225 vs Ac-227 is an interesting and unexpected outcome, and will be investigated further.</w:t>
      </w:r>
    </w:p>
    <w:p w14:paraId="2FA3063D" w14:textId="77777777" w:rsidR="00B871F3" w:rsidRDefault="00B871F3">
      <w:pPr>
        <w:rPr>
          <w:rFonts w:asciiTheme="majorHAnsi" w:hAnsiTheme="majorHAnsi" w:cstheme="majorHAnsi"/>
          <w:b/>
          <w:sz w:val="24"/>
        </w:rPr>
      </w:pPr>
      <w:r>
        <w:rPr>
          <w:rFonts w:asciiTheme="majorHAnsi" w:hAnsiTheme="majorHAnsi" w:cstheme="majorHAnsi"/>
          <w:b/>
          <w:sz w:val="24"/>
        </w:rPr>
        <w:br w:type="page"/>
      </w:r>
    </w:p>
    <w:p w14:paraId="4512E3EF" w14:textId="674A7CCF" w:rsidR="00B871F3" w:rsidRPr="00C06710" w:rsidRDefault="00B871F3" w:rsidP="00B871F3">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MATERIALS AND METHODS</w:t>
      </w:r>
    </w:p>
    <w:p w14:paraId="00BF18AD" w14:textId="77777777" w:rsidR="00B871F3" w:rsidRDefault="00B871F3" w:rsidP="00B871F3">
      <w:pPr>
        <w:spacing w:line="480" w:lineRule="auto"/>
        <w:jc w:val="both"/>
        <w:rPr>
          <w:rFonts w:asciiTheme="majorHAnsi" w:hAnsiTheme="majorHAnsi" w:cstheme="majorHAnsi"/>
        </w:rPr>
      </w:pPr>
      <w:r>
        <w:rPr>
          <w:rFonts w:asciiTheme="majorHAnsi" w:hAnsiTheme="majorHAnsi" w:cstheme="majorHAnsi"/>
          <w:b/>
        </w:rPr>
        <w:t>Materials</w:t>
      </w:r>
    </w:p>
    <w:p w14:paraId="3E2257F3" w14:textId="77777777" w:rsidR="00B871F3" w:rsidRPr="00CD6374" w:rsidRDefault="00B871F3" w:rsidP="00B871F3">
      <w:pPr>
        <w:spacing w:line="480" w:lineRule="auto"/>
        <w:jc w:val="both"/>
        <w:rPr>
          <w:rFonts w:asciiTheme="majorHAnsi" w:hAnsiTheme="majorHAnsi" w:cstheme="majorHAnsi"/>
        </w:rPr>
      </w:pPr>
      <w:r>
        <w:rPr>
          <w:rFonts w:asciiTheme="majorHAnsi" w:hAnsiTheme="majorHAnsi" w:cstheme="majorHAnsi"/>
        </w:rPr>
        <w:t xml:space="preserve">3,4,3-LI(1,2-HOPO), referred to as HOPO, was </w:t>
      </w:r>
      <w:r w:rsidRPr="00270D54">
        <w:rPr>
          <w:rFonts w:asciiTheme="majorHAnsi" w:hAnsiTheme="majorHAnsi" w:cstheme="majorHAnsi"/>
          <w:highlight w:val="yellow"/>
        </w:rPr>
        <w:t>XXXXX</w:t>
      </w:r>
      <w:r>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IgG1 antibody was purchased from Sigma-Aldrich. Trastuzumab was </w:t>
      </w:r>
      <w:r w:rsidRPr="008E4DE5">
        <w:rPr>
          <w:rFonts w:asciiTheme="majorHAnsi" w:hAnsiTheme="majorHAnsi" w:cstheme="majorHAnsi"/>
          <w:highlight w:val="yellow"/>
        </w:rPr>
        <w:t>XXX</w:t>
      </w:r>
      <w:r>
        <w:rPr>
          <w:rFonts w:asciiTheme="majorHAnsi" w:hAnsiTheme="majorHAnsi" w:cstheme="majorHAnsi"/>
          <w:highlight w:val="yellow"/>
        </w:rPr>
        <w:t>donated or purchased?</w:t>
      </w:r>
      <w:r w:rsidRPr="008E4DE5">
        <w:rPr>
          <w:rFonts w:asciiTheme="majorHAnsi" w:hAnsiTheme="majorHAnsi" w:cstheme="majorHAnsi"/>
          <w:highlight w:val="yellow"/>
        </w:rPr>
        <w:t>XXXXXXX</w:t>
      </w:r>
      <w:r>
        <w:rPr>
          <w:rFonts w:asciiTheme="majorHAnsi" w:hAnsiTheme="majorHAnsi" w:cstheme="majorHAnsi"/>
        </w:rPr>
        <w:t xml:space="preserve">. </w:t>
      </w:r>
      <w:r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14:paraId="4694DA79" w14:textId="77777777" w:rsidR="00B871F3" w:rsidRPr="00C06710" w:rsidRDefault="00B871F3" w:rsidP="00B871F3">
      <w:pPr>
        <w:spacing w:line="480" w:lineRule="auto"/>
        <w:jc w:val="both"/>
        <w:rPr>
          <w:rFonts w:asciiTheme="majorHAnsi" w:hAnsiTheme="majorHAnsi" w:cstheme="majorHAnsi"/>
          <w:b/>
        </w:rPr>
      </w:pPr>
      <w:r>
        <w:rPr>
          <w:rFonts w:asciiTheme="majorHAnsi" w:hAnsiTheme="majorHAnsi" w:cstheme="majorHAnsi"/>
          <w:b/>
        </w:rPr>
        <w:t>Activity counting</w:t>
      </w:r>
    </w:p>
    <w:p w14:paraId="578E270D" w14:textId="77777777" w:rsidR="00B871F3" w:rsidRPr="00C06710" w:rsidRDefault="00B871F3" w:rsidP="00B871F3">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Dilutions of radiolabeled solution </w:t>
      </w:r>
      <w:r w:rsidRPr="00C06710">
        <w:rPr>
          <w:rFonts w:asciiTheme="majorHAnsi" w:hAnsiTheme="majorHAnsi" w:cstheme="majorHAnsi"/>
        </w:rPr>
        <w:t>activity</w:t>
      </w:r>
      <w:r>
        <w:rPr>
          <w:rFonts w:asciiTheme="majorHAnsi" w:hAnsiTheme="majorHAnsi" w:cstheme="majorHAnsi"/>
        </w:rPr>
        <w:t xml:space="preserve"> for injection were</w:t>
      </w:r>
      <w:r w:rsidRPr="00C06710">
        <w:rPr>
          <w:rFonts w:asciiTheme="majorHAnsi" w:hAnsiTheme="majorHAnsi" w:cstheme="majorHAnsi"/>
        </w:rPr>
        <w:t xml:space="preserve"> </w:t>
      </w:r>
      <w:r>
        <w:rPr>
          <w:rFonts w:asciiTheme="majorHAnsi" w:hAnsiTheme="majorHAnsi" w:cstheme="majorHAnsi"/>
        </w:rPr>
        <w:t xml:space="preserve">diluted with </w:t>
      </w:r>
      <w:r w:rsidRPr="00C06710">
        <w:rPr>
          <w:rFonts w:asciiTheme="majorHAnsi" w:hAnsiTheme="majorHAnsi" w:cstheme="majorHAnsi"/>
        </w:rPr>
        <w:t>10 mL of Ultima Gold LLT scintillation cocktail</w:t>
      </w:r>
      <w:r>
        <w:rPr>
          <w:rFonts w:asciiTheme="majorHAnsi" w:hAnsiTheme="majorHAnsi" w:cstheme="majorHAnsi"/>
        </w:rPr>
        <w:t>. For biodistribution, samples were ashed in a furnace, dissolved in nitric acid, and diluted into 10 mL Ultima Gold LLT scintillation cocktail.</w:t>
      </w:r>
    </w:p>
    <w:p w14:paraId="037D086D" w14:textId="77777777" w:rsidR="00B871F3" w:rsidRPr="00C06710" w:rsidRDefault="00B871F3" w:rsidP="00B871F3">
      <w:pPr>
        <w:spacing w:line="480" w:lineRule="auto"/>
        <w:jc w:val="both"/>
        <w:rPr>
          <w:rFonts w:asciiTheme="majorHAnsi" w:hAnsiTheme="majorHAnsi" w:cstheme="majorHAnsi"/>
          <w:b/>
        </w:rPr>
      </w:pPr>
      <w:r>
        <w:rPr>
          <w:rFonts w:asciiTheme="majorHAnsi" w:hAnsiTheme="majorHAnsi" w:cstheme="majorHAnsi"/>
          <w:b/>
        </w:rPr>
        <w:t>Radiolabeling</w:t>
      </w:r>
    </w:p>
    <w:p w14:paraId="6EB8E3E2" w14:textId="77777777" w:rsidR="00B871F3" w:rsidRPr="00C06710" w:rsidRDefault="00B871F3" w:rsidP="00B871F3">
      <w:pPr>
        <w:spacing w:line="480" w:lineRule="auto"/>
        <w:jc w:val="both"/>
        <w:rPr>
          <w:rFonts w:asciiTheme="majorHAnsi" w:hAnsiTheme="majorHAnsi" w:cstheme="majorHAnsi"/>
          <w:i/>
        </w:rPr>
      </w:pPr>
      <w:r w:rsidRPr="00C06710">
        <w:rPr>
          <w:rFonts w:asciiTheme="majorHAnsi" w:hAnsiTheme="majorHAnsi" w:cstheme="majorHAnsi"/>
          <w:i/>
        </w:rPr>
        <w:t>Caution: Ac-225</w:t>
      </w:r>
      <w:r>
        <w:rPr>
          <w:rFonts w:asciiTheme="majorHAnsi" w:hAnsiTheme="majorHAnsi" w:cstheme="majorHAnsi"/>
          <w:i/>
        </w:rPr>
        <w:t xml:space="preserve"> and Ac-227</w:t>
      </w:r>
      <w:r w:rsidRPr="00C06710">
        <w:rPr>
          <w:rFonts w:asciiTheme="majorHAnsi" w:hAnsiTheme="majorHAnsi" w:cstheme="majorHAnsi"/>
          <w:i/>
        </w:rPr>
        <w:t xml:space="preserve"> are radioactive isotopes that may present seriou</w:t>
      </w:r>
      <w:r>
        <w:rPr>
          <w:rFonts w:asciiTheme="majorHAnsi" w:hAnsiTheme="majorHAnsi" w:cstheme="majorHAnsi"/>
          <w:i/>
        </w:rPr>
        <w:t>s health risks to the user</w:t>
      </w:r>
      <w:r w:rsidRPr="00C06710">
        <w:rPr>
          <w:rFonts w:asciiTheme="majorHAnsi" w:hAnsiTheme="majorHAnsi" w:cstheme="majorHAnsi"/>
          <w:i/>
        </w:rPr>
        <w:t>. Experiments were performed in facilities specially designed for the safe-handling of radioactive materials at the Lawrence Berkeley National Laboratory (LBNL).</w:t>
      </w:r>
    </w:p>
    <w:p w14:paraId="460B4E56" w14:textId="77777777" w:rsidR="00B871F3" w:rsidRDefault="00B871F3" w:rsidP="00B871F3">
      <w:pPr>
        <w:spacing w:line="480" w:lineRule="auto"/>
        <w:jc w:val="both"/>
        <w:rPr>
          <w:rFonts w:asciiTheme="majorHAnsi" w:hAnsiTheme="majorHAnsi" w:cstheme="majorHAnsi"/>
        </w:rPr>
      </w:pPr>
      <w:r>
        <w:rPr>
          <w:rFonts w:asciiTheme="majorHAnsi" w:hAnsiTheme="majorHAnsi" w:cstheme="majorHAnsi"/>
        </w:rPr>
        <w:t xml:space="preserve">For DOTA and HOPO radiolabeling sans antibody,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Pr="00C06710">
        <w:rPr>
          <w:rFonts w:asciiTheme="majorHAnsi" w:hAnsiTheme="majorHAnsi" w:cstheme="majorHAnsi"/>
        </w:rPr>
        <w:t xml:space="preserve"> dry heating block was warmed to 45 º</w:t>
      </w:r>
      <w:r>
        <w:rPr>
          <w:rFonts w:asciiTheme="majorHAnsi" w:hAnsiTheme="majorHAnsi" w:cstheme="majorHAnsi"/>
        </w:rPr>
        <w:t>C and antibody-DOTA conjugates (cysteine sites)</w:t>
      </w:r>
      <w:r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Pr="00C06710">
        <w:rPr>
          <w:rFonts w:asciiTheme="majorHAnsi" w:hAnsiTheme="majorHAnsi" w:cstheme="majorHAnsi"/>
        </w:rPr>
        <w:t xml:space="preserve">. Radionuclide in 0.05N HCl was added at </w:t>
      </w:r>
      <w:r>
        <w:rPr>
          <w:rFonts w:asciiTheme="majorHAnsi" w:hAnsiTheme="majorHAnsi" w:cstheme="majorHAnsi"/>
        </w:rPr>
        <w:t>200</w:t>
      </w:r>
      <w:r w:rsidRPr="00C06710">
        <w:rPr>
          <w:rFonts w:asciiTheme="majorHAnsi" w:hAnsiTheme="majorHAnsi" w:cstheme="majorHAnsi"/>
        </w:rPr>
        <w:t xml:space="preserve">x excess </w:t>
      </w:r>
      <w:r>
        <w:rPr>
          <w:rFonts w:asciiTheme="majorHAnsi" w:hAnsiTheme="majorHAnsi" w:cstheme="majorHAnsi"/>
        </w:rPr>
        <w:t>Ligand:Metal</w:t>
      </w:r>
      <w:r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w:t>
      </w:r>
      <w:r w:rsidRPr="00C06710">
        <w:rPr>
          <w:rFonts w:asciiTheme="majorHAnsi" w:hAnsiTheme="majorHAnsi" w:cstheme="majorHAnsi"/>
        </w:rPr>
        <w:lastRenderedPageBreak/>
        <w:t xml:space="preserve">exchanged (10x volume 5 times) into </w:t>
      </w:r>
      <w:r>
        <w:rPr>
          <w:rFonts w:asciiTheme="majorHAnsi" w:hAnsiTheme="majorHAnsi" w:cstheme="majorHAnsi"/>
        </w:rPr>
        <w:t xml:space="preserve">PBS of </w:t>
      </w:r>
      <w:r w:rsidRPr="00C06710">
        <w:rPr>
          <w:rFonts w:asciiTheme="majorHAnsi" w:hAnsiTheme="majorHAnsi" w:cstheme="majorHAnsi"/>
        </w:rPr>
        <w:t xml:space="preserve">pH 7.4, and aliquots of filtrate and retentate were taken for final activity and yield verification. </w:t>
      </w:r>
    </w:p>
    <w:p w14:paraId="3AC90F30" w14:textId="77777777" w:rsidR="00B871F3" w:rsidRDefault="00B871F3" w:rsidP="00B871F3">
      <w:pPr>
        <w:spacing w:line="480" w:lineRule="auto"/>
        <w:jc w:val="both"/>
        <w:rPr>
          <w:rFonts w:asciiTheme="majorHAnsi" w:hAnsiTheme="majorHAnsi" w:cstheme="majorHAnsi"/>
          <w:b/>
        </w:rPr>
      </w:pPr>
      <w:r>
        <w:rPr>
          <w:rFonts w:asciiTheme="majorHAnsi" w:hAnsiTheme="majorHAnsi" w:cstheme="majorHAnsi"/>
          <w:b/>
        </w:rPr>
        <w:t>Animal Handling</w:t>
      </w:r>
    </w:p>
    <w:p w14:paraId="4E586506" w14:textId="77777777" w:rsidR="00B871F3" w:rsidRDefault="00B871F3" w:rsidP="00B871F3">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3028870D" w14:textId="77777777" w:rsidR="00B871F3" w:rsidRDefault="00B871F3" w:rsidP="00B871F3">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DD1B878" w14:textId="77777777" w:rsidR="00B871F3" w:rsidRPr="003C0829" w:rsidRDefault="00B871F3" w:rsidP="00B871F3">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119E96A8" w14:textId="77777777" w:rsidR="00B871F3" w:rsidRDefault="00B871F3" w:rsidP="00B871F3">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C067451" w14:textId="77777777" w:rsidR="00B871F3" w:rsidRPr="003A7DE3" w:rsidRDefault="00B871F3" w:rsidP="00B871F3">
      <w:pPr>
        <w:spacing w:line="480" w:lineRule="auto"/>
        <w:jc w:val="both"/>
        <w:rPr>
          <w:rFonts w:asciiTheme="majorHAnsi" w:hAnsiTheme="majorHAnsi" w:cstheme="majorHAnsi"/>
        </w:rPr>
      </w:pPr>
      <w:r>
        <w:rPr>
          <w:rFonts w:asciiTheme="majorHAnsi" w:hAnsiTheme="majorHAnsi" w:cstheme="majorHAnsi"/>
        </w:rPr>
        <w:t xml:space="preserve">Biodistribution results are reported as percent recovered dose per mass (%RD/g) as excreta was collected alongside the organs and tissues. </w:t>
      </w:r>
      <w:r w:rsidRPr="00C74806">
        <w:rPr>
          <w:rFonts w:asciiTheme="majorHAnsi" w:hAnsiTheme="majorHAnsi" w:cstheme="majorHAnsi"/>
          <w:highlight w:val="yellow"/>
        </w:rPr>
        <w:t>Xxxxxxxx</w:t>
      </w:r>
      <w:r>
        <w:rPr>
          <w:rFonts w:asciiTheme="majorHAnsi" w:hAnsiTheme="majorHAnsi" w:cstheme="majorHAnsi"/>
          <w:highlight w:val="yellow"/>
        </w:rPr>
        <w:t>***Insert Dahlia?***</w:t>
      </w:r>
      <w:r w:rsidRPr="00C74806">
        <w:rPr>
          <w:rFonts w:asciiTheme="majorHAnsi" w:hAnsiTheme="majorHAnsi" w:cstheme="majorHAnsi"/>
          <w:highlight w:val="yellow"/>
        </w:rPr>
        <w:t>xxxxxxxxxx</w:t>
      </w:r>
    </w:p>
    <w:p w14:paraId="6EA8ED43" w14:textId="77777777" w:rsidR="00B871F3" w:rsidRPr="009E5B8D" w:rsidRDefault="00B871F3" w:rsidP="00B871F3">
      <w:pPr>
        <w:spacing w:line="480" w:lineRule="auto"/>
        <w:jc w:val="both"/>
        <w:rPr>
          <w:rFonts w:asciiTheme="majorHAnsi" w:hAnsiTheme="majorHAnsi" w:cstheme="majorHAnsi"/>
          <w:b/>
        </w:rPr>
      </w:pPr>
      <w:r>
        <w:rPr>
          <w:rFonts w:asciiTheme="majorHAnsi" w:hAnsiTheme="majorHAnsi" w:cstheme="majorHAnsi"/>
          <w:b/>
        </w:rPr>
        <w:t>Dose Modeling</w:t>
      </w:r>
    </w:p>
    <w:p w14:paraId="61A31920" w14:textId="77777777" w:rsidR="00B871F3" w:rsidRPr="00C06710" w:rsidRDefault="00B871F3" w:rsidP="00B871F3">
      <w:pPr>
        <w:spacing w:line="480" w:lineRule="auto"/>
        <w:jc w:val="both"/>
        <w:rPr>
          <w:rFonts w:asciiTheme="majorHAnsi" w:hAnsiTheme="majorHAnsi" w:cstheme="majorHAnsi"/>
        </w:rPr>
      </w:pPr>
      <w:r>
        <w:rPr>
          <w:rFonts w:asciiTheme="majorHAnsi" w:hAnsiTheme="majorHAnsi" w:cstheme="majorHAnsi"/>
        </w:rPr>
        <w:t xml:space="preserve">Utilizing the kinetic dose results, we created an estimated future dose for DOTA-Ac, Trastuzumab-DOTA-Ac, and HOPO-Ac as a control, using accelerator-generated actinium constructs. The input dose bolus was 200 nCi for Ac-225 and 1 nCi for Ac-227 (0.5% Ac-227 contamination), and assumed to be pure actinium without daughters (all activity is only actinium at time = 0 of the injection). Dose modeling was performed across two regimes: 1) interpolation within the actual recorded data set (0-10 days), and 2) extrapolation </w:t>
      </w:r>
      <w:r>
        <w:rPr>
          <w:rFonts w:asciiTheme="majorHAnsi" w:hAnsiTheme="majorHAnsi" w:cstheme="majorHAnsi"/>
        </w:rPr>
        <w:lastRenderedPageBreak/>
        <w:t>of future dose assuming no further change in final time point. Between real recorded time point values of 1 hr, 4 hr, 24 hr, 4 days, 6 days (and 10 days for Trastuzumab-DOTA only), small step changes were added for interpolation. Numerically solving the standard Bateman ordinary differential equations produced an activity per time correlation (</w:t>
      </w:r>
      <w:r>
        <w:rPr>
          <w:rFonts w:asciiTheme="majorHAnsi" w:hAnsiTheme="majorHAnsi" w:cstheme="majorHAnsi"/>
          <w:b/>
        </w:rPr>
        <w:t>Figure 1</w:t>
      </w:r>
      <w:r>
        <w:rPr>
          <w:rFonts w:asciiTheme="majorHAnsi" w:hAnsiTheme="majorHAnsi" w:cstheme="majorHAnsi"/>
        </w:rPr>
        <w:t>). Next, using the energy output for each decay along the daughter series’, a moving average of power per count of activity (MeV/minute / CPM) for each time step was found, to get MeV/count (</w:t>
      </w:r>
      <w:r>
        <w:rPr>
          <w:rFonts w:asciiTheme="majorHAnsi" w:hAnsiTheme="majorHAnsi" w:cstheme="majorHAnsi"/>
          <w:b/>
        </w:rPr>
        <w:t>Figure S1</w:t>
      </w:r>
      <w:r>
        <w:rPr>
          <w:rFonts w:asciiTheme="majorHAnsi" w:hAnsiTheme="majorHAnsi" w:cstheme="majorHAnsi"/>
        </w:rPr>
        <w:t>). 100% efficiency of counting was assumed per decay. For time points within the real recorded time points, a monotonic cubic spline was used to gather activities, where activity past the real data assumes no change in biodistribution, and only decay occurs. Power per mass (MeV/(g*day)) was found per time step based on organ masses, and was numerically integrated to convert to energy per mass for conversion into units of Grey. Unequal variance standard deviation was also modeled via cubic spline interpolation and numerical integration for real data points with error propagation, and 95% confidence intervals were determined via assuming n=5 for each future time point beyond the real data of n=5. To determine the time of unity for Ac-227/Ac-225 ratios for dose per day, an exponential fit was used, and for cumulative dose a linear fit was used. Each organ/tissue point of unity was determined from a cubic spline interpretation, along with the error.</w:t>
      </w:r>
    </w:p>
    <w:p w14:paraId="6C59A370" w14:textId="62DB5141" w:rsidR="00677A09" w:rsidRPr="00433C44" w:rsidRDefault="00677A09" w:rsidP="00433C44">
      <w:pPr>
        <w:spacing w:line="480" w:lineRule="auto"/>
        <w:jc w:val="both"/>
        <w:rPr>
          <w:rFonts w:asciiTheme="majorHAnsi" w:hAnsiTheme="majorHAnsi" w:cstheme="majorHAnsi"/>
        </w:rPr>
      </w:pPr>
      <w:r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26D8406F" w14:textId="5A4509D7" w:rsidR="00374B2A" w:rsidRPr="00374B2A" w:rsidRDefault="004B0392" w:rsidP="00374B2A">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374B2A" w:rsidRPr="00374B2A">
        <w:rPr>
          <w:rFonts w:ascii="Calibri Light" w:hAnsi="Calibri Light" w:cs="Calibri Light"/>
          <w:noProof/>
          <w:szCs w:val="24"/>
        </w:rPr>
        <w:t xml:space="preserve">1. </w:t>
      </w:r>
      <w:r w:rsidR="00374B2A" w:rsidRPr="00374B2A">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00374B2A" w:rsidRPr="00374B2A">
        <w:rPr>
          <w:rFonts w:ascii="Calibri Light" w:hAnsi="Calibri Light" w:cs="Calibri Light"/>
          <w:i/>
          <w:iCs/>
          <w:noProof/>
          <w:szCs w:val="24"/>
        </w:rPr>
        <w:t>J Nucl Med</w:t>
      </w:r>
      <w:r w:rsidR="00374B2A" w:rsidRPr="00374B2A">
        <w:rPr>
          <w:rFonts w:ascii="Calibri Light" w:hAnsi="Calibri Light" w:cs="Calibri Light"/>
          <w:noProof/>
          <w:szCs w:val="24"/>
        </w:rPr>
        <w:t>. 2017;58(10):1624-1631. doi:10.2967/jnumed.117.191395</w:t>
      </w:r>
    </w:p>
    <w:p w14:paraId="512CBCE9"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 </w:t>
      </w:r>
      <w:r w:rsidRPr="00374B2A">
        <w:rPr>
          <w:rFonts w:ascii="Calibri Light" w:hAnsi="Calibri Light" w:cs="Calibri Light"/>
          <w:noProof/>
          <w:szCs w:val="24"/>
        </w:rPr>
        <w:tab/>
        <w:t xml:space="preserve">Lengana T, Mahapane J, Lawal I, et al. 225Ac-PSMA-617 in chemotherapy-naive patients with advanced prostate cancer: a pilot study. </w:t>
      </w:r>
      <w:r w:rsidRPr="00374B2A">
        <w:rPr>
          <w:rFonts w:ascii="Calibri Light" w:hAnsi="Calibri Light" w:cs="Calibri Light"/>
          <w:i/>
          <w:iCs/>
          <w:noProof/>
          <w:szCs w:val="24"/>
        </w:rPr>
        <w:t>Eur J Nucl Med Mol Imaging</w:t>
      </w:r>
      <w:r w:rsidRPr="00374B2A">
        <w:rPr>
          <w:rFonts w:ascii="Calibri Light" w:hAnsi="Calibri Light" w:cs="Calibri Light"/>
          <w:noProof/>
          <w:szCs w:val="24"/>
        </w:rPr>
        <w:t>. 2018;46(1):129-138. doi:10.1007/s00259-018-4167-0</w:t>
      </w:r>
    </w:p>
    <w:p w14:paraId="3C5827A3"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3. </w:t>
      </w:r>
      <w:r w:rsidRPr="00374B2A">
        <w:rPr>
          <w:rFonts w:ascii="Calibri Light" w:hAnsi="Calibri Light" w:cs="Calibri Light"/>
          <w:noProof/>
          <w:szCs w:val="24"/>
        </w:rPr>
        <w:tab/>
        <w:t xml:space="preserve">McDevitt MR. Tumor Therapy with Targeted Atomic Nanogenerators. </w:t>
      </w:r>
      <w:r w:rsidRPr="00374B2A">
        <w:rPr>
          <w:rFonts w:ascii="Calibri Light" w:hAnsi="Calibri Light" w:cs="Calibri Light"/>
          <w:i/>
          <w:iCs/>
          <w:noProof/>
          <w:szCs w:val="24"/>
        </w:rPr>
        <w:t>Science (80- )</w:t>
      </w:r>
      <w:r w:rsidRPr="00374B2A">
        <w:rPr>
          <w:rFonts w:ascii="Calibri Light" w:hAnsi="Calibri Light" w:cs="Calibri Light"/>
          <w:noProof/>
          <w:szCs w:val="24"/>
        </w:rPr>
        <w:t>. 2001;294(5546):1537-1540. doi:10.1126/science.1064126</w:t>
      </w:r>
    </w:p>
    <w:p w14:paraId="1CF56EC2"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4. </w:t>
      </w:r>
      <w:r w:rsidRPr="00374B2A">
        <w:rPr>
          <w:rFonts w:ascii="Calibri Light" w:hAnsi="Calibri Light" w:cs="Calibri Light"/>
          <w:noProof/>
          <w:szCs w:val="24"/>
        </w:rPr>
        <w:tab/>
        <w:t xml:space="preserve">Borchardt PE, Yuan RR, Miederer M, McDevitt MR, Scheinberg DA. Targeted actinium-225 in vivo generators for therapy of ovarian cancer. </w:t>
      </w:r>
      <w:r w:rsidRPr="00374B2A">
        <w:rPr>
          <w:rFonts w:ascii="Calibri Light" w:hAnsi="Calibri Light" w:cs="Calibri Light"/>
          <w:i/>
          <w:iCs/>
          <w:noProof/>
          <w:szCs w:val="24"/>
        </w:rPr>
        <w:t>Cancer Res</w:t>
      </w:r>
      <w:r w:rsidRPr="00374B2A">
        <w:rPr>
          <w:rFonts w:ascii="Calibri Light" w:hAnsi="Calibri Light" w:cs="Calibri Light"/>
          <w:noProof/>
          <w:szCs w:val="24"/>
        </w:rPr>
        <w:t>. 2003;63(16):5084-5090.</w:t>
      </w:r>
    </w:p>
    <w:p w14:paraId="0EA6DA74"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5. </w:t>
      </w:r>
      <w:r w:rsidRPr="00374B2A">
        <w:rPr>
          <w:rFonts w:ascii="Calibri Light" w:hAnsi="Calibri Light" w:cs="Calibri Light"/>
          <w:noProof/>
          <w:szCs w:val="24"/>
        </w:rPr>
        <w:tab/>
        <w:t xml:space="preserve">Khabibullin AR, Karolak A, Budzevich MM, McLaughlin ML, Morse DL, Woods LM. Structure and properties of DOTA-chelated radiopharmaceuticals within the 225 Ac decay pathway. </w:t>
      </w:r>
      <w:r w:rsidRPr="00374B2A">
        <w:rPr>
          <w:rFonts w:ascii="Calibri Light" w:hAnsi="Calibri Light" w:cs="Calibri Light"/>
          <w:i/>
          <w:iCs/>
          <w:noProof/>
          <w:szCs w:val="24"/>
        </w:rPr>
        <w:t>Medchemcomm</w:t>
      </w:r>
      <w:r w:rsidRPr="00374B2A">
        <w:rPr>
          <w:rFonts w:ascii="Calibri Light" w:hAnsi="Calibri Light" w:cs="Calibri Light"/>
          <w:noProof/>
          <w:szCs w:val="24"/>
        </w:rPr>
        <w:t>. 2018;9(7):1155-1163. doi:10.1039/c8md00170g</w:t>
      </w:r>
    </w:p>
    <w:p w14:paraId="32173CAE"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6. </w:t>
      </w:r>
      <w:r w:rsidRPr="00374B2A">
        <w:rPr>
          <w:rFonts w:ascii="Calibri Light" w:hAnsi="Calibri Light" w:cs="Calibri Light"/>
          <w:noProof/>
          <w:szCs w:val="24"/>
        </w:rPr>
        <w:tab/>
        <w:t xml:space="preserve">Deal KA, Davis IA, Mirzadeh S, Kennel SJ, Brechbiel MW. Improved in vivo stability of actinium-225 macrocyclic complexes. </w:t>
      </w:r>
      <w:r w:rsidRPr="00374B2A">
        <w:rPr>
          <w:rFonts w:ascii="Calibri Light" w:hAnsi="Calibri Light" w:cs="Calibri Light"/>
          <w:i/>
          <w:iCs/>
          <w:noProof/>
          <w:szCs w:val="24"/>
        </w:rPr>
        <w:t>J Med Chem</w:t>
      </w:r>
      <w:r w:rsidRPr="00374B2A">
        <w:rPr>
          <w:rFonts w:ascii="Calibri Light" w:hAnsi="Calibri Light" w:cs="Calibri Light"/>
          <w:noProof/>
          <w:szCs w:val="24"/>
        </w:rPr>
        <w:t>. 1999;42(15):2988-2992. doi:10.1021/jm990141f</w:t>
      </w:r>
    </w:p>
    <w:p w14:paraId="407F9CF4"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7. </w:t>
      </w:r>
      <w:r w:rsidRPr="00374B2A">
        <w:rPr>
          <w:rFonts w:ascii="Calibri Light" w:hAnsi="Calibri Light" w:cs="Calibri Light"/>
          <w:noProof/>
          <w:szCs w:val="24"/>
        </w:rPr>
        <w:tab/>
        <w:t xml:space="preserve">Price EW, Orvig C. Matching chelators to radiometals for radiopharmaceuticals. </w:t>
      </w:r>
      <w:r w:rsidRPr="00374B2A">
        <w:rPr>
          <w:rFonts w:ascii="Calibri Light" w:hAnsi="Calibri Light" w:cs="Calibri Light"/>
          <w:i/>
          <w:iCs/>
          <w:noProof/>
          <w:szCs w:val="24"/>
        </w:rPr>
        <w:t>Chem Soc Rev</w:t>
      </w:r>
      <w:r w:rsidRPr="00374B2A">
        <w:rPr>
          <w:rFonts w:ascii="Calibri Light" w:hAnsi="Calibri Light" w:cs="Calibri Light"/>
          <w:noProof/>
          <w:szCs w:val="24"/>
        </w:rPr>
        <w:t>. 2014;43(1):260-290. doi:10.1039/c3cs60304k</w:t>
      </w:r>
    </w:p>
    <w:p w14:paraId="7AB509E3"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8. </w:t>
      </w:r>
      <w:r w:rsidRPr="00374B2A">
        <w:rPr>
          <w:rFonts w:ascii="Calibri Light" w:hAnsi="Calibri Light" w:cs="Calibri Light"/>
          <w:noProof/>
          <w:szCs w:val="24"/>
        </w:rPr>
        <w:tab/>
        <w:t xml:space="preserve">Thiele NA, Brown V, Kelly JM, et al. An Eighteen-Membered Macrocyclic Ligand for Actinium-225 Targeted Alpha Therapy. </w:t>
      </w:r>
      <w:r w:rsidRPr="00374B2A">
        <w:rPr>
          <w:rFonts w:ascii="Calibri Light" w:hAnsi="Calibri Light" w:cs="Calibri Light"/>
          <w:i/>
          <w:iCs/>
          <w:noProof/>
          <w:szCs w:val="24"/>
        </w:rPr>
        <w:t>Angew Chemie - Int Ed</w:t>
      </w:r>
      <w:r w:rsidRPr="00374B2A">
        <w:rPr>
          <w:rFonts w:ascii="Calibri Light" w:hAnsi="Calibri Light" w:cs="Calibri Light"/>
          <w:noProof/>
          <w:szCs w:val="24"/>
        </w:rPr>
        <w:t>. 2017. doi:10.1002/anie.201709532</w:t>
      </w:r>
    </w:p>
    <w:p w14:paraId="0E495416"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9. </w:t>
      </w:r>
      <w:r w:rsidRPr="00374B2A">
        <w:rPr>
          <w:rFonts w:ascii="Calibri Light" w:hAnsi="Calibri Light" w:cs="Calibri Light"/>
          <w:noProof/>
          <w:szCs w:val="24"/>
        </w:rPr>
        <w:tab/>
        <w:t xml:space="preserve">Maguire WF, McDevitt MR, Smith-Jones PM, Scheinberg DA. Efficient 1-step radiolabeling of </w:t>
      </w:r>
      <w:r w:rsidRPr="00374B2A">
        <w:rPr>
          <w:rFonts w:ascii="Calibri Light" w:hAnsi="Calibri Light" w:cs="Calibri Light"/>
          <w:noProof/>
          <w:szCs w:val="24"/>
        </w:rPr>
        <w:lastRenderedPageBreak/>
        <w:t xml:space="preserve">monoclonal antibodies to high specific activity with </w:t>
      </w:r>
      <w:r w:rsidRPr="00374B2A">
        <w:rPr>
          <w:rFonts w:ascii="Calibri Light" w:hAnsi="Calibri Light" w:cs="Calibri Light"/>
          <w:noProof/>
          <w:szCs w:val="24"/>
          <w:vertAlign w:val="superscript"/>
        </w:rPr>
        <w:t>225</w:t>
      </w:r>
      <w:r w:rsidRPr="00374B2A">
        <w:rPr>
          <w:rFonts w:ascii="Calibri Light" w:hAnsi="Calibri Light" w:cs="Calibri Light"/>
          <w:noProof/>
          <w:szCs w:val="24"/>
        </w:rPr>
        <w:t xml:space="preserve">Ac for α-particle radioimmunotherapy of cancer. </w:t>
      </w:r>
      <w:r w:rsidRPr="00374B2A">
        <w:rPr>
          <w:rFonts w:ascii="Calibri Light" w:hAnsi="Calibri Light" w:cs="Calibri Light"/>
          <w:i/>
          <w:iCs/>
          <w:noProof/>
          <w:szCs w:val="24"/>
        </w:rPr>
        <w:t>J Nucl Med</w:t>
      </w:r>
      <w:r w:rsidRPr="00374B2A">
        <w:rPr>
          <w:rFonts w:ascii="Calibri Light" w:hAnsi="Calibri Light" w:cs="Calibri Light"/>
          <w:noProof/>
          <w:szCs w:val="24"/>
        </w:rPr>
        <w:t>. 2014;55(9):1492-1498. doi:10.2967/jnumed.114.138347</w:t>
      </w:r>
    </w:p>
    <w:p w14:paraId="2E2B84F8"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10. </w:t>
      </w:r>
      <w:r w:rsidRPr="00374B2A">
        <w:rPr>
          <w:rFonts w:ascii="Calibri Light" w:hAnsi="Calibri Light" w:cs="Calibri Light"/>
          <w:noProof/>
          <w:szCs w:val="24"/>
        </w:rPr>
        <w:tab/>
        <w:t xml:space="preserve">Kozempel J, Mokhodoeva O, Vlk M. Progress in targeted alpha-particle therapy. What we learned about recoils release from in vivo generators. </w:t>
      </w:r>
      <w:r w:rsidRPr="00374B2A">
        <w:rPr>
          <w:rFonts w:ascii="Calibri Light" w:hAnsi="Calibri Light" w:cs="Calibri Light"/>
          <w:i/>
          <w:iCs/>
          <w:noProof/>
          <w:szCs w:val="24"/>
        </w:rPr>
        <w:t>Molecules</w:t>
      </w:r>
      <w:r w:rsidRPr="00374B2A">
        <w:rPr>
          <w:rFonts w:ascii="Calibri Light" w:hAnsi="Calibri Light" w:cs="Calibri Light"/>
          <w:noProof/>
          <w:szCs w:val="24"/>
        </w:rPr>
        <w:t>. 2018;23(3). doi:10.3390/molecules23030581</w:t>
      </w:r>
    </w:p>
    <w:p w14:paraId="5698E1AE"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11. </w:t>
      </w:r>
      <w:r w:rsidRPr="00374B2A">
        <w:rPr>
          <w:rFonts w:ascii="Calibri Light" w:hAnsi="Calibri Light" w:cs="Calibri Light"/>
          <w:noProof/>
          <w:szCs w:val="24"/>
        </w:rPr>
        <w:tab/>
        <w:t xml:space="preserve">de Kruijff RM, Wolterbeek HT, Denkova AG. A critical review of alpha radionuclide therapy-how to deal with recoiling daughters? </w:t>
      </w:r>
      <w:r w:rsidRPr="00374B2A">
        <w:rPr>
          <w:rFonts w:ascii="Calibri Light" w:hAnsi="Calibri Light" w:cs="Calibri Light"/>
          <w:i/>
          <w:iCs/>
          <w:noProof/>
          <w:szCs w:val="24"/>
        </w:rPr>
        <w:t>Pharmaceuticals</w:t>
      </w:r>
      <w:r w:rsidRPr="00374B2A">
        <w:rPr>
          <w:rFonts w:ascii="Calibri Light" w:hAnsi="Calibri Light" w:cs="Calibri Light"/>
          <w:noProof/>
          <w:szCs w:val="24"/>
        </w:rPr>
        <w:t>. 2015. doi:10.3390/ph8020321</w:t>
      </w:r>
    </w:p>
    <w:p w14:paraId="4216A3E8"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12. </w:t>
      </w:r>
      <w:r w:rsidRPr="00374B2A">
        <w:rPr>
          <w:rFonts w:ascii="Calibri Light" w:hAnsi="Calibri Light" w:cs="Calibri Light"/>
          <w:noProof/>
          <w:szCs w:val="24"/>
        </w:rPr>
        <w:tab/>
        <w:t xml:space="preserve">Engle JW. The Production of Ac-225. </w:t>
      </w:r>
      <w:r w:rsidRPr="00374B2A">
        <w:rPr>
          <w:rFonts w:ascii="Calibri Light" w:hAnsi="Calibri Light" w:cs="Calibri Light"/>
          <w:i/>
          <w:iCs/>
          <w:noProof/>
          <w:szCs w:val="24"/>
        </w:rPr>
        <w:t>Curr Radiopharm</w:t>
      </w:r>
      <w:r w:rsidRPr="00374B2A">
        <w:rPr>
          <w:rFonts w:ascii="Calibri Light" w:hAnsi="Calibri Light" w:cs="Calibri Light"/>
          <w:noProof/>
          <w:szCs w:val="24"/>
        </w:rPr>
        <w:t>. 2018. doi:10.2174/1874471011666180418141357</w:t>
      </w:r>
    </w:p>
    <w:p w14:paraId="799AD0FF"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13. </w:t>
      </w:r>
      <w:r w:rsidRPr="00374B2A">
        <w:rPr>
          <w:rFonts w:ascii="Calibri Light" w:hAnsi="Calibri Light" w:cs="Calibri Light"/>
          <w:noProof/>
          <w:szCs w:val="24"/>
        </w:rPr>
        <w:tab/>
        <w:t xml:space="preserve">Robertson AKH, Ramogida CF, Schaffer P, Radchenko V. Development of 225 Ac Radiopharmaceuticals: TRIUMF Perspectives and Experiences. </w:t>
      </w:r>
      <w:r w:rsidRPr="00374B2A">
        <w:rPr>
          <w:rFonts w:ascii="Calibri Light" w:hAnsi="Calibri Light" w:cs="Calibri Light"/>
          <w:i/>
          <w:iCs/>
          <w:noProof/>
          <w:szCs w:val="24"/>
        </w:rPr>
        <w:t>Curr Radiopharm</w:t>
      </w:r>
      <w:r w:rsidRPr="00374B2A">
        <w:rPr>
          <w:rFonts w:ascii="Calibri Light" w:hAnsi="Calibri Light" w:cs="Calibri Light"/>
          <w:noProof/>
          <w:szCs w:val="24"/>
        </w:rPr>
        <w:t>. 2018. doi:10.2174/1874471011666180416161908</w:t>
      </w:r>
    </w:p>
    <w:p w14:paraId="4350BF0C"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14. </w:t>
      </w:r>
      <w:r w:rsidRPr="00374B2A">
        <w:rPr>
          <w:rFonts w:ascii="Calibri Light" w:hAnsi="Calibri Light" w:cs="Calibri Light"/>
          <w:noProof/>
          <w:szCs w:val="24"/>
        </w:rPr>
        <w:tab/>
        <w:t xml:space="preserve">McDevitt MR, Ma D, Lai L, et al. Tumor Therapy with Targeted Atomic Nanogenerators. </w:t>
      </w:r>
      <w:r w:rsidRPr="00374B2A">
        <w:rPr>
          <w:rFonts w:ascii="Calibri Light" w:hAnsi="Calibri Light" w:cs="Calibri Light"/>
          <w:i/>
          <w:iCs/>
          <w:noProof/>
          <w:szCs w:val="24"/>
        </w:rPr>
        <w:t>Science (80- )</w:t>
      </w:r>
      <w:r w:rsidRPr="00374B2A">
        <w:rPr>
          <w:rFonts w:ascii="Calibri Light" w:hAnsi="Calibri Light" w:cs="Calibri Light"/>
          <w:noProof/>
          <w:szCs w:val="24"/>
        </w:rPr>
        <w:t>. 2001;294(5546):1537-1540. doi:10.1126/science.1064126</w:t>
      </w:r>
    </w:p>
    <w:p w14:paraId="0BBE054E"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15. </w:t>
      </w:r>
      <w:r w:rsidRPr="00374B2A">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374B2A">
        <w:rPr>
          <w:rFonts w:ascii="Calibri Light" w:hAnsi="Calibri Light" w:cs="Calibri Light"/>
          <w:i/>
          <w:iCs/>
          <w:noProof/>
          <w:szCs w:val="24"/>
        </w:rPr>
        <w:t>EJNMMI Res</w:t>
      </w:r>
      <w:r w:rsidRPr="00374B2A">
        <w:rPr>
          <w:rFonts w:ascii="Calibri Light" w:hAnsi="Calibri Light" w:cs="Calibri Light"/>
          <w:noProof/>
          <w:szCs w:val="24"/>
        </w:rPr>
        <w:t>. 2017;7. doi:10.1186/s13550-017-0303-2</w:t>
      </w:r>
    </w:p>
    <w:p w14:paraId="13DE41ED"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16. </w:t>
      </w:r>
      <w:r w:rsidRPr="00374B2A">
        <w:rPr>
          <w:rFonts w:ascii="Calibri Light" w:hAnsi="Calibri Light" w:cs="Calibri Light"/>
          <w:noProof/>
          <w:szCs w:val="24"/>
        </w:rPr>
        <w:tab/>
        <w:t xml:space="preserve">Vegt E, de Jong M, Wetzels JFM, et al. Renal Toxicity of Radiolabeled Peptides and Antibody Fragments: Mechanisms, Impact on Radionuclide Therapy, and Strategies for Prevention. </w:t>
      </w:r>
      <w:r w:rsidRPr="00374B2A">
        <w:rPr>
          <w:rFonts w:ascii="Calibri Light" w:hAnsi="Calibri Light" w:cs="Calibri Light"/>
          <w:i/>
          <w:iCs/>
          <w:noProof/>
          <w:szCs w:val="24"/>
        </w:rPr>
        <w:t>J Nucl Med</w:t>
      </w:r>
      <w:r w:rsidRPr="00374B2A">
        <w:rPr>
          <w:rFonts w:ascii="Calibri Light" w:hAnsi="Calibri Light" w:cs="Calibri Light"/>
          <w:noProof/>
          <w:szCs w:val="24"/>
        </w:rPr>
        <w:t>. 2010. doi:10.2967/jnumed.110.075101</w:t>
      </w:r>
    </w:p>
    <w:p w14:paraId="5093EA9A"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17. </w:t>
      </w:r>
      <w:r w:rsidRPr="00374B2A">
        <w:rPr>
          <w:rFonts w:ascii="Calibri Light" w:hAnsi="Calibri Light" w:cs="Calibri Light"/>
          <w:noProof/>
          <w:szCs w:val="24"/>
        </w:rPr>
        <w:tab/>
        <w:t xml:space="preserve">Podoll AS, Amsbaugh MJ. Radiation-associated Kidney Injury. In: </w:t>
      </w:r>
      <w:r w:rsidRPr="00374B2A">
        <w:rPr>
          <w:rFonts w:ascii="Calibri Light" w:hAnsi="Calibri Light" w:cs="Calibri Light"/>
          <w:i/>
          <w:iCs/>
          <w:noProof/>
          <w:szCs w:val="24"/>
        </w:rPr>
        <w:t>Renal Disease in Cancer Patients</w:t>
      </w:r>
      <w:r w:rsidRPr="00374B2A">
        <w:rPr>
          <w:rFonts w:ascii="Calibri Light" w:hAnsi="Calibri Light" w:cs="Calibri Light"/>
          <w:noProof/>
          <w:szCs w:val="24"/>
        </w:rPr>
        <w:t>. ; 2013. doi:10.1016/B978-0-12-415948-8.00007-6</w:t>
      </w:r>
    </w:p>
    <w:p w14:paraId="559BF70D"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lastRenderedPageBreak/>
        <w:t xml:space="preserve">18. </w:t>
      </w:r>
      <w:r w:rsidRPr="00374B2A">
        <w:rPr>
          <w:rFonts w:ascii="Calibri Light" w:hAnsi="Calibri Light" w:cs="Calibri Light"/>
          <w:noProof/>
          <w:szCs w:val="24"/>
        </w:rPr>
        <w:tab/>
        <w:t xml:space="preserve">A. Scheinberg D, R. McDevitt M. Actinium-225 in Targeted Alpha-Particle Therapeutic Applications. </w:t>
      </w:r>
      <w:r w:rsidRPr="00374B2A">
        <w:rPr>
          <w:rFonts w:ascii="Calibri Light" w:hAnsi="Calibri Light" w:cs="Calibri Light"/>
          <w:i/>
          <w:iCs/>
          <w:noProof/>
          <w:szCs w:val="24"/>
        </w:rPr>
        <w:t>Curr Radiopharm</w:t>
      </w:r>
      <w:r w:rsidRPr="00374B2A">
        <w:rPr>
          <w:rFonts w:ascii="Calibri Light" w:hAnsi="Calibri Light" w:cs="Calibri Light"/>
          <w:noProof/>
          <w:szCs w:val="24"/>
        </w:rPr>
        <w:t>. 2012. doi:10.2174/1874471011104040306</w:t>
      </w:r>
    </w:p>
    <w:p w14:paraId="5B619725"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19. </w:t>
      </w:r>
      <w:r w:rsidRPr="00374B2A">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374B2A">
        <w:rPr>
          <w:rFonts w:ascii="Calibri Light" w:hAnsi="Calibri Light" w:cs="Calibri Light"/>
          <w:i/>
          <w:iCs/>
          <w:noProof/>
          <w:szCs w:val="24"/>
        </w:rPr>
        <w:t>Ann ICRP</w:t>
      </w:r>
      <w:r w:rsidRPr="00374B2A">
        <w:rPr>
          <w:rFonts w:ascii="Calibri Light" w:hAnsi="Calibri Light" w:cs="Calibri Light"/>
          <w:noProof/>
          <w:szCs w:val="24"/>
        </w:rPr>
        <w:t>. 2012;41(1-2):1-322. doi:10.1016/j.icrp.2012.02.001</w:t>
      </w:r>
    </w:p>
    <w:p w14:paraId="49F05616"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20. </w:t>
      </w:r>
      <w:r w:rsidRPr="00374B2A">
        <w:rPr>
          <w:rFonts w:ascii="Calibri Light" w:hAnsi="Calibri Light" w:cs="Calibri Light"/>
          <w:noProof/>
          <w:szCs w:val="24"/>
        </w:rPr>
        <w:tab/>
        <w:t xml:space="preserve">Kratochwil C, Schmidt K, Afshar-Oromieh A, et al. Targeted alpha therapy of mCRPC: Dosimetry estimate of 213Bismuth-PSMA-617. </w:t>
      </w:r>
      <w:r w:rsidRPr="00374B2A">
        <w:rPr>
          <w:rFonts w:ascii="Calibri Light" w:hAnsi="Calibri Light" w:cs="Calibri Light"/>
          <w:i/>
          <w:iCs/>
          <w:noProof/>
          <w:szCs w:val="24"/>
        </w:rPr>
        <w:t>Eur J Nucl Med Mol Imaging</w:t>
      </w:r>
      <w:r w:rsidRPr="00374B2A">
        <w:rPr>
          <w:rFonts w:ascii="Calibri Light" w:hAnsi="Calibri Light" w:cs="Calibri Light"/>
          <w:noProof/>
          <w:szCs w:val="24"/>
        </w:rPr>
        <w:t>. 2018;45(1):31-37. doi:10.1007/s00259-017-3817-y</w:t>
      </w:r>
    </w:p>
    <w:p w14:paraId="24235632"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21. </w:t>
      </w:r>
      <w:r w:rsidRPr="00374B2A">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374B2A">
        <w:rPr>
          <w:rFonts w:ascii="Calibri Light" w:hAnsi="Calibri Light" w:cs="Calibri Light"/>
          <w:i/>
          <w:iCs/>
          <w:noProof/>
          <w:szCs w:val="24"/>
        </w:rPr>
        <w:t>Int J Radiat Oncol Biol Phys</w:t>
      </w:r>
      <w:r w:rsidRPr="00374B2A">
        <w:rPr>
          <w:rFonts w:ascii="Calibri Light" w:hAnsi="Calibri Light" w:cs="Calibri Light"/>
          <w:noProof/>
          <w:szCs w:val="24"/>
        </w:rPr>
        <w:t>. 2006;64(5):1503-1512. doi:10.1016/j.ijrobp.2005.11.036</w:t>
      </w:r>
    </w:p>
    <w:p w14:paraId="7AAE8B96"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22. </w:t>
      </w:r>
      <w:r w:rsidRPr="00374B2A">
        <w:rPr>
          <w:rFonts w:ascii="Calibri Light" w:hAnsi="Calibri Light" w:cs="Calibri Light"/>
          <w:noProof/>
          <w:szCs w:val="24"/>
        </w:rPr>
        <w:tab/>
        <w:t xml:space="preserve">Sharma SK, Chow A, Monette S, et al. Fc-mediated anomalous biodistribution of therapeutic antibodies in immunodeficient mouse models. </w:t>
      </w:r>
      <w:r w:rsidRPr="00374B2A">
        <w:rPr>
          <w:rFonts w:ascii="Calibri Light" w:hAnsi="Calibri Light" w:cs="Calibri Light"/>
          <w:i/>
          <w:iCs/>
          <w:noProof/>
          <w:szCs w:val="24"/>
        </w:rPr>
        <w:t>Cancer Res</w:t>
      </w:r>
      <w:r w:rsidRPr="00374B2A">
        <w:rPr>
          <w:rFonts w:ascii="Calibri Light" w:hAnsi="Calibri Light" w:cs="Calibri Light"/>
          <w:noProof/>
          <w:szCs w:val="24"/>
        </w:rPr>
        <w:t>. 2018;78(7):1820-1832. doi:10.1158/0008-5472.CAN-17-1958</w:t>
      </w:r>
    </w:p>
    <w:p w14:paraId="152DE804"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23. </w:t>
      </w:r>
      <w:r w:rsidRPr="00374B2A">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374B2A">
        <w:rPr>
          <w:rFonts w:ascii="Calibri Light" w:hAnsi="Calibri Light" w:cs="Calibri Light"/>
          <w:i/>
          <w:iCs/>
          <w:noProof/>
          <w:szCs w:val="24"/>
        </w:rPr>
        <w:t>Sci Rep</w:t>
      </w:r>
      <w:r w:rsidRPr="00374B2A">
        <w:rPr>
          <w:rFonts w:ascii="Calibri Light" w:hAnsi="Calibri Light" w:cs="Calibri Light"/>
          <w:noProof/>
          <w:szCs w:val="24"/>
        </w:rPr>
        <w:t>. 2018;8(1):2-10. doi:10.1038/s41598-018-22511-6</w:t>
      </w:r>
    </w:p>
    <w:p w14:paraId="1D2A91EF"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24. </w:t>
      </w:r>
      <w:r w:rsidRPr="00374B2A">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374B2A">
        <w:rPr>
          <w:rFonts w:ascii="Calibri Light" w:hAnsi="Calibri Light" w:cs="Calibri Light"/>
          <w:i/>
          <w:iCs/>
          <w:noProof/>
          <w:szCs w:val="24"/>
        </w:rPr>
        <w:t>Dose-Response</w:t>
      </w:r>
      <w:r w:rsidRPr="00374B2A">
        <w:rPr>
          <w:rFonts w:ascii="Calibri Light" w:hAnsi="Calibri Light" w:cs="Calibri Light"/>
          <w:noProof/>
          <w:szCs w:val="24"/>
        </w:rPr>
        <w:t>. 2012. doi:10.2203/dose-response.12-014.Feinendegen</w:t>
      </w:r>
    </w:p>
    <w:p w14:paraId="052D454F"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25. </w:t>
      </w:r>
      <w:r w:rsidRPr="00374B2A">
        <w:rPr>
          <w:rFonts w:ascii="Calibri Light" w:hAnsi="Calibri Light" w:cs="Calibri Light"/>
          <w:noProof/>
          <w:szCs w:val="24"/>
        </w:rPr>
        <w:tab/>
        <w:t xml:space="preserve">Higley K, Real A, Chambers D. Annals of the ICRP Annals of the ICRP. </w:t>
      </w:r>
      <w:r w:rsidRPr="00374B2A">
        <w:rPr>
          <w:rFonts w:ascii="Calibri Light" w:hAnsi="Calibri Light" w:cs="Calibri Light"/>
          <w:i/>
          <w:iCs/>
          <w:noProof/>
          <w:szCs w:val="24"/>
        </w:rPr>
        <w:t>Ann ICRP</w:t>
      </w:r>
      <w:r w:rsidRPr="00374B2A">
        <w:rPr>
          <w:rFonts w:ascii="Calibri Light" w:hAnsi="Calibri Light" w:cs="Calibri Light"/>
          <w:noProof/>
          <w:szCs w:val="24"/>
        </w:rPr>
        <w:t>. 2018;ICRP ref:</w:t>
      </w:r>
    </w:p>
    <w:p w14:paraId="34C8A61E"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lastRenderedPageBreak/>
        <w:t xml:space="preserve">26. </w:t>
      </w:r>
      <w:r w:rsidRPr="00374B2A">
        <w:rPr>
          <w:rFonts w:ascii="Calibri Light" w:hAnsi="Calibri Light" w:cs="Calibri Light"/>
          <w:noProof/>
          <w:szCs w:val="24"/>
        </w:rPr>
        <w:tab/>
        <w:t xml:space="preserve">Jaggi JS, Kappel BJ, McDevitt MR, et al. Efforts to control the errant products of a targeted in vivo generator. </w:t>
      </w:r>
      <w:r w:rsidRPr="00374B2A">
        <w:rPr>
          <w:rFonts w:ascii="Calibri Light" w:hAnsi="Calibri Light" w:cs="Calibri Light"/>
          <w:i/>
          <w:iCs/>
          <w:noProof/>
          <w:szCs w:val="24"/>
        </w:rPr>
        <w:t>Cancer Res</w:t>
      </w:r>
      <w:r w:rsidRPr="00374B2A">
        <w:rPr>
          <w:rFonts w:ascii="Calibri Light" w:hAnsi="Calibri Light" w:cs="Calibri Light"/>
          <w:noProof/>
          <w:szCs w:val="24"/>
        </w:rPr>
        <w:t>. 2005;65(11):4888-4895. doi:10.1158/0008-5472.CAN-04-3096</w:t>
      </w:r>
    </w:p>
    <w:p w14:paraId="10998C24"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27. </w:t>
      </w:r>
      <w:r w:rsidRPr="00374B2A">
        <w:rPr>
          <w:rFonts w:ascii="Calibri Light" w:hAnsi="Calibri Light" w:cs="Calibri Light"/>
          <w:noProof/>
          <w:szCs w:val="24"/>
        </w:rPr>
        <w:tab/>
        <w:t xml:space="preserve">Keenan SW, DeBruyn JM. Changes to vertebrate tissue stable isotope (δ15N) composition during decomposition. </w:t>
      </w:r>
      <w:r w:rsidRPr="00374B2A">
        <w:rPr>
          <w:rFonts w:ascii="Calibri Light" w:hAnsi="Calibri Light" w:cs="Calibri Light"/>
          <w:i/>
          <w:iCs/>
          <w:noProof/>
          <w:szCs w:val="24"/>
        </w:rPr>
        <w:t>Sci Rep</w:t>
      </w:r>
      <w:r w:rsidRPr="00374B2A">
        <w:rPr>
          <w:rFonts w:ascii="Calibri Light" w:hAnsi="Calibri Light" w:cs="Calibri Light"/>
          <w:noProof/>
          <w:szCs w:val="24"/>
        </w:rPr>
        <w:t>. 2019;9(1):9929. doi:10.1038/s41598-019-46368-5</w:t>
      </w:r>
    </w:p>
    <w:p w14:paraId="6DA2003D"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28. </w:t>
      </w:r>
      <w:r w:rsidRPr="00374B2A">
        <w:rPr>
          <w:rFonts w:ascii="Calibri Light" w:hAnsi="Calibri Light" w:cs="Calibri Light"/>
          <w:noProof/>
          <w:szCs w:val="24"/>
        </w:rPr>
        <w:tab/>
        <w:t xml:space="preserve">Moynier F, Fujii T. Calcium isotope fractionation between aqueous compounds relevant to low-temperature geochemistry, biology and medicine. </w:t>
      </w:r>
      <w:r w:rsidRPr="00374B2A">
        <w:rPr>
          <w:rFonts w:ascii="Calibri Light" w:hAnsi="Calibri Light" w:cs="Calibri Light"/>
          <w:i/>
          <w:iCs/>
          <w:noProof/>
          <w:szCs w:val="24"/>
        </w:rPr>
        <w:t>Sci Rep</w:t>
      </w:r>
      <w:r w:rsidRPr="00374B2A">
        <w:rPr>
          <w:rFonts w:ascii="Calibri Light" w:hAnsi="Calibri Light" w:cs="Calibri Light"/>
          <w:noProof/>
          <w:szCs w:val="24"/>
        </w:rPr>
        <w:t>. 2017. doi:10.1038/srep44255</w:t>
      </w:r>
    </w:p>
    <w:p w14:paraId="7AF02914"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szCs w:val="24"/>
        </w:rPr>
      </w:pPr>
      <w:r w:rsidRPr="00374B2A">
        <w:rPr>
          <w:rFonts w:ascii="Calibri Light" w:hAnsi="Calibri Light" w:cs="Calibri Light"/>
          <w:noProof/>
          <w:szCs w:val="24"/>
        </w:rPr>
        <w:t xml:space="preserve">29. </w:t>
      </w:r>
      <w:r w:rsidRPr="00374B2A">
        <w:rPr>
          <w:rFonts w:ascii="Calibri Light" w:hAnsi="Calibri Light" w:cs="Calibri Light"/>
          <w:noProof/>
          <w:szCs w:val="24"/>
        </w:rPr>
        <w:tab/>
        <w:t xml:space="preserve">Moynier F, Fujii T. Theoretical isotopic fractionation of magnesium between chlorophylls. </w:t>
      </w:r>
      <w:r w:rsidRPr="00374B2A">
        <w:rPr>
          <w:rFonts w:ascii="Calibri Light" w:hAnsi="Calibri Light" w:cs="Calibri Light"/>
          <w:i/>
          <w:iCs/>
          <w:noProof/>
          <w:szCs w:val="24"/>
        </w:rPr>
        <w:t>Sci Rep</w:t>
      </w:r>
      <w:r w:rsidRPr="00374B2A">
        <w:rPr>
          <w:rFonts w:ascii="Calibri Light" w:hAnsi="Calibri Light" w:cs="Calibri Light"/>
          <w:noProof/>
          <w:szCs w:val="24"/>
        </w:rPr>
        <w:t>. 2017;7(1):1-6. doi:10.1038/s41598-017-07305-6</w:t>
      </w:r>
    </w:p>
    <w:p w14:paraId="6A64ED75" w14:textId="77777777" w:rsidR="00374B2A" w:rsidRPr="00374B2A" w:rsidRDefault="00374B2A" w:rsidP="00374B2A">
      <w:pPr>
        <w:widowControl w:val="0"/>
        <w:autoSpaceDE w:val="0"/>
        <w:autoSpaceDN w:val="0"/>
        <w:adjustRightInd w:val="0"/>
        <w:spacing w:line="480" w:lineRule="auto"/>
        <w:ind w:left="640" w:hanging="640"/>
        <w:rPr>
          <w:rFonts w:ascii="Calibri Light" w:hAnsi="Calibri Light" w:cs="Calibri Light"/>
          <w:noProof/>
        </w:rPr>
      </w:pPr>
      <w:r w:rsidRPr="00374B2A">
        <w:rPr>
          <w:rFonts w:ascii="Calibri Light" w:hAnsi="Calibri Light" w:cs="Calibri Light"/>
          <w:noProof/>
          <w:szCs w:val="24"/>
        </w:rPr>
        <w:t xml:space="preserve">30. </w:t>
      </w:r>
      <w:r w:rsidRPr="00374B2A">
        <w:rPr>
          <w:rFonts w:ascii="Calibri Light" w:hAnsi="Calibri Light" w:cs="Calibri Light"/>
          <w:noProof/>
          <w:szCs w:val="24"/>
        </w:rPr>
        <w:tab/>
        <w:t xml:space="preserve">Louvat P, Busigny V, Guyot F, et al. Mass-dependent and -independent signature of Fe isotopes in magnetotactic bacteria. </w:t>
      </w:r>
      <w:r w:rsidRPr="00374B2A">
        <w:rPr>
          <w:rFonts w:ascii="Calibri Light" w:hAnsi="Calibri Light" w:cs="Calibri Light"/>
          <w:i/>
          <w:iCs/>
          <w:noProof/>
          <w:szCs w:val="24"/>
        </w:rPr>
        <w:t>Science (80- )</w:t>
      </w:r>
      <w:r w:rsidRPr="00374B2A">
        <w:rPr>
          <w:rFonts w:ascii="Calibri Light" w:hAnsi="Calibri Light" w:cs="Calibri Light"/>
          <w:noProof/>
          <w:szCs w:val="24"/>
        </w:rPr>
        <w:t>. 2016;352(6286):705-708. doi:10.1126/science.aad7632</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B871F3">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42.85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595F57A4" w14:textId="2CD394B1" w:rsidR="00E87AE7" w:rsidRPr="00C06710" w:rsidRDefault="009D1E4D" w:rsidP="002F22B1">
      <w:pPr>
        <w:spacing w:line="480" w:lineRule="auto"/>
        <w:jc w:val="center"/>
        <w:rPr>
          <w:rFonts w:asciiTheme="majorHAnsi" w:hAnsiTheme="majorHAnsi" w:cstheme="majorHAnsi"/>
        </w:rPr>
      </w:pPr>
      <w:r>
        <w:rPr>
          <w:rFonts w:asciiTheme="majorHAnsi" w:hAnsiTheme="majorHAnsi" w:cstheme="majorHAnsi"/>
          <w:noProof/>
        </w:rPr>
        <w:pict w14:anchorId="359ED058">
          <v:shape id="_x0000_i1039" type="#_x0000_t75" style="width:303.05pt;height:410.5pt">
            <v:imagedata r:id="rId11" o:title="Figure1"/>
          </v:shape>
        </w:pict>
      </w:r>
    </w:p>
    <w:p w14:paraId="39B21BE6" w14:textId="24A2F2E9"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0F7A45" w:rsidRPr="00F22CC2">
        <w:rPr>
          <w:rFonts w:asciiTheme="majorHAnsi" w:hAnsiTheme="majorHAnsi" w:cstheme="majorHAnsi"/>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F22CC2">
        <w:rPr>
          <w:rFonts w:asciiTheme="majorHAnsi" w:hAnsiTheme="majorHAnsi" w:cstheme="majorHAnsi"/>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F22CC2">
        <w:rPr>
          <w:rFonts w:asciiTheme="majorHAnsi" w:hAnsiTheme="majorHAnsi" w:cstheme="majorHAnsi"/>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sidRPr="00F22CC2">
        <w:rPr>
          <w:rFonts w:asciiTheme="majorHAnsi" w:hAnsiTheme="majorHAnsi" w:cstheme="majorHAnsi"/>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27052141"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F22CC2">
        <w:rPr>
          <w:rFonts w:asciiTheme="majorHAnsi" w:hAnsiTheme="majorHAnsi" w:cstheme="majorHAnsi"/>
        </w:rPr>
        <w:t xml:space="preserve"> of</w:t>
      </w:r>
      <w:r w:rsidR="000F7A45">
        <w:rPr>
          <w:rFonts w:asciiTheme="majorHAnsi" w:hAnsiTheme="majorHAnsi" w:cstheme="majorHAnsi"/>
        </w:rPr>
        <w:t xml:space="preserve"> A/B</w:t>
      </w:r>
      <w:r w:rsidR="00F22CC2">
        <w:rPr>
          <w:rFonts w:asciiTheme="majorHAnsi" w:hAnsiTheme="majorHAnsi" w:cstheme="majorHAnsi"/>
        </w:rPr>
        <w:t>)</w:t>
      </w:r>
      <w:r w:rsidR="000F7A45">
        <w:rPr>
          <w:rFonts w:asciiTheme="majorHAnsi" w:hAnsiTheme="majorHAnsi" w:cstheme="majorHAnsi"/>
        </w:rPr>
        <w:t xml:space="preserve"> </w:t>
      </w:r>
      <w:r w:rsidR="00F22CC2">
        <w:rPr>
          <w:rFonts w:asciiTheme="majorHAnsi" w:hAnsiTheme="majorHAnsi" w:cstheme="majorHAnsi"/>
        </w:rPr>
        <w:t>A</w:t>
      </w:r>
      <w:r w:rsidR="000F7A45">
        <w:rPr>
          <w:rFonts w:asciiTheme="majorHAnsi" w:hAnsiTheme="majorHAnsi" w:cstheme="majorHAnsi"/>
        </w:rPr>
        <w:t>c-225 and B/C</w:t>
      </w:r>
      <w:r w:rsidR="00F22CC2">
        <w:rPr>
          <w:rFonts w:asciiTheme="majorHAnsi" w:hAnsiTheme="majorHAnsi" w:cstheme="majorHAnsi"/>
        </w:rPr>
        <w:t>)</w:t>
      </w:r>
      <w:r w:rsidR="000F7A45">
        <w:rPr>
          <w:rFonts w:asciiTheme="majorHAnsi" w:hAnsiTheme="majorHAnsi" w:cstheme="majorHAnsi"/>
        </w:rPr>
        <w:t xml:space="preserve"> Ac-227 %RD/g.</w:t>
      </w:r>
      <w:r w:rsidR="00F22CC2">
        <w:rPr>
          <w:rFonts w:asciiTheme="majorHAnsi" w:hAnsiTheme="majorHAnsi" w:cstheme="majorHAnsi"/>
        </w:rPr>
        <w:t xml:space="preserve"> </w:t>
      </w:r>
      <w:r w:rsidR="00F22CC2">
        <w:rPr>
          <w:rFonts w:asciiTheme="majorHAnsi" w:hAnsiTheme="majorHAnsi" w:cstheme="majorHAnsi"/>
          <w:sz w:val="24"/>
        </w:rPr>
        <w:t>Mean ± SD, n=5.</w:t>
      </w:r>
      <w:r w:rsidR="00DE5EED">
        <w:rPr>
          <w:rFonts w:asciiTheme="majorHAnsi" w:hAnsiTheme="majorHAnsi" w:cstheme="majorHAnsi"/>
        </w:rPr>
        <w:br w:type="page"/>
      </w:r>
    </w:p>
    <w:p w14:paraId="5AED7269" w14:textId="4C3C4D50" w:rsidR="00DE5EED" w:rsidRDefault="00B871F3" w:rsidP="00A44F90">
      <w:pPr>
        <w:spacing w:line="480" w:lineRule="auto"/>
        <w:rPr>
          <w:rFonts w:asciiTheme="majorHAnsi" w:hAnsiTheme="majorHAnsi" w:cstheme="majorHAnsi"/>
          <w:b/>
        </w:rPr>
      </w:pPr>
      <w:r>
        <w:rPr>
          <w:rFonts w:asciiTheme="majorHAnsi" w:hAnsiTheme="majorHAnsi" w:cstheme="majorHAnsi"/>
          <w:b/>
          <w:noProof/>
        </w:rPr>
        <w:lastRenderedPageBreak/>
        <w:pict w14:anchorId="13D0FE32">
          <v:shape id="_x0000_i1026" type="#_x0000_t75" style="width:466.95pt;height:134.35pt">
            <v:imagedata r:id="rId13" o:title="localizationRatioNew"/>
          </v:shape>
        </w:pict>
      </w:r>
    </w:p>
    <w:p w14:paraId="624B0288" w14:textId="37B81122"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F22CC2">
        <w:rPr>
          <w:rFonts w:asciiTheme="majorHAnsi" w:hAnsiTheme="majorHAnsi" w:cstheme="majorHAnsi"/>
        </w:rPr>
        <w:t xml:space="preserve"> for A) DOTA-Ac, and B) Trastuzumab-DOTA-Ac</w:t>
      </w:r>
      <w:r>
        <w:rPr>
          <w:rFonts w:asciiTheme="majorHAnsi" w:hAnsiTheme="majorHAnsi" w:cstheme="majorHAnsi"/>
        </w:rPr>
        <w:t>.</w:t>
      </w:r>
      <w:r w:rsidR="00F22CC2">
        <w:rPr>
          <w:rFonts w:asciiTheme="majorHAnsi" w:hAnsiTheme="majorHAnsi" w:cstheme="majorHAnsi"/>
        </w:rPr>
        <w:t xml:space="preserve"> Mean ± SD, n=5.</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0.05</w:t>
      </w:r>
      <w:r w:rsidR="00A44F90">
        <w:rPr>
          <w:rFonts w:asciiTheme="majorHAnsi" w:hAnsiTheme="majorHAnsi" w:cstheme="majorHAnsi"/>
        </w:rPr>
        <w:t xml:space="preserve"> with Bonferroni correction</w:t>
      </w:r>
      <w:r w:rsidR="0042324E">
        <w:rPr>
          <w:rFonts w:asciiTheme="majorHAnsi" w:hAnsiTheme="majorHAnsi" w:cstheme="majorHAnsi"/>
        </w:rPr>
        <w:t xml:space="preserve">.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190099A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 xml:space="preserve">ose </w:t>
      </w:r>
      <w:r w:rsidR="004F4292">
        <w:rPr>
          <w:rFonts w:asciiTheme="majorHAnsi" w:hAnsiTheme="majorHAnsi" w:cstheme="majorHAnsi"/>
        </w:rPr>
        <w:t>extrapolation</w:t>
      </w:r>
      <w:r w:rsidR="00F22CC2">
        <w:rPr>
          <w:rFonts w:asciiTheme="majorHAnsi" w:hAnsiTheme="majorHAnsi" w:cstheme="majorHAnsi"/>
        </w:rPr>
        <w:t xml:space="preserve"> modeling</w:t>
      </w:r>
      <w:r w:rsidR="004F4292">
        <w:rPr>
          <w:rFonts w:asciiTheme="majorHAnsi" w:hAnsiTheme="majorHAnsi" w:cstheme="majorHAnsi"/>
        </w:rPr>
        <w:t xml:space="preserve"> </w:t>
      </w:r>
      <w:r w:rsidR="00435035">
        <w:rPr>
          <w:rFonts w:asciiTheme="majorHAnsi" w:hAnsiTheme="majorHAnsi" w:cstheme="majorHAnsi"/>
        </w:rPr>
        <w:t>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F22CC2">
        <w:rPr>
          <w:rFonts w:asciiTheme="majorHAnsi" w:hAnsiTheme="majorHAnsi" w:cstheme="majorHAnsi"/>
        </w:rPr>
        <w:t xml:space="preserve"> for</w:t>
      </w:r>
      <w:r w:rsidR="004F4292">
        <w:rPr>
          <w:rFonts w:asciiTheme="majorHAnsi" w:hAnsiTheme="majorHAnsi" w:cstheme="majorHAnsi"/>
        </w:rPr>
        <w:t xml:space="preserve"> A/B/C</w:t>
      </w:r>
      <w:r w:rsidR="00F22CC2">
        <w:rPr>
          <w:rFonts w:asciiTheme="majorHAnsi" w:hAnsiTheme="majorHAnsi" w:cstheme="majorHAnsi"/>
        </w:rPr>
        <w:t>)</w:t>
      </w:r>
      <w:r w:rsidR="004F4292">
        <w:rPr>
          <w:rFonts w:asciiTheme="majorHAnsi" w:hAnsiTheme="majorHAnsi" w:cstheme="majorHAnsi"/>
        </w:rPr>
        <w:t xml:space="preserve"> </w:t>
      </w:r>
      <w:r w:rsidR="00F22CC2">
        <w:rPr>
          <w:rFonts w:asciiTheme="majorHAnsi" w:hAnsiTheme="majorHAnsi" w:cstheme="majorHAnsi"/>
        </w:rPr>
        <w:t>DOTA-Ac and</w:t>
      </w:r>
      <w:r w:rsidR="004F4292">
        <w:rPr>
          <w:rFonts w:asciiTheme="majorHAnsi" w:hAnsiTheme="majorHAnsi" w:cstheme="majorHAnsi"/>
        </w:rPr>
        <w:t xml:space="preserve"> D/E/F</w:t>
      </w:r>
      <w:r w:rsidR="00F22CC2">
        <w:rPr>
          <w:rFonts w:asciiTheme="majorHAnsi" w:hAnsiTheme="majorHAnsi" w:cstheme="majorHAnsi"/>
        </w:rPr>
        <w:t>)</w:t>
      </w:r>
      <w:r w:rsidR="004F4292">
        <w:rPr>
          <w:rFonts w:asciiTheme="majorHAnsi" w:hAnsiTheme="majorHAnsi" w:cstheme="majorHAnsi"/>
        </w:rPr>
        <w:t xml:space="preserve"> Trastuzumab-DOTA-Ac.</w:t>
      </w:r>
      <w:r w:rsidR="00F22CC2">
        <w:rPr>
          <w:rFonts w:asciiTheme="majorHAnsi" w:hAnsiTheme="majorHAnsi" w:cstheme="majorHAnsi"/>
        </w:rPr>
        <w:t xml:space="preserve"> Solid lines are a mean from n=5, and shading indicates standard deviation.</w:t>
      </w:r>
    </w:p>
    <w:p w14:paraId="75EE2DE1" w14:textId="77777777" w:rsidR="00E87AE7" w:rsidRPr="00C06710" w:rsidRDefault="0073529E" w:rsidP="002F22B1">
      <w:pPr>
        <w:spacing w:line="48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6F8AA8E8"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4F4292">
        <w:rPr>
          <w:rFonts w:asciiTheme="majorHAnsi" w:hAnsiTheme="majorHAnsi" w:cstheme="majorHAnsi"/>
        </w:rPr>
        <w:t xml:space="preserve">se per day extrapolation modeling </w:t>
      </w:r>
      <w:r w:rsidR="00936059">
        <w:rPr>
          <w:rFonts w:asciiTheme="majorHAnsi" w:hAnsiTheme="majorHAnsi" w:cstheme="majorHAnsi"/>
        </w:rPr>
        <w:t>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4F4292">
        <w:rPr>
          <w:rFonts w:asciiTheme="majorHAnsi" w:hAnsiTheme="majorHAnsi" w:cstheme="majorHAnsi"/>
        </w:rPr>
        <w:t xml:space="preserve"> A/B are DOTA-Ac, C/D are Trastuzumab-DOTA-Ac.</w:t>
      </w:r>
      <w:r w:rsidR="00F22CC2">
        <w:rPr>
          <w:rFonts w:asciiTheme="majorHAnsi" w:hAnsiTheme="majorHAnsi" w:cstheme="majorHAnsi"/>
        </w:rPr>
        <w:t xml:space="preserve"> Solid lines are a mean from n=5, and shading indicates standard deviation.</w:t>
      </w:r>
      <w:r w:rsidR="00E87AE7" w:rsidRPr="00C06710">
        <w:rPr>
          <w:rFonts w:asciiTheme="majorHAnsi" w:hAnsiTheme="majorHAnsi" w:cstheme="majorHAnsi"/>
          <w:b/>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3A047DA6" w14:textId="09CFB178" w:rsidR="00677A09" w:rsidRDefault="00C06710" w:rsidP="00BD4A53">
      <w:pPr>
        <w:spacing w:line="480" w:lineRule="auto"/>
        <w:jc w:val="both"/>
        <w:rPr>
          <w:rFonts w:asciiTheme="majorHAnsi" w:hAnsiTheme="majorHAnsi" w:cstheme="majorHAnsi"/>
        </w:rPr>
      </w:pPr>
      <w:r>
        <w:rPr>
          <w:rFonts w:asciiTheme="majorHAnsi" w:hAnsiTheme="majorHAnsi" w:cstheme="majorHAnsi"/>
        </w:rPr>
        <w:t>The authors have no disclosures.</w:t>
      </w:r>
    </w:p>
    <w:p w14:paraId="7FD81132" w14:textId="77777777" w:rsidR="00BD4A53" w:rsidRPr="00C06710" w:rsidRDefault="00BD4A53" w:rsidP="00BD4A53">
      <w:pPr>
        <w:spacing w:line="480" w:lineRule="auto"/>
        <w:jc w:val="both"/>
        <w:rPr>
          <w:rFonts w:asciiTheme="majorHAnsi" w:hAnsiTheme="majorHAnsi" w:cstheme="majorHAnsi"/>
          <w:b/>
        </w:rPr>
      </w:pP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ACKNOWLEDGEMENTS</w:t>
      </w:r>
    </w:p>
    <w:p w14:paraId="33ECC033" w14:textId="47A2F5A1" w:rsidR="009B5463" w:rsidRDefault="001707AE" w:rsidP="00504374">
      <w:pPr>
        <w:spacing w:line="480" w:lineRule="auto"/>
        <w:jc w:val="both"/>
        <w:rPr>
          <w:rFonts w:asciiTheme="majorHAnsi" w:hAnsiTheme="majorHAnsi" w:cstheme="majorHAnsi"/>
        </w:rPr>
      </w:pPr>
      <w:r w:rsidRPr="00BD4A53">
        <w:rPr>
          <w:rFonts w:asciiTheme="majorHAnsi" w:hAnsiTheme="majorHAnsi" w:cstheme="majorHAnsi"/>
          <w:highlight w:val="yellow"/>
        </w:rPr>
        <w:t xml:space="preserve">This work was supported by </w:t>
      </w:r>
      <w:r w:rsidR="00BD4A53" w:rsidRPr="00BD4A53">
        <w:rPr>
          <w:rFonts w:asciiTheme="majorHAnsi" w:hAnsiTheme="majorHAnsi" w:cstheme="majorHAnsi"/>
          <w:highlight w:val="yellow"/>
        </w:rPr>
        <w:t>xxxxxxxxxxxxxxxxxxxxxxxxxxxxxxxxxxxxxxxx</w:t>
      </w:r>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2F22B1">
      <w:pPr>
        <w:spacing w:line="480" w:lineRule="auto"/>
        <w:jc w:val="center"/>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2F22B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56550C81"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F22CC2">
        <w:rPr>
          <w:rFonts w:asciiTheme="majorHAnsi" w:hAnsiTheme="majorHAnsi" w:cstheme="majorHAnsi"/>
        </w:rPr>
        <w:t>Figure 2.</w:t>
      </w:r>
      <w:r w:rsidR="00F22CC2">
        <w:rPr>
          <w:rFonts w:asciiTheme="majorHAnsi" w:hAnsiTheme="majorHAnsi" w:cstheme="majorHAnsi"/>
        </w:rPr>
        <w:t xml:space="preserve"> </w:t>
      </w:r>
      <w:r w:rsidR="00F22CC2">
        <w:rPr>
          <w:rFonts w:asciiTheme="majorHAnsi" w:hAnsiTheme="majorHAnsi" w:cstheme="majorHAnsi"/>
          <w:sz w:val="24"/>
        </w:rPr>
        <w:t>Mean ± SD, n=5.</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2F22B1">
      <w:pPr>
        <w:spacing w:after="0" w:line="480" w:lineRule="auto"/>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17CD9173"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sidRPr="00F22CC2">
        <w:rPr>
          <w:rFonts w:asciiTheme="majorHAnsi" w:hAnsiTheme="majorHAnsi" w:cstheme="majorHAnsi"/>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r w:rsidR="00F22CC2">
        <w:rPr>
          <w:rFonts w:asciiTheme="majorHAnsi" w:hAnsiTheme="majorHAnsi" w:cstheme="majorHAnsi"/>
          <w:sz w:val="24"/>
        </w:rPr>
        <w:t>Mean ± SD, n=5.</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2F22B1">
      <w:pPr>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4451A16C"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r w:rsidR="00F22CC2">
        <w:rPr>
          <w:rFonts w:asciiTheme="majorHAnsi" w:hAnsiTheme="majorHAnsi" w:cstheme="majorHAnsi"/>
          <w:sz w:val="24"/>
        </w:rPr>
        <w:t>Mean ± SD, n=5.</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2F22B1">
      <w:pPr>
        <w:jc w:val="cente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1EB1678E"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r w:rsidR="00F22CC2">
        <w:rPr>
          <w:rFonts w:asciiTheme="majorHAnsi" w:hAnsiTheme="majorHAnsi" w:cstheme="majorHAnsi"/>
        </w:rPr>
        <w:t>Solid lines are a mean from n=5, and shading indicates standard deviation.</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2F22B1">
      <w:pPr>
        <w:jc w:val="cente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6DA7DDDA"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r w:rsidR="00F22CC2">
        <w:rPr>
          <w:rFonts w:asciiTheme="majorHAnsi" w:hAnsiTheme="majorHAnsi" w:cstheme="majorHAnsi"/>
        </w:rPr>
        <w:t xml:space="preserve"> Solid lines are a mean from n=5, and shading indicates standard deviation.</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1DF21336" w:rsidR="005C6C33" w:rsidRDefault="00AE7BB9" w:rsidP="00AE7BB9">
      <w:pPr>
        <w:rPr>
          <w:rFonts w:asciiTheme="majorHAnsi" w:hAnsiTheme="majorHAnsi" w:cstheme="majorHAnsi"/>
          <w:b/>
        </w:rPr>
      </w:pPr>
      <w:r>
        <w:rPr>
          <w:rFonts w:asciiTheme="majorHAnsi" w:hAnsiTheme="majorHAnsi" w:cstheme="majorHAnsi"/>
          <w:noProof/>
          <w:sz w:val="24"/>
        </w:rPr>
        <w:lastRenderedPageBreak/>
        <w:drawing>
          <wp:inline distT="0" distB="0" distL="0" distR="0" wp14:anchorId="403DED11" wp14:editId="17010A3A">
            <wp:extent cx="5936615" cy="1924050"/>
            <wp:effectExtent l="0" t="0" r="6985" b="0"/>
            <wp:docPr id="4" name="Picture 4" descr="C:\Users\cesiu\AppData\Local\Microsoft\Windows\INetCache\Content.Word\dose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iu\AppData\Local\Microsoft\Windows\INetCache\Content.Word\doseEq.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924050"/>
                    </a:xfrm>
                    <a:prstGeom prst="rect">
                      <a:avLst/>
                    </a:prstGeom>
                    <a:noFill/>
                    <a:ln>
                      <a:noFill/>
                    </a:ln>
                  </pic:spPr>
                </pic:pic>
              </a:graphicData>
            </a:graphic>
          </wp:inline>
        </w:drawing>
      </w:r>
    </w:p>
    <w:p w14:paraId="76DFA36D" w14:textId="1748003D" w:rsidR="00CD587F" w:rsidRDefault="006746F2" w:rsidP="00AE7BB9">
      <w:pPr>
        <w:jc w:val="both"/>
        <w:rPr>
          <w:rFonts w:asciiTheme="majorHAnsi" w:hAnsiTheme="majorHAnsi" w:cstheme="majorHAnsi"/>
        </w:rPr>
      </w:pPr>
      <w:r>
        <w:rPr>
          <w:rFonts w:asciiTheme="majorHAnsi" w:hAnsiTheme="majorHAnsi" w:cstheme="majorHAnsi"/>
          <w:b/>
          <w:sz w:val="24"/>
        </w:rPr>
        <w:t xml:space="preserve">Figure S7.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 Mean ± SD, n=5.</w:t>
      </w:r>
      <w:r w:rsidR="00AE7BB9">
        <w:rPr>
          <w:rFonts w:asciiTheme="majorHAnsi" w:hAnsiTheme="majorHAnsi" w:cstheme="majorHAnsi"/>
        </w:rPr>
        <w:t xml:space="preserve"> </w:t>
      </w:r>
      <w:r w:rsidR="00CD587F">
        <w:rPr>
          <w:rFonts w:asciiTheme="majorHAnsi" w:hAnsiTheme="majorHAnsi" w:cstheme="majorHAnsi"/>
        </w:rPr>
        <w:br w:type="page"/>
      </w:r>
    </w:p>
    <w:p w14:paraId="7C8D7784" w14:textId="77777777" w:rsidR="00CD587F" w:rsidRDefault="0073529E" w:rsidP="002F22B1">
      <w:pPr>
        <w:jc w:val="center"/>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0023B2FD" w14:textId="5A33E357" w:rsidR="007A5FC4" w:rsidRDefault="00CD587F" w:rsidP="00504374">
      <w:pPr>
        <w:jc w:val="both"/>
        <w:rPr>
          <w:rFonts w:asciiTheme="majorHAnsi" w:hAnsiTheme="majorHAnsi" w:cstheme="majorHAnsi"/>
        </w:rPr>
      </w:pPr>
      <w:r>
        <w:rPr>
          <w:rFonts w:asciiTheme="majorHAnsi" w:hAnsiTheme="majorHAnsi" w:cstheme="majorHAnsi"/>
          <w:b/>
        </w:rPr>
        <w:t>Figure S8.</w:t>
      </w:r>
      <w:r w:rsidR="00F66D21">
        <w:rPr>
          <w:rFonts w:asciiTheme="majorHAnsi" w:hAnsiTheme="majorHAnsi" w:cstheme="majorHAnsi"/>
          <w:b/>
        </w:rPr>
        <w:t xml:space="preserve"> </w:t>
      </w:r>
      <w:r w:rsidR="002F22B1">
        <w:rPr>
          <w:rFonts w:asciiTheme="majorHAnsi" w:hAnsiTheme="majorHAnsi" w:cstheme="majorHAnsi"/>
        </w:rPr>
        <w:t xml:space="preserve">Activity </w:t>
      </w:r>
      <w:r w:rsidR="00F66D21">
        <w:rPr>
          <w:rFonts w:asciiTheme="majorHAnsi" w:hAnsiTheme="majorHAnsi" w:cstheme="majorHAnsi"/>
        </w:rPr>
        <w:t xml:space="preserve">ratio of </w:t>
      </w:r>
      <w:r w:rsidR="002F22B1">
        <w:rPr>
          <w:rFonts w:asciiTheme="majorHAnsi" w:hAnsiTheme="majorHAnsi" w:cstheme="majorHAnsi"/>
        </w:rPr>
        <w:t>Ac-225’s first daughter decay to Fr-221 over the sum of all daughter decay activities</w:t>
      </w:r>
      <w:r w:rsidR="002F22B1" w:rsidRPr="002F22B1">
        <w:rPr>
          <w:rFonts w:asciiTheme="majorHAnsi" w:hAnsiTheme="majorHAnsi" w:cstheme="majorHAnsi"/>
        </w:rPr>
        <w:t xml:space="preserve"> (</w:t>
      </w:r>
      <w:r w:rsidR="002F22B1">
        <w:rPr>
          <w:rFonts w:asciiTheme="majorHAnsi" w:hAnsiTheme="majorHAnsi" w:cstheme="majorHAnsi"/>
        </w:rPr>
        <w:t>b</w:t>
      </w:r>
      <w:r w:rsidR="002F22B1" w:rsidRPr="002F22B1">
        <w:rPr>
          <w:rFonts w:asciiTheme="majorHAnsi" w:hAnsiTheme="majorHAnsi" w:cstheme="majorHAnsi"/>
        </w:rPr>
        <w:t>lue</w:t>
      </w:r>
      <w:r w:rsidR="002F22B1">
        <w:rPr>
          <w:rFonts w:asciiTheme="majorHAnsi" w:hAnsiTheme="majorHAnsi" w:cstheme="majorHAnsi"/>
        </w:rPr>
        <w:t xml:space="preserve"> circles</w:t>
      </w:r>
      <w:r w:rsidR="002F22B1" w:rsidRPr="002F22B1">
        <w:rPr>
          <w:rFonts w:asciiTheme="majorHAnsi" w:hAnsiTheme="majorHAnsi" w:cstheme="majorHAnsi"/>
        </w:rPr>
        <w:t>)</w:t>
      </w:r>
      <w:r w:rsidR="002F22B1">
        <w:rPr>
          <w:rFonts w:asciiTheme="majorHAnsi" w:hAnsiTheme="majorHAnsi" w:cstheme="majorHAnsi"/>
        </w:rPr>
        <w:t>, compared to the activity ratio of Ac-227’s decay to Th-227 plus Th-227’s decay to Ra-223 activity over the sum of all daughter decays (orange squares).</w:t>
      </w:r>
    </w:p>
    <w:p w14:paraId="13A55DAB" w14:textId="77777777" w:rsidR="007A5FC4" w:rsidRDefault="007A5FC4">
      <w:pPr>
        <w:rPr>
          <w:rFonts w:asciiTheme="majorHAnsi" w:hAnsiTheme="majorHAnsi" w:cstheme="majorHAnsi"/>
        </w:rPr>
      </w:pPr>
      <w:r>
        <w:rPr>
          <w:rFonts w:asciiTheme="majorHAnsi" w:hAnsiTheme="majorHAnsi" w:cstheme="majorHAnsi"/>
        </w:rPr>
        <w:br w:type="page"/>
      </w:r>
    </w:p>
    <w:p w14:paraId="6147CB29" w14:textId="101FEB0B" w:rsidR="00FA44E4" w:rsidRDefault="009453BF" w:rsidP="007A5FC4">
      <w:pPr>
        <w:spacing w:line="480" w:lineRule="auto"/>
        <w:jc w:val="both"/>
        <w:rPr>
          <w:rFonts w:asciiTheme="majorHAnsi" w:hAnsiTheme="majorHAnsi" w:cstheme="majorHAnsi"/>
          <w:b/>
        </w:rPr>
      </w:pPr>
      <w:r>
        <w:rPr>
          <w:rFonts w:asciiTheme="majorHAnsi" w:hAnsiTheme="majorHAnsi" w:cstheme="majorHAnsi"/>
          <w:b/>
        </w:rPr>
        <w:lastRenderedPageBreak/>
        <w:pict w14:anchorId="744E1B5D">
          <v:shape id="_x0000_i1036" type="#_x0000_t75" style="width:467.45pt;height:363.2pt">
            <v:imagedata r:id="rId24" o:title="plot1logLetters"/>
          </v:shape>
        </w:pict>
      </w:r>
    </w:p>
    <w:p w14:paraId="4A073386" w14:textId="5A4A38FE" w:rsidR="007A5FC4" w:rsidRDefault="007A5FC4" w:rsidP="007A5FC4">
      <w:pPr>
        <w:spacing w:line="480" w:lineRule="auto"/>
        <w:jc w:val="both"/>
        <w:rPr>
          <w:rFonts w:asciiTheme="majorHAnsi" w:hAnsiTheme="majorHAnsi" w:cstheme="majorHAnsi"/>
        </w:rPr>
      </w:pPr>
      <w:r>
        <w:rPr>
          <w:rFonts w:asciiTheme="majorHAnsi" w:hAnsiTheme="majorHAnsi" w:cstheme="majorHAnsi"/>
          <w:b/>
        </w:rPr>
        <w:t xml:space="preserve">Figure </w:t>
      </w:r>
      <w:r>
        <w:rPr>
          <w:rFonts w:asciiTheme="majorHAnsi" w:hAnsiTheme="majorHAnsi" w:cstheme="majorHAnsi"/>
          <w:b/>
        </w:rPr>
        <w:t>S9</w:t>
      </w:r>
      <w:r w:rsidRPr="00C06710">
        <w:rPr>
          <w:rFonts w:asciiTheme="majorHAnsi" w:hAnsiTheme="majorHAnsi" w:cstheme="majorHAnsi"/>
          <w:b/>
        </w:rPr>
        <w:t>.</w:t>
      </w:r>
      <w:r w:rsidRPr="00C06710">
        <w:rPr>
          <w:rFonts w:asciiTheme="majorHAnsi" w:hAnsiTheme="majorHAnsi" w:cstheme="majorHAnsi"/>
        </w:rPr>
        <w:t xml:space="preserve"> </w:t>
      </w:r>
      <w:r>
        <w:rPr>
          <w:rFonts w:asciiTheme="majorHAnsi" w:hAnsiTheme="majorHAnsi" w:cstheme="majorHAnsi"/>
        </w:rPr>
        <w:t>Cumulative dose extrapolation modeling over one Ac-227 half-life (7946 days)</w:t>
      </w:r>
      <w:r w:rsidR="00AA4237">
        <w:rPr>
          <w:rFonts w:asciiTheme="majorHAnsi" w:hAnsiTheme="majorHAnsi" w:cstheme="majorHAnsi"/>
        </w:rPr>
        <w:t xml:space="preserve">. </w:t>
      </w:r>
      <w:r>
        <w:rPr>
          <w:rFonts w:asciiTheme="majorHAnsi" w:hAnsiTheme="majorHAnsi" w:cstheme="majorHAnsi"/>
        </w:rPr>
        <w:t>Solid lines are a mean from n=5, and shading indicates standard deviation.</w:t>
      </w:r>
    </w:p>
    <w:p w14:paraId="24956F81" w14:textId="77777777" w:rsidR="007A5FC4" w:rsidRDefault="007A5FC4">
      <w:pPr>
        <w:rPr>
          <w:rFonts w:asciiTheme="majorHAnsi" w:hAnsiTheme="majorHAnsi" w:cstheme="majorHAnsi"/>
        </w:rPr>
      </w:pPr>
      <w:r>
        <w:rPr>
          <w:rFonts w:asciiTheme="majorHAnsi" w:hAnsiTheme="majorHAnsi" w:cstheme="majorHAnsi"/>
        </w:rPr>
        <w:br w:type="page"/>
      </w:r>
    </w:p>
    <w:p w14:paraId="19B5EA55" w14:textId="6A0032B0" w:rsidR="00FA44E4" w:rsidRDefault="009453BF" w:rsidP="007A5FC4">
      <w:pPr>
        <w:spacing w:line="480" w:lineRule="auto"/>
        <w:jc w:val="both"/>
        <w:rPr>
          <w:rFonts w:asciiTheme="majorHAnsi" w:hAnsiTheme="majorHAnsi" w:cstheme="majorHAnsi"/>
          <w:b/>
        </w:rPr>
      </w:pPr>
      <w:r>
        <w:rPr>
          <w:rFonts w:asciiTheme="majorHAnsi" w:hAnsiTheme="majorHAnsi" w:cstheme="majorHAnsi"/>
          <w:b/>
        </w:rPr>
        <w:lastRenderedPageBreak/>
        <w:pict w14:anchorId="457EC6E7">
          <v:shape id="_x0000_i1038" type="#_x0000_t75" style="width:468pt;height:361.6pt">
            <v:imagedata r:id="rId25" o:title="plot2logLetters"/>
          </v:shape>
        </w:pict>
      </w:r>
    </w:p>
    <w:p w14:paraId="13E366A8" w14:textId="1BADF224" w:rsidR="007A5FC4" w:rsidRPr="00C06710" w:rsidRDefault="007A5FC4" w:rsidP="007A5FC4">
      <w:pPr>
        <w:spacing w:line="480" w:lineRule="auto"/>
        <w:jc w:val="both"/>
        <w:rPr>
          <w:rFonts w:asciiTheme="majorHAnsi" w:hAnsiTheme="majorHAnsi" w:cstheme="majorHAnsi"/>
        </w:rPr>
      </w:pPr>
      <w:r>
        <w:rPr>
          <w:rFonts w:asciiTheme="majorHAnsi" w:hAnsiTheme="majorHAnsi" w:cstheme="majorHAnsi"/>
          <w:b/>
        </w:rPr>
        <w:t xml:space="preserve">Figure </w:t>
      </w:r>
      <w:r>
        <w:rPr>
          <w:rFonts w:asciiTheme="majorHAnsi" w:hAnsiTheme="majorHAnsi" w:cstheme="majorHAnsi"/>
          <w:b/>
        </w:rPr>
        <w:t>S10</w:t>
      </w:r>
      <w:r w:rsidRPr="00C06710">
        <w:rPr>
          <w:rFonts w:asciiTheme="majorHAnsi" w:hAnsiTheme="majorHAnsi" w:cstheme="majorHAnsi"/>
          <w:b/>
        </w:rPr>
        <w:t>.</w:t>
      </w:r>
      <w:r>
        <w:rPr>
          <w:rFonts w:asciiTheme="majorHAnsi" w:hAnsiTheme="majorHAnsi" w:cstheme="majorHAnsi"/>
        </w:rPr>
        <w:t xml:space="preserve"> D</w:t>
      </w:r>
      <w:r>
        <w:rPr>
          <w:rFonts w:asciiTheme="majorHAnsi" w:hAnsiTheme="majorHAnsi" w:cstheme="majorHAnsi"/>
        </w:rPr>
        <w:t>ose</w:t>
      </w:r>
      <w:r>
        <w:rPr>
          <w:rFonts w:asciiTheme="majorHAnsi" w:hAnsiTheme="majorHAnsi" w:cstheme="majorHAnsi"/>
        </w:rPr>
        <w:t xml:space="preserve"> per day</w:t>
      </w:r>
      <w:r>
        <w:rPr>
          <w:rFonts w:asciiTheme="majorHAnsi" w:hAnsiTheme="majorHAnsi" w:cstheme="majorHAnsi"/>
        </w:rPr>
        <w:t xml:space="preserve"> extrapolation modeling over one Ac-227 half-life (7946 days)</w:t>
      </w:r>
      <w:r w:rsidR="00AA4237">
        <w:rPr>
          <w:rFonts w:asciiTheme="majorHAnsi" w:hAnsiTheme="majorHAnsi" w:cstheme="majorHAnsi"/>
        </w:rPr>
        <w:t xml:space="preserve">. </w:t>
      </w:r>
      <w:r>
        <w:rPr>
          <w:rFonts w:asciiTheme="majorHAnsi" w:hAnsiTheme="majorHAnsi" w:cstheme="majorHAnsi"/>
        </w:rPr>
        <w:t>Solid lines are a mean from n=5, and shading indicates standard deviation.</w:t>
      </w:r>
    </w:p>
    <w:p w14:paraId="722BC404" w14:textId="77777777" w:rsidR="007A5FC4" w:rsidRPr="00C06710" w:rsidRDefault="007A5FC4" w:rsidP="007A5FC4">
      <w:pPr>
        <w:spacing w:line="480" w:lineRule="auto"/>
        <w:jc w:val="both"/>
        <w:rPr>
          <w:rFonts w:asciiTheme="majorHAnsi" w:hAnsiTheme="majorHAnsi" w:cstheme="majorHAnsi"/>
        </w:rPr>
      </w:pPr>
    </w:p>
    <w:p w14:paraId="5DF6A564" w14:textId="0CAE2F8B" w:rsidR="00B12B6F" w:rsidRDefault="00B12B6F">
      <w:pPr>
        <w:rPr>
          <w:rFonts w:asciiTheme="majorHAnsi" w:hAnsiTheme="majorHAnsi" w:cstheme="majorHAnsi"/>
        </w:rPr>
      </w:pPr>
      <w:r>
        <w:rPr>
          <w:rFonts w:asciiTheme="majorHAnsi" w:hAnsiTheme="majorHAnsi" w:cstheme="majorHAnsi"/>
        </w:rPr>
        <w:br w:type="page"/>
      </w:r>
    </w:p>
    <w:p w14:paraId="78B1D936" w14:textId="78650AE0" w:rsidR="00B12B6F" w:rsidRDefault="00B12B6F" w:rsidP="00504374">
      <w:pPr>
        <w:jc w:val="both"/>
        <w:rPr>
          <w:rFonts w:asciiTheme="majorHAnsi" w:hAnsiTheme="majorHAnsi" w:cstheme="majorHAnsi"/>
        </w:rPr>
      </w:pPr>
      <w:r w:rsidRPr="00B12B6F">
        <w:rPr>
          <w:rFonts w:asciiTheme="majorHAnsi" w:hAnsiTheme="majorHAnsi" w:cstheme="majorHAnsi"/>
          <w:noProof/>
          <w:highlight w:val="yellow"/>
        </w:rPr>
        <w:lastRenderedPageBreak/>
        <mc:AlternateContent>
          <mc:Choice Requires="wpg">
            <w:drawing>
              <wp:anchor distT="0" distB="0" distL="114300" distR="114300" simplePos="0" relativeHeight="251693056" behindDoc="0" locked="0" layoutInCell="1" allowOverlap="1" wp14:anchorId="64A55E4A" wp14:editId="0ED16574">
                <wp:simplePos x="0" y="0"/>
                <wp:positionH relativeFrom="column">
                  <wp:posOffset>219075</wp:posOffset>
                </wp:positionH>
                <wp:positionV relativeFrom="paragraph">
                  <wp:posOffset>75565</wp:posOffset>
                </wp:positionV>
                <wp:extent cx="4479777" cy="3184117"/>
                <wp:effectExtent l="0" t="0" r="0" b="0"/>
                <wp:wrapNone/>
                <wp:docPr id="30" name="Group 30"/>
                <wp:cNvGraphicFramePr/>
                <a:graphic xmlns:a="http://schemas.openxmlformats.org/drawingml/2006/main">
                  <a:graphicData uri="http://schemas.microsoft.com/office/word/2010/wordprocessingGroup">
                    <wpg:wgp>
                      <wpg:cNvGrpSpPr/>
                      <wpg:grpSpPr>
                        <a:xfrm>
                          <a:off x="0" y="0"/>
                          <a:ext cx="4479777" cy="3184117"/>
                          <a:chOff x="0" y="0"/>
                          <a:chExt cx="4479777" cy="3184117"/>
                        </a:xfrm>
                      </wpg:grpSpPr>
                      <wpg:grpSp>
                        <wpg:cNvPr id="31" name="Group 31"/>
                        <wpg:cNvGrpSpPr/>
                        <wpg:grpSpPr>
                          <a:xfrm>
                            <a:off x="0" y="0"/>
                            <a:ext cx="2469995" cy="3184117"/>
                            <a:chOff x="0" y="0"/>
                            <a:chExt cx="2469995" cy="3184117"/>
                          </a:xfrm>
                        </wpg:grpSpPr>
                        <wps:wsp>
                          <wps:cNvPr id="32"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07952E1E" w14:textId="77777777" w:rsidR="00B12B6F" w:rsidRPr="004C5CCC" w:rsidRDefault="00B12B6F" w:rsidP="00B12B6F">
                                <w:pPr>
                                  <w:rPr>
                                    <w:b/>
                                    <w:sz w:val="32"/>
                                  </w:rPr>
                                </w:pPr>
                                <w:r w:rsidRPr="004C5CCC">
                                  <w:rPr>
                                    <w:b/>
                                    <w:sz w:val="32"/>
                                  </w:rPr>
                                  <w:t>A</w:t>
                                </w:r>
                              </w:p>
                            </w:txbxContent>
                          </wps:txbx>
                          <wps:bodyPr rot="0" vert="horz" wrap="square" lIns="91440" tIns="45720" rIns="91440" bIns="45720" anchor="t" anchorCtr="0">
                            <a:noAutofit/>
                          </wps:bodyPr>
                        </wps:wsp>
                        <wps:wsp>
                          <wps:cNvPr id="33"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0116E887" w14:textId="77777777" w:rsidR="00B12B6F" w:rsidRPr="004C5CCC" w:rsidRDefault="00B12B6F" w:rsidP="00B12B6F">
                                <w:pPr>
                                  <w:rPr>
                                    <w:b/>
                                    <w:sz w:val="32"/>
                                  </w:rPr>
                                </w:pPr>
                                <w:r>
                                  <w:rPr>
                                    <w:b/>
                                    <w:sz w:val="32"/>
                                  </w:rPr>
                                  <w:t>B</w:t>
                                </w:r>
                              </w:p>
                            </w:txbxContent>
                          </wps:txbx>
                          <wps:bodyPr rot="0" vert="horz" wrap="square" lIns="91440" tIns="45720" rIns="91440" bIns="45720" anchor="t" anchorCtr="0">
                            <a:noAutofit/>
                          </wps:bodyPr>
                        </wps:wsp>
                        <wps:wsp>
                          <wps:cNvPr id="34" name="Text Box 2"/>
                          <wps:cNvSpPr txBox="1">
                            <a:spLocks noChangeArrowheads="1"/>
                          </wps:cNvSpPr>
                          <wps:spPr bwMode="auto">
                            <a:xfrm>
                              <a:off x="31" y="2874401"/>
                              <a:ext cx="302342" cy="309716"/>
                            </a:xfrm>
                            <a:prstGeom prst="rect">
                              <a:avLst/>
                            </a:prstGeom>
                            <a:noFill/>
                            <a:ln w="9525">
                              <a:noFill/>
                              <a:miter lim="800000"/>
                              <a:headEnd/>
                              <a:tailEnd/>
                            </a:ln>
                          </wps:spPr>
                          <wps:txbx>
                            <w:txbxContent>
                              <w:p w14:paraId="66E33C49" w14:textId="77777777" w:rsidR="00B12B6F" w:rsidRPr="004C5CCC" w:rsidRDefault="00B12B6F" w:rsidP="00B12B6F">
                                <w:pPr>
                                  <w:rPr>
                                    <w:b/>
                                    <w:sz w:val="32"/>
                                  </w:rPr>
                                </w:pPr>
                                <w:r>
                                  <w:rPr>
                                    <w:b/>
                                    <w:sz w:val="32"/>
                                  </w:rPr>
                                  <w:t>C</w:t>
                                </w:r>
                              </w:p>
                            </w:txbxContent>
                          </wps:txbx>
                          <wps:bodyPr rot="0" vert="horz" wrap="square" lIns="91440" tIns="45720" rIns="91440" bIns="45720" anchor="t" anchorCtr="0">
                            <a:noAutofit/>
                          </wps:bodyPr>
                        </wps:wsp>
                        <wps:wsp>
                          <wps:cNvPr id="46"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14:paraId="368CB408" w14:textId="77777777" w:rsidR="00B12B6F" w:rsidRPr="004C5CCC" w:rsidRDefault="00B12B6F" w:rsidP="00B12B6F">
                                <w:pPr>
                                  <w:rPr>
                                    <w:b/>
                                    <w:sz w:val="32"/>
                                  </w:rPr>
                                </w:pPr>
                                <w:r>
                                  <w:rPr>
                                    <w:b/>
                                    <w:sz w:val="32"/>
                                  </w:rPr>
                                  <w:t>D</w:t>
                                </w:r>
                              </w:p>
                            </w:txbxContent>
                          </wps:txbx>
                          <wps:bodyPr rot="0" vert="horz" wrap="square" lIns="91440" tIns="45720" rIns="91440" bIns="45720" anchor="t" anchorCtr="0">
                            <a:noAutofit/>
                          </wps:bodyPr>
                        </wps:wsp>
                        <wps:wsp>
                          <wps:cNvPr id="47" name="Text Box 2"/>
                          <wps:cNvSpPr txBox="1">
                            <a:spLocks noChangeArrowheads="1"/>
                          </wps:cNvSpPr>
                          <wps:spPr bwMode="auto">
                            <a:xfrm>
                              <a:off x="2167653" y="1432955"/>
                              <a:ext cx="302342" cy="309716"/>
                            </a:xfrm>
                            <a:prstGeom prst="rect">
                              <a:avLst/>
                            </a:prstGeom>
                            <a:noFill/>
                            <a:ln w="9525">
                              <a:noFill/>
                              <a:miter lim="800000"/>
                              <a:headEnd/>
                              <a:tailEnd/>
                            </a:ln>
                          </wps:spPr>
                          <wps:txbx>
                            <w:txbxContent>
                              <w:p w14:paraId="06802007" w14:textId="77777777" w:rsidR="00B12B6F" w:rsidRPr="004C5CCC" w:rsidRDefault="00B12B6F" w:rsidP="00B12B6F">
                                <w:pPr>
                                  <w:rPr>
                                    <w:b/>
                                    <w:sz w:val="32"/>
                                  </w:rPr>
                                </w:pPr>
                                <w:r>
                                  <w:rPr>
                                    <w:b/>
                                    <w:sz w:val="32"/>
                                  </w:rPr>
                                  <w:t>E</w:t>
                                </w:r>
                              </w:p>
                            </w:txbxContent>
                          </wps:txbx>
                          <wps:bodyPr rot="0" vert="horz" wrap="square" lIns="91440" tIns="45720" rIns="91440" bIns="45720" anchor="t" anchorCtr="0">
                            <a:noAutofit/>
                          </wps:bodyPr>
                        </wps:wsp>
                        <wps:wsp>
                          <wps:cNvPr id="48" name="Text Box 2"/>
                          <wps:cNvSpPr txBox="1">
                            <a:spLocks noChangeArrowheads="1"/>
                          </wps:cNvSpPr>
                          <wps:spPr bwMode="auto">
                            <a:xfrm>
                              <a:off x="2164066" y="2874399"/>
                              <a:ext cx="302342" cy="309716"/>
                            </a:xfrm>
                            <a:prstGeom prst="rect">
                              <a:avLst/>
                            </a:prstGeom>
                            <a:noFill/>
                            <a:ln w="9525">
                              <a:noFill/>
                              <a:miter lim="800000"/>
                              <a:headEnd/>
                              <a:tailEnd/>
                            </a:ln>
                          </wps:spPr>
                          <wps:txbx>
                            <w:txbxContent>
                              <w:p w14:paraId="0C8328F5" w14:textId="77777777" w:rsidR="00B12B6F" w:rsidRPr="004C5CCC" w:rsidRDefault="00B12B6F" w:rsidP="00B12B6F">
                                <w:pPr>
                                  <w:rPr>
                                    <w:b/>
                                    <w:sz w:val="32"/>
                                  </w:rPr>
                                </w:pPr>
                                <w:r>
                                  <w:rPr>
                                    <w:b/>
                                    <w:sz w:val="32"/>
                                  </w:rPr>
                                  <w:t>F</w:t>
                                </w:r>
                              </w:p>
                            </w:txbxContent>
                          </wps:txbx>
                          <wps:bodyPr rot="0" vert="horz" wrap="square" lIns="91440" tIns="45720" rIns="91440" bIns="45720" anchor="t" anchorCtr="0">
                            <a:noAutofit/>
                          </wps:bodyPr>
                        </wps:wsp>
                      </wpg:grpSp>
                      <wps:wsp>
                        <wps:cNvPr id="49" name="Text Box 2"/>
                        <wps:cNvSpPr txBox="1">
                          <a:spLocks noChangeArrowheads="1"/>
                        </wps:cNvSpPr>
                        <wps:spPr bwMode="auto">
                          <a:xfrm>
                            <a:off x="4121550" y="0"/>
                            <a:ext cx="302296" cy="309716"/>
                          </a:xfrm>
                          <a:prstGeom prst="rect">
                            <a:avLst/>
                          </a:prstGeom>
                          <a:noFill/>
                          <a:ln w="9525">
                            <a:noFill/>
                            <a:miter lim="800000"/>
                            <a:headEnd/>
                            <a:tailEnd/>
                          </a:ln>
                        </wps:spPr>
                        <wps:txbx>
                          <w:txbxContent>
                            <w:p w14:paraId="50BBB114" w14:textId="77777777" w:rsidR="00B12B6F" w:rsidRPr="004C5CCC" w:rsidRDefault="00B12B6F" w:rsidP="00B12B6F">
                              <w:pPr>
                                <w:rPr>
                                  <w:b/>
                                  <w:sz w:val="32"/>
                                </w:rPr>
                              </w:pPr>
                              <w:r>
                                <w:rPr>
                                  <w:b/>
                                  <w:sz w:val="32"/>
                                </w:rPr>
                                <w:t>G</w:t>
                              </w:r>
                            </w:p>
                          </w:txbxContent>
                        </wps:txbx>
                        <wps:bodyPr rot="0" vert="horz" wrap="square" lIns="91440" tIns="45720" rIns="91440" bIns="45720" anchor="t" anchorCtr="0">
                          <a:noAutofit/>
                        </wps:bodyPr>
                      </wps:wsp>
                      <wps:wsp>
                        <wps:cNvPr id="50" name="Text Box 2"/>
                        <wps:cNvSpPr txBox="1">
                          <a:spLocks noChangeArrowheads="1"/>
                        </wps:cNvSpPr>
                        <wps:spPr bwMode="auto">
                          <a:xfrm>
                            <a:off x="4121560" y="1430600"/>
                            <a:ext cx="302296" cy="309716"/>
                          </a:xfrm>
                          <a:prstGeom prst="rect">
                            <a:avLst/>
                          </a:prstGeom>
                          <a:noFill/>
                          <a:ln w="9525">
                            <a:noFill/>
                            <a:miter lim="800000"/>
                            <a:headEnd/>
                            <a:tailEnd/>
                          </a:ln>
                        </wps:spPr>
                        <wps:txbx>
                          <w:txbxContent>
                            <w:p w14:paraId="5160C575" w14:textId="77777777" w:rsidR="00B12B6F" w:rsidRPr="004C5CCC" w:rsidRDefault="00B12B6F" w:rsidP="00B12B6F">
                              <w:pPr>
                                <w:rPr>
                                  <w:b/>
                                  <w:sz w:val="32"/>
                                </w:rPr>
                              </w:pPr>
                              <w:r>
                                <w:rPr>
                                  <w:b/>
                                  <w:sz w:val="32"/>
                                </w:rPr>
                                <w:t>H</w:t>
                              </w:r>
                            </w:p>
                          </w:txbxContent>
                        </wps:txbx>
                        <wps:bodyPr rot="0" vert="horz" wrap="square" lIns="91440" tIns="45720" rIns="91440" bIns="45720" anchor="t" anchorCtr="0">
                          <a:noAutofit/>
                        </wps:bodyPr>
                      </wps:wsp>
                      <wps:wsp>
                        <wps:cNvPr id="51" name="Text Box 2"/>
                        <wps:cNvSpPr txBox="1">
                          <a:spLocks noChangeArrowheads="1"/>
                        </wps:cNvSpPr>
                        <wps:spPr bwMode="auto">
                          <a:xfrm>
                            <a:off x="4177481" y="2874399"/>
                            <a:ext cx="302296" cy="309716"/>
                          </a:xfrm>
                          <a:prstGeom prst="rect">
                            <a:avLst/>
                          </a:prstGeom>
                          <a:noFill/>
                          <a:ln w="9525">
                            <a:noFill/>
                            <a:miter lim="800000"/>
                            <a:headEnd/>
                            <a:tailEnd/>
                          </a:ln>
                        </wps:spPr>
                        <wps:txbx>
                          <w:txbxContent>
                            <w:p w14:paraId="4B712DBE" w14:textId="77777777" w:rsidR="00B12B6F" w:rsidRPr="004C5CCC" w:rsidRDefault="00B12B6F" w:rsidP="00B12B6F">
                              <w:pPr>
                                <w:rPr>
                                  <w:b/>
                                  <w:sz w:val="32"/>
                                </w:rPr>
                              </w:pPr>
                              <w:r>
                                <w:rPr>
                                  <w:b/>
                                  <w:sz w:val="32"/>
                                </w:rPr>
                                <w:t>I</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4A55E4A" id="Group 30" o:spid="_x0000_s1033" style="position:absolute;left:0;text-align:left;margin-left:17.25pt;margin-top:5.95pt;width:352.75pt;height:250.7pt;z-index:251693056;mso-width-relative:margin;mso-height-relative:margin" coordsize="44797,3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">
                <v:group id="Group 31" o:spid="_x0000_s1034" style="position:absolute;width:24699;height:31841" coordsize="24699,3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202" coordsize="21600,21600" o:spt="202" path="m,l,21600r21600,l21600,xe">
                    <v:stroke joinstyle="miter"/>
                    <v:path gradientshapeok="t" o:connecttype="rect"/>
                  </v:shapetype>
                  <v:shape id="Text Box 2" o:spid="_x0000_s1035"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7952E1E" w14:textId="77777777" w:rsidR="00B12B6F" w:rsidRPr="004C5CCC" w:rsidRDefault="00B12B6F" w:rsidP="00B12B6F">
                          <w:pPr>
                            <w:rPr>
                              <w:b/>
                              <w:sz w:val="32"/>
                            </w:rPr>
                          </w:pPr>
                          <w:r w:rsidRPr="004C5CCC">
                            <w:rPr>
                              <w:b/>
                              <w:sz w:val="32"/>
                            </w:rPr>
                            <w:t>A</w:t>
                          </w:r>
                        </w:p>
                      </w:txbxContent>
                    </v:textbox>
                  </v:shape>
                  <v:shape id="Text Box 2" o:spid="_x0000_s1036"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16E887" w14:textId="77777777" w:rsidR="00B12B6F" w:rsidRPr="004C5CCC" w:rsidRDefault="00B12B6F" w:rsidP="00B12B6F">
                          <w:pPr>
                            <w:rPr>
                              <w:b/>
                              <w:sz w:val="32"/>
                            </w:rPr>
                          </w:pPr>
                          <w:r>
                            <w:rPr>
                              <w:b/>
                              <w:sz w:val="32"/>
                            </w:rPr>
                            <w:t>B</w:t>
                          </w:r>
                        </w:p>
                      </w:txbxContent>
                    </v:textbox>
                  </v:shape>
                  <v:shape id="Text Box 2" o:spid="_x0000_s1037" type="#_x0000_t202" style="position:absolute;top:287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6E33C49" w14:textId="77777777" w:rsidR="00B12B6F" w:rsidRPr="004C5CCC" w:rsidRDefault="00B12B6F" w:rsidP="00B12B6F">
                          <w:pPr>
                            <w:rPr>
                              <w:b/>
                              <w:sz w:val="32"/>
                            </w:rPr>
                          </w:pPr>
                          <w:r>
                            <w:rPr>
                              <w:b/>
                              <w:sz w:val="32"/>
                            </w:rPr>
                            <w:t>C</w:t>
                          </w:r>
                        </w:p>
                      </w:txbxContent>
                    </v:textbox>
                  </v:shape>
                  <v:shape id="Text Box 2" o:spid="_x0000_s1038"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68CB408" w14:textId="77777777" w:rsidR="00B12B6F" w:rsidRPr="004C5CCC" w:rsidRDefault="00B12B6F" w:rsidP="00B12B6F">
                          <w:pPr>
                            <w:rPr>
                              <w:b/>
                              <w:sz w:val="32"/>
                            </w:rPr>
                          </w:pPr>
                          <w:r>
                            <w:rPr>
                              <w:b/>
                              <w:sz w:val="32"/>
                            </w:rPr>
                            <w:t>D</w:t>
                          </w:r>
                        </w:p>
                      </w:txbxContent>
                    </v:textbox>
                  </v:shape>
                  <v:shape id="Text Box 2" o:spid="_x0000_s1039" type="#_x0000_t202" style="position:absolute;left:21676;top:14329;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06802007" w14:textId="77777777" w:rsidR="00B12B6F" w:rsidRPr="004C5CCC" w:rsidRDefault="00B12B6F" w:rsidP="00B12B6F">
                          <w:pPr>
                            <w:rPr>
                              <w:b/>
                              <w:sz w:val="32"/>
                            </w:rPr>
                          </w:pPr>
                          <w:r>
                            <w:rPr>
                              <w:b/>
                              <w:sz w:val="32"/>
                            </w:rPr>
                            <w:t>E</w:t>
                          </w:r>
                        </w:p>
                      </w:txbxContent>
                    </v:textbox>
                  </v:shape>
                  <v:shape id="Text Box 2" o:spid="_x0000_s1040" type="#_x0000_t202" style="position:absolute;left:21640;top:28743;width:3024;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0C8328F5" w14:textId="77777777" w:rsidR="00B12B6F" w:rsidRPr="004C5CCC" w:rsidRDefault="00B12B6F" w:rsidP="00B12B6F">
                          <w:pPr>
                            <w:rPr>
                              <w:b/>
                              <w:sz w:val="32"/>
                            </w:rPr>
                          </w:pPr>
                          <w:r>
                            <w:rPr>
                              <w:b/>
                              <w:sz w:val="32"/>
                            </w:rPr>
                            <w:t>F</w:t>
                          </w:r>
                        </w:p>
                      </w:txbxContent>
                    </v:textbox>
                  </v:shape>
                </v:group>
                <v:shape id="Text Box 2" o:spid="_x0000_s1041" type="#_x0000_t202" style="position:absolute;left:41215;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0BBB114" w14:textId="77777777" w:rsidR="00B12B6F" w:rsidRPr="004C5CCC" w:rsidRDefault="00B12B6F" w:rsidP="00B12B6F">
                        <w:pPr>
                          <w:rPr>
                            <w:b/>
                            <w:sz w:val="32"/>
                          </w:rPr>
                        </w:pPr>
                        <w:r>
                          <w:rPr>
                            <w:b/>
                            <w:sz w:val="32"/>
                          </w:rPr>
                          <w:t>G</w:t>
                        </w:r>
                      </w:p>
                    </w:txbxContent>
                  </v:textbox>
                </v:shape>
                <v:shape id="Text Box 2" o:spid="_x0000_s1042" type="#_x0000_t202" style="position:absolute;left:41215;top:14306;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160C575" w14:textId="77777777" w:rsidR="00B12B6F" w:rsidRPr="004C5CCC" w:rsidRDefault="00B12B6F" w:rsidP="00B12B6F">
                        <w:pPr>
                          <w:rPr>
                            <w:b/>
                            <w:sz w:val="32"/>
                          </w:rPr>
                        </w:pPr>
                        <w:r>
                          <w:rPr>
                            <w:b/>
                            <w:sz w:val="32"/>
                          </w:rPr>
                          <w:t>H</w:t>
                        </w:r>
                      </w:p>
                    </w:txbxContent>
                  </v:textbox>
                </v:shape>
                <v:shape id="Text Box 2" o:spid="_x0000_s1043" type="#_x0000_t202" style="position:absolute;left:41774;top:28743;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B712DBE" w14:textId="77777777" w:rsidR="00B12B6F" w:rsidRPr="004C5CCC" w:rsidRDefault="00B12B6F" w:rsidP="00B12B6F">
                        <w:pPr>
                          <w:rPr>
                            <w:b/>
                            <w:sz w:val="32"/>
                          </w:rPr>
                        </w:pPr>
                        <w:r>
                          <w:rPr>
                            <w:b/>
                            <w:sz w:val="32"/>
                          </w:rPr>
                          <w:t>I</w:t>
                        </w:r>
                      </w:p>
                    </w:txbxContent>
                  </v:textbox>
                </v:shape>
              </v:group>
            </w:pict>
          </mc:Fallback>
        </mc:AlternateContent>
      </w:r>
      <w:r w:rsidRPr="00B12B6F">
        <w:rPr>
          <w:rFonts w:asciiTheme="majorHAnsi" w:hAnsiTheme="majorHAnsi" w:cstheme="majorHAnsi"/>
          <w:highlight w:val="yellow"/>
        </w:rPr>
        <w:t>extra letters (DELETE)</w:t>
      </w:r>
    </w:p>
    <w:p w14:paraId="0C5CD75A" w14:textId="09F19291" w:rsidR="00B12B6F" w:rsidRDefault="00B12B6F" w:rsidP="00504374">
      <w:pPr>
        <w:jc w:val="both"/>
        <w:rPr>
          <w:rFonts w:asciiTheme="majorHAnsi" w:hAnsiTheme="majorHAnsi" w:cstheme="majorHAnsi"/>
        </w:rPr>
      </w:pPr>
    </w:p>
    <w:p w14:paraId="7E79529C" w14:textId="648BCEB7" w:rsidR="00B12B6F" w:rsidRDefault="00B12B6F" w:rsidP="00504374">
      <w:pPr>
        <w:jc w:val="both"/>
        <w:rPr>
          <w:rFonts w:asciiTheme="majorHAnsi" w:hAnsiTheme="majorHAnsi" w:cstheme="majorHAnsi"/>
        </w:rPr>
      </w:pPr>
    </w:p>
    <w:p w14:paraId="6BEEF3D8" w14:textId="65324A15" w:rsidR="00B12B6F" w:rsidRDefault="00B12B6F" w:rsidP="00504374">
      <w:pPr>
        <w:jc w:val="both"/>
        <w:rPr>
          <w:rFonts w:asciiTheme="majorHAnsi" w:hAnsiTheme="majorHAnsi" w:cstheme="majorHAnsi"/>
        </w:rPr>
      </w:pPr>
    </w:p>
    <w:p w14:paraId="29E1BD18" w14:textId="1AF0CD57" w:rsidR="00B12B6F" w:rsidRDefault="00B12B6F" w:rsidP="00504374">
      <w:pPr>
        <w:jc w:val="both"/>
        <w:rPr>
          <w:rFonts w:asciiTheme="majorHAnsi" w:hAnsiTheme="majorHAnsi" w:cstheme="majorHAnsi"/>
        </w:rPr>
      </w:pPr>
    </w:p>
    <w:p w14:paraId="6D94BCB7" w14:textId="77777777" w:rsidR="00B12B6F" w:rsidRDefault="00B12B6F" w:rsidP="00504374">
      <w:pPr>
        <w:jc w:val="both"/>
        <w:rPr>
          <w:rFonts w:asciiTheme="majorHAnsi" w:hAnsiTheme="majorHAnsi" w:cstheme="majorHAnsi"/>
        </w:rPr>
      </w:pPr>
    </w:p>
    <w:p w14:paraId="1162B0B4" w14:textId="5C435D2C" w:rsidR="00BD4A53" w:rsidRDefault="00B12B6F" w:rsidP="00504374">
      <w:pPr>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5104" behindDoc="0" locked="0" layoutInCell="1" allowOverlap="1" wp14:anchorId="1F5A3E59" wp14:editId="742CB9F4">
                <wp:simplePos x="0" y="0"/>
                <wp:positionH relativeFrom="column">
                  <wp:posOffset>219030</wp:posOffset>
                </wp:positionH>
                <wp:positionV relativeFrom="paragraph">
                  <wp:posOffset>2780665</wp:posOffset>
                </wp:positionV>
                <wp:extent cx="4423856" cy="2549178"/>
                <wp:effectExtent l="0" t="0" r="0" b="3810"/>
                <wp:wrapNone/>
                <wp:docPr id="52" name="Group 52"/>
                <wp:cNvGraphicFramePr/>
                <a:graphic xmlns:a="http://schemas.openxmlformats.org/drawingml/2006/main">
                  <a:graphicData uri="http://schemas.microsoft.com/office/word/2010/wordprocessingGroup">
                    <wpg:wgp>
                      <wpg:cNvGrpSpPr/>
                      <wpg:grpSpPr>
                        <a:xfrm>
                          <a:off x="0" y="0"/>
                          <a:ext cx="4423856" cy="2549178"/>
                          <a:chOff x="0" y="0"/>
                          <a:chExt cx="4423856" cy="1742671"/>
                        </a:xfrm>
                      </wpg:grpSpPr>
                      <wpg:grpSp>
                        <wpg:cNvPr id="53" name="Group 53"/>
                        <wpg:cNvGrpSpPr/>
                        <wpg:grpSpPr>
                          <a:xfrm>
                            <a:off x="0" y="0"/>
                            <a:ext cx="2469995" cy="1742671"/>
                            <a:chOff x="0" y="0"/>
                            <a:chExt cx="2469995" cy="1742671"/>
                          </a:xfrm>
                        </wpg:grpSpPr>
                        <wps:wsp>
                          <wps:cNvPr id="54"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73E96E37" w14:textId="77777777" w:rsidR="00B12B6F" w:rsidRPr="004C5CCC" w:rsidRDefault="00B12B6F" w:rsidP="00B12B6F">
                                <w:pPr>
                                  <w:rPr>
                                    <w:b/>
                                    <w:sz w:val="32"/>
                                  </w:rPr>
                                </w:pPr>
                                <w:r w:rsidRPr="004C5CCC">
                                  <w:rPr>
                                    <w:b/>
                                    <w:sz w:val="32"/>
                                  </w:rPr>
                                  <w:t>A</w:t>
                                </w:r>
                              </w:p>
                            </w:txbxContent>
                          </wps:txbx>
                          <wps:bodyPr rot="0" vert="horz" wrap="square" lIns="91440" tIns="45720" rIns="91440" bIns="45720" anchor="t" anchorCtr="0">
                            <a:noAutofit/>
                          </wps:bodyPr>
                        </wps:wsp>
                        <wps:wsp>
                          <wps:cNvPr id="55"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006084B9" w14:textId="77777777" w:rsidR="00B12B6F" w:rsidRPr="004C5CCC" w:rsidRDefault="00B12B6F" w:rsidP="00B12B6F">
                                <w:pPr>
                                  <w:rPr>
                                    <w:b/>
                                    <w:sz w:val="32"/>
                                  </w:rPr>
                                </w:pPr>
                                <w:r>
                                  <w:rPr>
                                    <w:b/>
                                    <w:sz w:val="32"/>
                                  </w:rPr>
                                  <w:t>B</w:t>
                                </w:r>
                              </w:p>
                            </w:txbxContent>
                          </wps:txbx>
                          <wps:bodyPr rot="0" vert="horz" wrap="square" lIns="91440" tIns="45720" rIns="91440" bIns="45720" anchor="t" anchorCtr="0">
                            <a:noAutofit/>
                          </wps:bodyPr>
                        </wps:wsp>
                        <wps:wsp>
                          <wps:cNvPr id="56"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14:paraId="02B80423" w14:textId="77777777" w:rsidR="00B12B6F" w:rsidRPr="004C5CCC" w:rsidRDefault="00B12B6F" w:rsidP="00B12B6F">
                                <w:pPr>
                                  <w:rPr>
                                    <w:b/>
                                    <w:sz w:val="32"/>
                                  </w:rPr>
                                </w:pPr>
                                <w:r>
                                  <w:rPr>
                                    <w:b/>
                                    <w:sz w:val="32"/>
                                  </w:rPr>
                                  <w:t>C</w:t>
                                </w:r>
                              </w:p>
                            </w:txbxContent>
                          </wps:txbx>
                          <wps:bodyPr rot="0" vert="horz" wrap="square" lIns="91440" tIns="45720" rIns="91440" bIns="45720" anchor="t" anchorCtr="0">
                            <a:noAutofit/>
                          </wps:bodyPr>
                        </wps:wsp>
                        <wps:wsp>
                          <wps:cNvPr id="57" name="Text Box 2"/>
                          <wps:cNvSpPr txBox="1">
                            <a:spLocks noChangeArrowheads="1"/>
                          </wps:cNvSpPr>
                          <wps:spPr bwMode="auto">
                            <a:xfrm>
                              <a:off x="2167653" y="1432955"/>
                              <a:ext cx="302342" cy="309716"/>
                            </a:xfrm>
                            <a:prstGeom prst="rect">
                              <a:avLst/>
                            </a:prstGeom>
                            <a:noFill/>
                            <a:ln w="9525">
                              <a:noFill/>
                              <a:miter lim="800000"/>
                              <a:headEnd/>
                              <a:tailEnd/>
                            </a:ln>
                          </wps:spPr>
                          <wps:txbx>
                            <w:txbxContent>
                              <w:p w14:paraId="16914161" w14:textId="77777777" w:rsidR="00B12B6F" w:rsidRPr="004C5CCC" w:rsidRDefault="00B12B6F" w:rsidP="00B12B6F">
                                <w:pPr>
                                  <w:rPr>
                                    <w:b/>
                                    <w:sz w:val="32"/>
                                  </w:rPr>
                                </w:pPr>
                                <w:r>
                                  <w:rPr>
                                    <w:b/>
                                    <w:sz w:val="32"/>
                                  </w:rPr>
                                  <w:t>D</w:t>
                                </w:r>
                              </w:p>
                            </w:txbxContent>
                          </wps:txbx>
                          <wps:bodyPr rot="0" vert="horz" wrap="square" lIns="91440" tIns="45720" rIns="91440" bIns="45720" anchor="t" anchorCtr="0">
                            <a:noAutofit/>
                          </wps:bodyPr>
                        </wps:wsp>
                      </wpg:grpSp>
                      <wps:wsp>
                        <wps:cNvPr id="58" name="Text Box 2"/>
                        <wps:cNvSpPr txBox="1">
                          <a:spLocks noChangeArrowheads="1"/>
                        </wps:cNvSpPr>
                        <wps:spPr bwMode="auto">
                          <a:xfrm>
                            <a:off x="4121550" y="0"/>
                            <a:ext cx="302296" cy="309716"/>
                          </a:xfrm>
                          <a:prstGeom prst="rect">
                            <a:avLst/>
                          </a:prstGeom>
                          <a:noFill/>
                          <a:ln w="9525">
                            <a:noFill/>
                            <a:miter lim="800000"/>
                            <a:headEnd/>
                            <a:tailEnd/>
                          </a:ln>
                        </wps:spPr>
                        <wps:txbx>
                          <w:txbxContent>
                            <w:p w14:paraId="720C9E03" w14:textId="77777777" w:rsidR="00B12B6F" w:rsidRPr="004C5CCC" w:rsidRDefault="00B12B6F" w:rsidP="00B12B6F">
                              <w:pPr>
                                <w:rPr>
                                  <w:b/>
                                  <w:sz w:val="32"/>
                                </w:rPr>
                              </w:pPr>
                              <w:r>
                                <w:rPr>
                                  <w:b/>
                                  <w:sz w:val="32"/>
                                </w:rPr>
                                <w:t>E</w:t>
                              </w:r>
                            </w:p>
                          </w:txbxContent>
                        </wps:txbx>
                        <wps:bodyPr rot="0" vert="horz" wrap="square" lIns="91440" tIns="45720" rIns="91440" bIns="45720" anchor="t" anchorCtr="0">
                          <a:noAutofit/>
                        </wps:bodyPr>
                      </wps:wsp>
                      <wps:wsp>
                        <wps:cNvPr id="62" name="Text Box 2"/>
                        <wps:cNvSpPr txBox="1">
                          <a:spLocks noChangeArrowheads="1"/>
                        </wps:cNvSpPr>
                        <wps:spPr bwMode="auto">
                          <a:xfrm>
                            <a:off x="4121560" y="1430600"/>
                            <a:ext cx="302296" cy="309716"/>
                          </a:xfrm>
                          <a:prstGeom prst="rect">
                            <a:avLst/>
                          </a:prstGeom>
                          <a:noFill/>
                          <a:ln w="9525">
                            <a:noFill/>
                            <a:miter lim="800000"/>
                            <a:headEnd/>
                            <a:tailEnd/>
                          </a:ln>
                        </wps:spPr>
                        <wps:txbx>
                          <w:txbxContent>
                            <w:p w14:paraId="2CAC2338" w14:textId="77777777" w:rsidR="00B12B6F" w:rsidRPr="004C5CCC" w:rsidRDefault="00B12B6F" w:rsidP="00B12B6F">
                              <w:pPr>
                                <w:rPr>
                                  <w:b/>
                                  <w:sz w:val="32"/>
                                </w:rPr>
                              </w:pPr>
                              <w:r>
                                <w:rPr>
                                  <w:b/>
                                  <w:sz w:val="32"/>
                                </w:rPr>
                                <w:t>F</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5A3E59" id="Group 52" o:spid="_x0000_s1044" style="position:absolute;left:0;text-align:left;margin-left:17.25pt;margin-top:218.95pt;width:348.35pt;height:200.7pt;z-index:251695104;mso-width-relative:margin;mso-height-relative:margin" coordsize="44238,17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">
                <v:group id="Group 53" o:spid="_x0000_s1045" style="position:absolute;width:24699;height:17426" coordsize="24699,1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2" o:spid="_x0000_s1046"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73E96E37" w14:textId="77777777" w:rsidR="00B12B6F" w:rsidRPr="004C5CCC" w:rsidRDefault="00B12B6F" w:rsidP="00B12B6F">
                          <w:pPr>
                            <w:rPr>
                              <w:b/>
                              <w:sz w:val="32"/>
                            </w:rPr>
                          </w:pPr>
                          <w:r w:rsidRPr="004C5CCC">
                            <w:rPr>
                              <w:b/>
                              <w:sz w:val="32"/>
                            </w:rPr>
                            <w:t>A</w:t>
                          </w:r>
                        </w:p>
                      </w:txbxContent>
                    </v:textbox>
                  </v:shape>
                  <v:shape id="Text Box 2" o:spid="_x0000_s1047"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06084B9" w14:textId="77777777" w:rsidR="00B12B6F" w:rsidRPr="004C5CCC" w:rsidRDefault="00B12B6F" w:rsidP="00B12B6F">
                          <w:pPr>
                            <w:rPr>
                              <w:b/>
                              <w:sz w:val="32"/>
                            </w:rPr>
                          </w:pPr>
                          <w:r>
                            <w:rPr>
                              <w:b/>
                              <w:sz w:val="32"/>
                            </w:rPr>
                            <w:t>B</w:t>
                          </w:r>
                        </w:p>
                      </w:txbxContent>
                    </v:textbox>
                  </v:shape>
                  <v:shape id="Text Box 2" o:spid="_x0000_s1048"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2B80423" w14:textId="77777777" w:rsidR="00B12B6F" w:rsidRPr="004C5CCC" w:rsidRDefault="00B12B6F" w:rsidP="00B12B6F">
                          <w:pPr>
                            <w:rPr>
                              <w:b/>
                              <w:sz w:val="32"/>
                            </w:rPr>
                          </w:pPr>
                          <w:r>
                            <w:rPr>
                              <w:b/>
                              <w:sz w:val="32"/>
                            </w:rPr>
                            <w:t>C</w:t>
                          </w:r>
                        </w:p>
                      </w:txbxContent>
                    </v:textbox>
                  </v:shape>
                  <v:shape id="Text Box 2" o:spid="_x0000_s1049" type="#_x0000_t202" style="position:absolute;left:21676;top:14329;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6914161" w14:textId="77777777" w:rsidR="00B12B6F" w:rsidRPr="004C5CCC" w:rsidRDefault="00B12B6F" w:rsidP="00B12B6F">
                          <w:pPr>
                            <w:rPr>
                              <w:b/>
                              <w:sz w:val="32"/>
                            </w:rPr>
                          </w:pPr>
                          <w:r>
                            <w:rPr>
                              <w:b/>
                              <w:sz w:val="32"/>
                            </w:rPr>
                            <w:t>D</w:t>
                          </w:r>
                        </w:p>
                      </w:txbxContent>
                    </v:textbox>
                  </v:shape>
                </v:group>
                <v:shape id="Text Box 2" o:spid="_x0000_s1050" type="#_x0000_t202" style="position:absolute;left:41215;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20C9E03" w14:textId="77777777" w:rsidR="00B12B6F" w:rsidRPr="004C5CCC" w:rsidRDefault="00B12B6F" w:rsidP="00B12B6F">
                        <w:pPr>
                          <w:rPr>
                            <w:b/>
                            <w:sz w:val="32"/>
                          </w:rPr>
                        </w:pPr>
                        <w:r>
                          <w:rPr>
                            <w:b/>
                            <w:sz w:val="32"/>
                          </w:rPr>
                          <w:t>E</w:t>
                        </w:r>
                      </w:p>
                    </w:txbxContent>
                  </v:textbox>
                </v:shape>
                <v:shape id="Text Box 2" o:spid="_x0000_s1051" type="#_x0000_t202" style="position:absolute;left:41215;top:14306;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CAC2338" w14:textId="77777777" w:rsidR="00B12B6F" w:rsidRPr="004C5CCC" w:rsidRDefault="00B12B6F" w:rsidP="00B12B6F">
                        <w:pPr>
                          <w:rPr>
                            <w:b/>
                            <w:sz w:val="32"/>
                          </w:rPr>
                        </w:pPr>
                        <w:r>
                          <w:rPr>
                            <w:b/>
                            <w:sz w:val="32"/>
                          </w:rPr>
                          <w:t>F</w:t>
                        </w:r>
                      </w:p>
                    </w:txbxContent>
                  </v:textbox>
                </v:shape>
              </v:group>
            </w:pict>
          </mc:Fallback>
        </mc:AlternateContent>
      </w:r>
    </w:p>
    <w:sectPr w:rsidR="00BD4A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Lakes" w:date="2019-08-09T14:39:00Z" w:initials="ALL">
    <w:p w14:paraId="24979B1C" w14:textId="0CCA6E68" w:rsidR="009F2E17" w:rsidRDefault="009F2E17">
      <w:pPr>
        <w:pStyle w:val="CommentText"/>
      </w:pPr>
      <w:r>
        <w:rPr>
          <w:rStyle w:val="CommentReference"/>
        </w:rPr>
        <w:annotationRef/>
      </w:r>
      <w:r>
        <w:t>Who else?</w:t>
      </w:r>
    </w:p>
  </w:comment>
  <w:comment w:id="2" w:author="Andrew Lakes" w:date="2019-08-07T17:38:00Z" w:initials="ALL">
    <w:p w14:paraId="1ECD64CD" w14:textId="4B50FEAE" w:rsidR="00F07D79" w:rsidRDefault="00F07D79" w:rsidP="00F07D79">
      <w:pPr>
        <w:pStyle w:val="CommentText"/>
      </w:pPr>
      <w:r>
        <w:rPr>
          <w:rStyle w:val="CommentReference"/>
        </w:rPr>
        <w:annotationRef/>
      </w:r>
      <w:r>
        <w:t xml:space="preserve">Can’t find any protein-Ac-225 dose toxicity in humans! </w:t>
      </w:r>
      <w:r w:rsidR="00D11B38">
        <w:t xml:space="preserve">There are 2 </w:t>
      </w:r>
      <w:r>
        <w:t>clinical trials in ‘Blood” journal, but can’t</w:t>
      </w:r>
      <w:r w:rsidR="00D11B38">
        <w:t xml:space="preserve"> get</w:t>
      </w:r>
      <w:r>
        <w:t xml:space="preserve">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979B1C" w15:done="0"/>
  <w15:commentEx w15:paraId="1ECD64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B5BC9"/>
    <w:multiLevelType w:val="hybridMultilevel"/>
    <w:tmpl w:val="C6067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36148"/>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B6F5F"/>
    <w:rsid w:val="000D0FA8"/>
    <w:rsid w:val="000E016E"/>
    <w:rsid w:val="000E31FA"/>
    <w:rsid w:val="000E698C"/>
    <w:rsid w:val="000F047C"/>
    <w:rsid w:val="000F7A45"/>
    <w:rsid w:val="00101D64"/>
    <w:rsid w:val="00112CFC"/>
    <w:rsid w:val="00113F18"/>
    <w:rsid w:val="001217CD"/>
    <w:rsid w:val="001241BF"/>
    <w:rsid w:val="0013203E"/>
    <w:rsid w:val="00137814"/>
    <w:rsid w:val="001400E2"/>
    <w:rsid w:val="00143FE0"/>
    <w:rsid w:val="00153388"/>
    <w:rsid w:val="0015344D"/>
    <w:rsid w:val="00155432"/>
    <w:rsid w:val="00165CD1"/>
    <w:rsid w:val="00166AF1"/>
    <w:rsid w:val="001707AE"/>
    <w:rsid w:val="0018208F"/>
    <w:rsid w:val="00186DD6"/>
    <w:rsid w:val="001A49A2"/>
    <w:rsid w:val="001B0AFB"/>
    <w:rsid w:val="001B6560"/>
    <w:rsid w:val="001C20EC"/>
    <w:rsid w:val="001C51D0"/>
    <w:rsid w:val="001D1790"/>
    <w:rsid w:val="001D1FE5"/>
    <w:rsid w:val="001D3824"/>
    <w:rsid w:val="001D4AE3"/>
    <w:rsid w:val="001E75F4"/>
    <w:rsid w:val="001F39F7"/>
    <w:rsid w:val="00216BD7"/>
    <w:rsid w:val="00223A76"/>
    <w:rsid w:val="00237E06"/>
    <w:rsid w:val="00241575"/>
    <w:rsid w:val="0024309C"/>
    <w:rsid w:val="002443D0"/>
    <w:rsid w:val="002474C9"/>
    <w:rsid w:val="0025243C"/>
    <w:rsid w:val="0025683D"/>
    <w:rsid w:val="0026230D"/>
    <w:rsid w:val="00270D54"/>
    <w:rsid w:val="00272FF3"/>
    <w:rsid w:val="00276FC0"/>
    <w:rsid w:val="0029181E"/>
    <w:rsid w:val="002929D8"/>
    <w:rsid w:val="002B6F29"/>
    <w:rsid w:val="002B762C"/>
    <w:rsid w:val="002C4963"/>
    <w:rsid w:val="002D5C08"/>
    <w:rsid w:val="002E414A"/>
    <w:rsid w:val="002E58D5"/>
    <w:rsid w:val="002E5D9D"/>
    <w:rsid w:val="002F0417"/>
    <w:rsid w:val="002F22B1"/>
    <w:rsid w:val="002F6861"/>
    <w:rsid w:val="00304F19"/>
    <w:rsid w:val="00320348"/>
    <w:rsid w:val="003217EB"/>
    <w:rsid w:val="0032342C"/>
    <w:rsid w:val="00323B3C"/>
    <w:rsid w:val="00327877"/>
    <w:rsid w:val="00336BF6"/>
    <w:rsid w:val="00342DE8"/>
    <w:rsid w:val="003547D8"/>
    <w:rsid w:val="0036025A"/>
    <w:rsid w:val="0036205C"/>
    <w:rsid w:val="00365116"/>
    <w:rsid w:val="003720E2"/>
    <w:rsid w:val="00374B2A"/>
    <w:rsid w:val="00374B7A"/>
    <w:rsid w:val="00381E10"/>
    <w:rsid w:val="00392D3F"/>
    <w:rsid w:val="003A1523"/>
    <w:rsid w:val="003A7DE3"/>
    <w:rsid w:val="003B3516"/>
    <w:rsid w:val="003C003F"/>
    <w:rsid w:val="003C0829"/>
    <w:rsid w:val="003C1E12"/>
    <w:rsid w:val="003C30A7"/>
    <w:rsid w:val="003E6AF1"/>
    <w:rsid w:val="003E6DF9"/>
    <w:rsid w:val="003E7C2E"/>
    <w:rsid w:val="003F08F5"/>
    <w:rsid w:val="003F1D71"/>
    <w:rsid w:val="003F2504"/>
    <w:rsid w:val="00411AC1"/>
    <w:rsid w:val="00413A2D"/>
    <w:rsid w:val="0042324E"/>
    <w:rsid w:val="0043194E"/>
    <w:rsid w:val="00432ECF"/>
    <w:rsid w:val="00433C44"/>
    <w:rsid w:val="00435035"/>
    <w:rsid w:val="00440054"/>
    <w:rsid w:val="00460E9F"/>
    <w:rsid w:val="00471ABD"/>
    <w:rsid w:val="00473E19"/>
    <w:rsid w:val="0048141A"/>
    <w:rsid w:val="00485645"/>
    <w:rsid w:val="00487510"/>
    <w:rsid w:val="004916D3"/>
    <w:rsid w:val="004B0392"/>
    <w:rsid w:val="004B408E"/>
    <w:rsid w:val="004C18BE"/>
    <w:rsid w:val="004C39CD"/>
    <w:rsid w:val="004C5CCC"/>
    <w:rsid w:val="004C76AA"/>
    <w:rsid w:val="004D0AE6"/>
    <w:rsid w:val="004E0487"/>
    <w:rsid w:val="004E642E"/>
    <w:rsid w:val="004F4292"/>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2C3"/>
    <w:rsid w:val="005A7BA4"/>
    <w:rsid w:val="005B569E"/>
    <w:rsid w:val="005C6C33"/>
    <w:rsid w:val="005D1022"/>
    <w:rsid w:val="005F1DCF"/>
    <w:rsid w:val="005F5EFB"/>
    <w:rsid w:val="005F772F"/>
    <w:rsid w:val="006012E3"/>
    <w:rsid w:val="006043F9"/>
    <w:rsid w:val="0062220D"/>
    <w:rsid w:val="00633C1F"/>
    <w:rsid w:val="006479C4"/>
    <w:rsid w:val="0065177D"/>
    <w:rsid w:val="00653A4E"/>
    <w:rsid w:val="00657B63"/>
    <w:rsid w:val="00662E68"/>
    <w:rsid w:val="00667620"/>
    <w:rsid w:val="006746F2"/>
    <w:rsid w:val="00677A09"/>
    <w:rsid w:val="00681DC6"/>
    <w:rsid w:val="00682DA9"/>
    <w:rsid w:val="006834E6"/>
    <w:rsid w:val="00687C85"/>
    <w:rsid w:val="00690B7B"/>
    <w:rsid w:val="006A1879"/>
    <w:rsid w:val="006B024D"/>
    <w:rsid w:val="006C1847"/>
    <w:rsid w:val="006C7A50"/>
    <w:rsid w:val="00706049"/>
    <w:rsid w:val="00722B68"/>
    <w:rsid w:val="00724596"/>
    <w:rsid w:val="00732CA3"/>
    <w:rsid w:val="00734679"/>
    <w:rsid w:val="0073529E"/>
    <w:rsid w:val="0074554B"/>
    <w:rsid w:val="007565E7"/>
    <w:rsid w:val="00764326"/>
    <w:rsid w:val="00765788"/>
    <w:rsid w:val="007705DF"/>
    <w:rsid w:val="00782A95"/>
    <w:rsid w:val="00782E1D"/>
    <w:rsid w:val="00787894"/>
    <w:rsid w:val="0079558C"/>
    <w:rsid w:val="0079797F"/>
    <w:rsid w:val="007A00B2"/>
    <w:rsid w:val="007A5FC4"/>
    <w:rsid w:val="007B016F"/>
    <w:rsid w:val="007C120E"/>
    <w:rsid w:val="007C360F"/>
    <w:rsid w:val="007C435E"/>
    <w:rsid w:val="007C5A41"/>
    <w:rsid w:val="007C7F6E"/>
    <w:rsid w:val="007E09D5"/>
    <w:rsid w:val="007E3A6C"/>
    <w:rsid w:val="007E6034"/>
    <w:rsid w:val="007F2318"/>
    <w:rsid w:val="00800C45"/>
    <w:rsid w:val="00803EB3"/>
    <w:rsid w:val="00804805"/>
    <w:rsid w:val="00810AA5"/>
    <w:rsid w:val="0081506B"/>
    <w:rsid w:val="00827A42"/>
    <w:rsid w:val="00831AD2"/>
    <w:rsid w:val="00841B05"/>
    <w:rsid w:val="008441E3"/>
    <w:rsid w:val="00861B35"/>
    <w:rsid w:val="0086594B"/>
    <w:rsid w:val="0087472C"/>
    <w:rsid w:val="008806D1"/>
    <w:rsid w:val="008807CD"/>
    <w:rsid w:val="00883B0B"/>
    <w:rsid w:val="0089058B"/>
    <w:rsid w:val="00896D09"/>
    <w:rsid w:val="008A3CE1"/>
    <w:rsid w:val="008A44CF"/>
    <w:rsid w:val="008A6021"/>
    <w:rsid w:val="008B176F"/>
    <w:rsid w:val="008B1A72"/>
    <w:rsid w:val="008B1E20"/>
    <w:rsid w:val="008B6689"/>
    <w:rsid w:val="008C03B5"/>
    <w:rsid w:val="008C18C0"/>
    <w:rsid w:val="008C67B8"/>
    <w:rsid w:val="008C7A7C"/>
    <w:rsid w:val="008C7C57"/>
    <w:rsid w:val="008D6E74"/>
    <w:rsid w:val="008E4DE5"/>
    <w:rsid w:val="008E62EB"/>
    <w:rsid w:val="008F235B"/>
    <w:rsid w:val="008F53BE"/>
    <w:rsid w:val="008F6E8B"/>
    <w:rsid w:val="009079E2"/>
    <w:rsid w:val="009203D7"/>
    <w:rsid w:val="00923F38"/>
    <w:rsid w:val="009245E6"/>
    <w:rsid w:val="009273B0"/>
    <w:rsid w:val="00936059"/>
    <w:rsid w:val="00941069"/>
    <w:rsid w:val="009453BF"/>
    <w:rsid w:val="009651F3"/>
    <w:rsid w:val="009652AA"/>
    <w:rsid w:val="00965420"/>
    <w:rsid w:val="009770CC"/>
    <w:rsid w:val="00980995"/>
    <w:rsid w:val="00980AF2"/>
    <w:rsid w:val="009874E9"/>
    <w:rsid w:val="009A22CF"/>
    <w:rsid w:val="009A685C"/>
    <w:rsid w:val="009B3AF2"/>
    <w:rsid w:val="009B5463"/>
    <w:rsid w:val="009B57A8"/>
    <w:rsid w:val="009D1E4D"/>
    <w:rsid w:val="009D3005"/>
    <w:rsid w:val="009D74FB"/>
    <w:rsid w:val="009E563F"/>
    <w:rsid w:val="009E5990"/>
    <w:rsid w:val="009E5B8D"/>
    <w:rsid w:val="009F2E17"/>
    <w:rsid w:val="00A24E78"/>
    <w:rsid w:val="00A44F90"/>
    <w:rsid w:val="00A463C7"/>
    <w:rsid w:val="00A55255"/>
    <w:rsid w:val="00A845F5"/>
    <w:rsid w:val="00A8495A"/>
    <w:rsid w:val="00AA204C"/>
    <w:rsid w:val="00AA4237"/>
    <w:rsid w:val="00AA5D27"/>
    <w:rsid w:val="00AC1ED2"/>
    <w:rsid w:val="00AD2DFE"/>
    <w:rsid w:val="00AE7BB9"/>
    <w:rsid w:val="00AF2AE9"/>
    <w:rsid w:val="00AF6DC9"/>
    <w:rsid w:val="00B016A1"/>
    <w:rsid w:val="00B06003"/>
    <w:rsid w:val="00B07E3D"/>
    <w:rsid w:val="00B12B6F"/>
    <w:rsid w:val="00B13C8F"/>
    <w:rsid w:val="00B22585"/>
    <w:rsid w:val="00B23001"/>
    <w:rsid w:val="00B230B2"/>
    <w:rsid w:val="00B241CF"/>
    <w:rsid w:val="00B303C7"/>
    <w:rsid w:val="00B33CDB"/>
    <w:rsid w:val="00B41D32"/>
    <w:rsid w:val="00B45EF9"/>
    <w:rsid w:val="00B51AEF"/>
    <w:rsid w:val="00B535CB"/>
    <w:rsid w:val="00B553A6"/>
    <w:rsid w:val="00B56B08"/>
    <w:rsid w:val="00B614C6"/>
    <w:rsid w:val="00B64C11"/>
    <w:rsid w:val="00B71CFF"/>
    <w:rsid w:val="00B721EB"/>
    <w:rsid w:val="00B86CAB"/>
    <w:rsid w:val="00B871F3"/>
    <w:rsid w:val="00B9671C"/>
    <w:rsid w:val="00BA53AD"/>
    <w:rsid w:val="00BB0C69"/>
    <w:rsid w:val="00BB313B"/>
    <w:rsid w:val="00BC0E45"/>
    <w:rsid w:val="00BD2433"/>
    <w:rsid w:val="00BD4A53"/>
    <w:rsid w:val="00BE10C4"/>
    <w:rsid w:val="00BE3D23"/>
    <w:rsid w:val="00BE4B84"/>
    <w:rsid w:val="00BF439E"/>
    <w:rsid w:val="00BF46D0"/>
    <w:rsid w:val="00BF4891"/>
    <w:rsid w:val="00BF5AB7"/>
    <w:rsid w:val="00C026AE"/>
    <w:rsid w:val="00C06710"/>
    <w:rsid w:val="00C12BBB"/>
    <w:rsid w:val="00C16D83"/>
    <w:rsid w:val="00C2163A"/>
    <w:rsid w:val="00C25F05"/>
    <w:rsid w:val="00C351F1"/>
    <w:rsid w:val="00C37B98"/>
    <w:rsid w:val="00C51721"/>
    <w:rsid w:val="00C53CAB"/>
    <w:rsid w:val="00C609DD"/>
    <w:rsid w:val="00C61142"/>
    <w:rsid w:val="00C6542C"/>
    <w:rsid w:val="00C66364"/>
    <w:rsid w:val="00C73F8F"/>
    <w:rsid w:val="00C74806"/>
    <w:rsid w:val="00C769C3"/>
    <w:rsid w:val="00C81EF2"/>
    <w:rsid w:val="00C84139"/>
    <w:rsid w:val="00C868B0"/>
    <w:rsid w:val="00C875BC"/>
    <w:rsid w:val="00C90718"/>
    <w:rsid w:val="00C91C83"/>
    <w:rsid w:val="00C96069"/>
    <w:rsid w:val="00CA2C43"/>
    <w:rsid w:val="00CB6D0D"/>
    <w:rsid w:val="00CC1637"/>
    <w:rsid w:val="00CC6756"/>
    <w:rsid w:val="00CC765A"/>
    <w:rsid w:val="00CD0614"/>
    <w:rsid w:val="00CD322C"/>
    <w:rsid w:val="00CD51B3"/>
    <w:rsid w:val="00CD587F"/>
    <w:rsid w:val="00CD6374"/>
    <w:rsid w:val="00CE02B6"/>
    <w:rsid w:val="00CF2B00"/>
    <w:rsid w:val="00CF3C1B"/>
    <w:rsid w:val="00D04A6D"/>
    <w:rsid w:val="00D05504"/>
    <w:rsid w:val="00D071E3"/>
    <w:rsid w:val="00D107CF"/>
    <w:rsid w:val="00D11B38"/>
    <w:rsid w:val="00D22BF5"/>
    <w:rsid w:val="00D274B8"/>
    <w:rsid w:val="00D35BF6"/>
    <w:rsid w:val="00D3784A"/>
    <w:rsid w:val="00D409AF"/>
    <w:rsid w:val="00D42F03"/>
    <w:rsid w:val="00D50A9D"/>
    <w:rsid w:val="00D72D66"/>
    <w:rsid w:val="00DB6C0A"/>
    <w:rsid w:val="00DC30DE"/>
    <w:rsid w:val="00DC4322"/>
    <w:rsid w:val="00DC487F"/>
    <w:rsid w:val="00DC4DD3"/>
    <w:rsid w:val="00DC6246"/>
    <w:rsid w:val="00DC66B7"/>
    <w:rsid w:val="00DC7C22"/>
    <w:rsid w:val="00DE4F74"/>
    <w:rsid w:val="00DE5901"/>
    <w:rsid w:val="00DE5EED"/>
    <w:rsid w:val="00DF21AC"/>
    <w:rsid w:val="00E15D12"/>
    <w:rsid w:val="00E2330E"/>
    <w:rsid w:val="00E26EAB"/>
    <w:rsid w:val="00E42290"/>
    <w:rsid w:val="00E507F2"/>
    <w:rsid w:val="00E63FA2"/>
    <w:rsid w:val="00E74ACE"/>
    <w:rsid w:val="00E81A3A"/>
    <w:rsid w:val="00E87AE7"/>
    <w:rsid w:val="00E91DBE"/>
    <w:rsid w:val="00E922DD"/>
    <w:rsid w:val="00E92E61"/>
    <w:rsid w:val="00E95790"/>
    <w:rsid w:val="00E965F7"/>
    <w:rsid w:val="00EB2525"/>
    <w:rsid w:val="00EB5409"/>
    <w:rsid w:val="00EC658F"/>
    <w:rsid w:val="00ED2EB5"/>
    <w:rsid w:val="00EE3F64"/>
    <w:rsid w:val="00EF6630"/>
    <w:rsid w:val="00F053C3"/>
    <w:rsid w:val="00F05C62"/>
    <w:rsid w:val="00F07D79"/>
    <w:rsid w:val="00F17823"/>
    <w:rsid w:val="00F218B4"/>
    <w:rsid w:val="00F22CC2"/>
    <w:rsid w:val="00F235DC"/>
    <w:rsid w:val="00F32DFA"/>
    <w:rsid w:val="00F340EB"/>
    <w:rsid w:val="00F360BB"/>
    <w:rsid w:val="00F419C4"/>
    <w:rsid w:val="00F42A11"/>
    <w:rsid w:val="00F54B35"/>
    <w:rsid w:val="00F66D21"/>
    <w:rsid w:val="00F70C61"/>
    <w:rsid w:val="00F802DD"/>
    <w:rsid w:val="00F859D9"/>
    <w:rsid w:val="00F95432"/>
    <w:rsid w:val="00FA44E4"/>
    <w:rsid w:val="00FB11F2"/>
    <w:rsid w:val="00FB1FE2"/>
    <w:rsid w:val="00FB3CD8"/>
    <w:rsid w:val="00FB4FF0"/>
    <w:rsid w:val="00FB58CC"/>
    <w:rsid w:val="00FC4EE4"/>
    <w:rsid w:val="00FD13C2"/>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jabergel@lbl.go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ndrewllakes@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0A5A3-68F3-477E-9E79-4848C69C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36</Pages>
  <Words>20930</Words>
  <Characters>119304</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85</cp:revision>
  <dcterms:created xsi:type="dcterms:W3CDTF">2019-08-06T17:50:00Z</dcterms:created>
  <dcterms:modified xsi:type="dcterms:W3CDTF">2019-08-09T19:39:00Z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