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EF85A" w14:textId="77777777" w:rsidR="006C7B3D" w:rsidRDefault="006C7B3D" w:rsidP="006C7B3D">
      <w:pPr>
        <w:pStyle w:val="TableTitle"/>
      </w:pPr>
      <w:r w:rsidRPr="003651D7">
        <w:t>Table</w:t>
      </w:r>
      <w:r>
        <w:t xml:space="preserve"> 2</w:t>
      </w:r>
      <w:r w:rsidRPr="003651D7">
        <w:t>.</w:t>
      </w:r>
      <w:r>
        <w:t xml:space="preserve"> </w:t>
      </w:r>
      <w:r w:rsidRPr="0007683B">
        <w:rPr>
          <w:b w:val="0"/>
        </w:rPr>
        <w:t xml:space="preserve">Study Design for Accelerator-Produced Ac-225 </w:t>
      </w:r>
      <w:proofErr w:type="spellStart"/>
      <w:r w:rsidRPr="0007683B">
        <w:rPr>
          <w:b w:val="0"/>
        </w:rPr>
        <w:t>Biokinetic</w:t>
      </w:r>
      <w:proofErr w:type="spellEnd"/>
      <w:r w:rsidRPr="0007683B">
        <w:rPr>
          <w:b w:val="0"/>
        </w:rPr>
        <w:t xml:space="preserve">/Toxicity Evaluation in Female </w:t>
      </w:r>
      <w:r>
        <w:rPr>
          <w:b w:val="0"/>
        </w:rPr>
        <w:t>Swiss-Webster</w:t>
      </w:r>
      <w:r w:rsidRPr="0007683B">
        <w:rPr>
          <w:b w:val="0"/>
        </w:rPr>
        <w:t xml:space="preserve"> </w:t>
      </w:r>
      <w:proofErr w:type="spellStart"/>
      <w:r w:rsidRPr="0007683B">
        <w:rPr>
          <w:b w:val="0"/>
        </w:rPr>
        <w:t>Mice.</w:t>
      </w:r>
      <w:r w:rsidRPr="0007683B">
        <w:rPr>
          <w:b w:val="0"/>
          <w:vertAlign w:val="superscript"/>
        </w:rPr>
        <w:t>a</w:t>
      </w:r>
      <w:proofErr w:type="spellEnd"/>
    </w:p>
    <w:p w14:paraId="457A4313" w14:textId="77777777" w:rsidR="006C7B3D" w:rsidRPr="004F3CB2" w:rsidRDefault="006C7B3D" w:rsidP="006C7B3D">
      <w:pPr>
        <w:pStyle w:val="ReportTab"/>
        <w:tabs>
          <w:tab w:val="clear" w:pos="4320"/>
          <w:tab w:val="left" w:pos="2880"/>
        </w:tabs>
        <w:spacing w:after="0"/>
        <w:ind w:left="0" w:firstLine="0"/>
      </w:pPr>
      <w:r>
        <w:t xml:space="preserve">Injection dose </w:t>
      </w:r>
      <w:proofErr w:type="spellStart"/>
      <w:r>
        <w:t>level</w:t>
      </w:r>
      <w:r w:rsidRPr="0036314F">
        <w:rPr>
          <w:i/>
          <w:vertAlign w:val="superscript"/>
        </w:rPr>
        <w:t>a</w:t>
      </w:r>
      <w:proofErr w:type="spellEnd"/>
      <w:r w:rsidRPr="004F3CB2">
        <w:t>:</w:t>
      </w:r>
      <w:r w:rsidRPr="004F3CB2">
        <w:tab/>
      </w:r>
      <w:r>
        <w:t xml:space="preserve">Fixed at activities relevant to clinical applications (50 </w:t>
      </w:r>
      <w:proofErr w:type="spellStart"/>
      <w:r>
        <w:t>nCi</w:t>
      </w:r>
      <w:proofErr w:type="spellEnd"/>
      <w:r>
        <w:t>/animal)</w:t>
      </w:r>
    </w:p>
    <w:p w14:paraId="7E6C1A72" w14:textId="77777777" w:rsidR="006C7B3D" w:rsidRPr="004F3CB2" w:rsidRDefault="006C7B3D" w:rsidP="006C7B3D">
      <w:pPr>
        <w:pStyle w:val="ReportTab"/>
        <w:keepNext/>
        <w:tabs>
          <w:tab w:val="clear" w:pos="4320"/>
          <w:tab w:val="left" w:pos="2880"/>
        </w:tabs>
        <w:spacing w:after="0"/>
        <w:ind w:left="0" w:firstLine="0"/>
      </w:pPr>
      <w:r>
        <w:t>Euthanasia time</w:t>
      </w:r>
      <w:r w:rsidRPr="004F3CB2">
        <w:t>:</w:t>
      </w:r>
      <w:r w:rsidRPr="004F3CB2">
        <w:tab/>
      </w:r>
      <w:r>
        <w:t>Between 1 h and 10 d post-injection</w:t>
      </w:r>
    </w:p>
    <w:p w14:paraId="143F92DC" w14:textId="77777777" w:rsidR="006C7B3D" w:rsidRPr="004F3CB2" w:rsidRDefault="006C7B3D" w:rsidP="006C7B3D">
      <w:pPr>
        <w:pStyle w:val="ReportTab"/>
        <w:tabs>
          <w:tab w:val="clear" w:pos="4320"/>
          <w:tab w:val="left" w:pos="2880"/>
        </w:tabs>
        <w:spacing w:after="0"/>
        <w:ind w:left="0" w:firstLine="0"/>
      </w:pPr>
      <w:r>
        <w:t>Study d</w:t>
      </w:r>
      <w:r w:rsidRPr="004F3CB2">
        <w:t>uration:</w:t>
      </w:r>
      <w:r w:rsidRPr="004F3CB2">
        <w:tab/>
      </w:r>
      <w:r>
        <w:t>10 days, in-life</w:t>
      </w:r>
    </w:p>
    <w:p w14:paraId="65F1B6BF" w14:textId="77777777" w:rsidR="006C7B3D" w:rsidRDefault="006C7B3D" w:rsidP="006C7B3D"/>
    <w:tbl>
      <w:tblPr>
        <w:tblStyle w:val="TableGrid2"/>
        <w:tblW w:w="1296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90"/>
        <w:gridCol w:w="990"/>
        <w:gridCol w:w="900"/>
        <w:gridCol w:w="990"/>
        <w:gridCol w:w="1620"/>
        <w:gridCol w:w="1530"/>
        <w:gridCol w:w="1260"/>
        <w:gridCol w:w="1530"/>
        <w:gridCol w:w="1440"/>
        <w:gridCol w:w="1710"/>
      </w:tblGrid>
      <w:tr w:rsidR="006C7B3D" w:rsidRPr="00495B26" w14:paraId="3F822A3A" w14:textId="77777777" w:rsidTr="009136A3">
        <w:trPr>
          <w:trHeight w:val="20"/>
          <w:jc w:val="center"/>
        </w:trPr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FC9967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495B26">
              <w:rPr>
                <w:rFonts w:ascii="Arial" w:hAnsi="Arial"/>
                <w:b/>
                <w:sz w:val="16"/>
                <w:szCs w:val="16"/>
              </w:rPr>
              <w:t>Group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995B9FD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#</w:t>
            </w:r>
            <w:r w:rsidRPr="00495B26">
              <w:rPr>
                <w:rFonts w:ascii="Arial" w:hAnsi="Arial"/>
                <w:b/>
                <w:sz w:val="16"/>
                <w:szCs w:val="16"/>
              </w:rPr>
              <w:t>Animals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0D1A3E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Injection</w:t>
            </w:r>
            <w:r w:rsidRPr="00495B26">
              <w:rPr>
                <w:rFonts w:ascii="Arial" w:hAnsi="Arial"/>
                <w:b/>
                <w:sz w:val="16"/>
                <w:szCs w:val="16"/>
              </w:rPr>
              <w:t xml:space="preserve"> Time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B4959E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495B26">
              <w:rPr>
                <w:rFonts w:ascii="Arial" w:hAnsi="Arial"/>
                <w:b/>
                <w:sz w:val="16"/>
                <w:szCs w:val="16"/>
              </w:rPr>
              <w:t>Necropsy Time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07DC80C1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495B26">
              <w:rPr>
                <w:rFonts w:ascii="Arial" w:hAnsi="Arial"/>
                <w:b/>
                <w:sz w:val="16"/>
                <w:szCs w:val="16"/>
              </w:rPr>
              <w:t>Ac Chemical Form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4421FE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495B26">
              <w:rPr>
                <w:rFonts w:ascii="Arial" w:hAnsi="Arial"/>
                <w:b/>
                <w:sz w:val="16"/>
                <w:szCs w:val="16"/>
              </w:rPr>
              <w:t>Total Activity Concentration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1DD8C863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495B26">
              <w:rPr>
                <w:rFonts w:ascii="Arial" w:hAnsi="Arial"/>
                <w:b/>
                <w:sz w:val="16"/>
                <w:szCs w:val="16"/>
                <w:vertAlign w:val="superscript"/>
              </w:rPr>
              <w:t>225</w:t>
            </w:r>
            <w:r w:rsidRPr="00495B26">
              <w:rPr>
                <w:rFonts w:ascii="Arial" w:hAnsi="Arial"/>
                <w:b/>
                <w:sz w:val="16"/>
                <w:szCs w:val="16"/>
              </w:rPr>
              <w:t xml:space="preserve">Ac Molar </w:t>
            </w:r>
            <w:proofErr w:type="spellStart"/>
            <w:r w:rsidRPr="00495B26">
              <w:rPr>
                <w:rFonts w:ascii="Arial" w:hAnsi="Arial"/>
                <w:b/>
                <w:sz w:val="16"/>
                <w:szCs w:val="16"/>
              </w:rPr>
              <w:t>Concentration</w:t>
            </w:r>
            <w:r>
              <w:rPr>
                <w:rFonts w:ascii="Arial" w:hAnsi="Arial"/>
                <w:b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14:paraId="208C2E42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495B26">
              <w:rPr>
                <w:rFonts w:ascii="Arial" w:hAnsi="Arial"/>
                <w:b/>
                <w:sz w:val="16"/>
                <w:szCs w:val="16"/>
                <w:vertAlign w:val="superscript"/>
              </w:rPr>
              <w:t>227</w:t>
            </w:r>
            <w:r w:rsidRPr="00495B26">
              <w:rPr>
                <w:rFonts w:ascii="Arial" w:hAnsi="Arial"/>
                <w:b/>
                <w:sz w:val="16"/>
                <w:szCs w:val="16"/>
              </w:rPr>
              <w:t>Ac Molar Concentration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D76338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Injection</w:t>
            </w:r>
            <w:r w:rsidRPr="00495B26">
              <w:rPr>
                <w:rFonts w:ascii="Arial" w:hAnsi="Arial"/>
                <w:b/>
                <w:sz w:val="16"/>
                <w:szCs w:val="16"/>
              </w:rPr>
              <w:t xml:space="preserve"> Volume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</w:tcPr>
          <w:p w14:paraId="2E06373F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Injection</w:t>
            </w:r>
            <w:r w:rsidRPr="00495B26">
              <w:rPr>
                <w:rFonts w:ascii="Arial" w:hAnsi="Arial"/>
                <w:b/>
                <w:sz w:val="16"/>
                <w:szCs w:val="16"/>
              </w:rPr>
              <w:t xml:space="preserve"> Level per Animal (</w:t>
            </w:r>
            <w:r w:rsidRPr="00495B26">
              <w:rPr>
                <w:rFonts w:ascii="Arial" w:hAnsi="Arial"/>
                <w:b/>
                <w:sz w:val="16"/>
                <w:szCs w:val="16"/>
              </w:rPr>
              <w:sym w:font="Symbol" w:char="F06D"/>
            </w:r>
            <w:r w:rsidRPr="00495B26">
              <w:rPr>
                <w:rFonts w:ascii="Arial" w:hAnsi="Arial"/>
                <w:b/>
                <w:sz w:val="16"/>
                <w:szCs w:val="16"/>
              </w:rPr>
              <w:t>Ci)</w:t>
            </w:r>
          </w:p>
        </w:tc>
      </w:tr>
      <w:tr w:rsidR="006C7B3D" w:rsidRPr="00495B26" w14:paraId="259A3A51" w14:textId="77777777" w:rsidTr="009136A3">
        <w:trPr>
          <w:trHeight w:val="20"/>
          <w:jc w:val="center"/>
        </w:trPr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9AD1B4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Group 1</w:t>
            </w:r>
          </w:p>
        </w:tc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6BD009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3F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18EDF8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76E10F1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1 h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048CE331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IgG-DOTA </w:t>
            </w:r>
            <w:proofErr w:type="spellStart"/>
            <w:r w:rsidRPr="00495B26">
              <w:rPr>
                <w:rFonts w:ascii="Arial" w:hAnsi="Arial"/>
                <w:sz w:val="16"/>
                <w:szCs w:val="16"/>
              </w:rPr>
              <w:t>chelate</w:t>
            </w:r>
            <w:r w:rsidRPr="00495B26">
              <w:rPr>
                <w:rFonts w:ascii="Arial" w:hAnsi="Arial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F48906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 xml:space="preserve">0.25 </w:t>
            </w:r>
            <w:r w:rsidRPr="00495B26">
              <w:rPr>
                <w:rFonts w:ascii="Arial" w:hAnsi="Arial"/>
                <w:sz w:val="16"/>
                <w:szCs w:val="16"/>
              </w:rPr>
              <w:sym w:font="Symbol" w:char="F06D"/>
            </w:r>
            <w:r w:rsidRPr="00495B26">
              <w:rPr>
                <w:rFonts w:ascii="Arial" w:hAnsi="Arial"/>
                <w:sz w:val="16"/>
                <w:szCs w:val="16"/>
              </w:rPr>
              <w:t>Ci/mL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F3963D3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10.5</w:t>
            </w:r>
            <w:r w:rsidRPr="00495B2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p</w:t>
            </w:r>
            <w:r w:rsidRPr="00495B26">
              <w:rPr>
                <w:rFonts w:ascii="Arial" w:hAnsi="Arial"/>
                <w:sz w:val="16"/>
                <w:szCs w:val="16"/>
              </w:rPr>
              <w:t>M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7B77BC8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NA</w:t>
            </w:r>
          </w:p>
        </w:tc>
        <w:tc>
          <w:tcPr>
            <w:tcW w:w="144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14713D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0.2 mL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C48F2DF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0.05</w:t>
            </w:r>
          </w:p>
        </w:tc>
      </w:tr>
      <w:tr w:rsidR="006C7B3D" w:rsidRPr="00495B26" w14:paraId="2D52E046" w14:textId="77777777" w:rsidTr="009136A3">
        <w:trPr>
          <w:trHeight w:val="20"/>
          <w:jc w:val="center"/>
        </w:trPr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BBFF15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Group 2</w:t>
            </w:r>
          </w:p>
        </w:tc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35914F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3F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1464E1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6EFC22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4 h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ECB6982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IgG-DOTA </w:t>
            </w:r>
            <w:proofErr w:type="spellStart"/>
            <w:r w:rsidRPr="00495B26">
              <w:rPr>
                <w:rFonts w:ascii="Arial" w:hAnsi="Arial"/>
                <w:sz w:val="16"/>
                <w:szCs w:val="16"/>
              </w:rPr>
              <w:t>chelate</w:t>
            </w:r>
            <w:r w:rsidRPr="00495B26">
              <w:rPr>
                <w:rFonts w:ascii="Arial" w:hAnsi="Arial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9B932B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 xml:space="preserve">0.25 </w:t>
            </w:r>
            <w:r w:rsidRPr="00495B26">
              <w:rPr>
                <w:rFonts w:ascii="Arial" w:hAnsi="Arial"/>
                <w:sz w:val="16"/>
                <w:szCs w:val="16"/>
              </w:rPr>
              <w:sym w:font="Symbol" w:char="F06D"/>
            </w:r>
            <w:r w:rsidRPr="00495B26">
              <w:rPr>
                <w:rFonts w:ascii="Arial" w:hAnsi="Arial"/>
                <w:sz w:val="16"/>
                <w:szCs w:val="16"/>
              </w:rPr>
              <w:t>Ci/mL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769A486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10.5</w:t>
            </w:r>
            <w:r w:rsidRPr="00495B2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p</w:t>
            </w:r>
            <w:r w:rsidRPr="00495B26">
              <w:rPr>
                <w:rFonts w:ascii="Arial" w:hAnsi="Arial"/>
                <w:sz w:val="16"/>
                <w:szCs w:val="16"/>
              </w:rPr>
              <w:t>M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AD98297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NA</w:t>
            </w:r>
          </w:p>
        </w:tc>
        <w:tc>
          <w:tcPr>
            <w:tcW w:w="144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73D9DC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0.2 mL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879A244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0.05</w:t>
            </w:r>
          </w:p>
        </w:tc>
      </w:tr>
      <w:tr w:rsidR="006C7B3D" w:rsidRPr="00495B26" w14:paraId="7F00F522" w14:textId="77777777" w:rsidTr="009136A3">
        <w:trPr>
          <w:trHeight w:val="71"/>
          <w:jc w:val="center"/>
        </w:trPr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72A18A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Group 3</w:t>
            </w:r>
          </w:p>
        </w:tc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BAC093E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3F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1EB6EC2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04DD25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24 h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35A4B806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IgG-DOTA </w:t>
            </w:r>
            <w:proofErr w:type="spellStart"/>
            <w:r w:rsidRPr="00495B26">
              <w:rPr>
                <w:rFonts w:ascii="Arial" w:hAnsi="Arial"/>
                <w:sz w:val="16"/>
                <w:szCs w:val="16"/>
              </w:rPr>
              <w:t>chelate</w:t>
            </w:r>
            <w:r w:rsidRPr="00495B26">
              <w:rPr>
                <w:rFonts w:ascii="Arial" w:hAnsi="Arial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348105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 xml:space="preserve">0.25 </w:t>
            </w:r>
            <w:r w:rsidRPr="00495B26">
              <w:rPr>
                <w:rFonts w:ascii="Arial" w:hAnsi="Arial"/>
                <w:sz w:val="16"/>
                <w:szCs w:val="16"/>
              </w:rPr>
              <w:sym w:font="Symbol" w:char="F06D"/>
            </w:r>
            <w:r w:rsidRPr="00495B26">
              <w:rPr>
                <w:rFonts w:ascii="Arial" w:hAnsi="Arial"/>
                <w:sz w:val="16"/>
                <w:szCs w:val="16"/>
              </w:rPr>
              <w:t>Ci/mL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465130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10.5</w:t>
            </w:r>
            <w:r w:rsidRPr="00495B2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p</w:t>
            </w:r>
            <w:r w:rsidRPr="00495B26">
              <w:rPr>
                <w:rFonts w:ascii="Arial" w:hAnsi="Arial"/>
                <w:sz w:val="16"/>
                <w:szCs w:val="16"/>
              </w:rPr>
              <w:t>M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CA59D5E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NA</w:t>
            </w:r>
          </w:p>
        </w:tc>
        <w:tc>
          <w:tcPr>
            <w:tcW w:w="144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92ED99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0.2 mL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7B1E73D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0.05</w:t>
            </w:r>
          </w:p>
        </w:tc>
      </w:tr>
      <w:tr w:rsidR="006C7B3D" w:rsidRPr="00495B26" w14:paraId="7F69210A" w14:textId="77777777" w:rsidTr="009136A3">
        <w:trPr>
          <w:trHeight w:val="71"/>
          <w:jc w:val="center"/>
        </w:trPr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C921CB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 xml:space="preserve">Group </w:t>
            </w: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22601B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3F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CDD336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2C8B91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  <w:r w:rsidRPr="00495B26">
              <w:rPr>
                <w:rFonts w:ascii="Arial" w:hAnsi="Arial"/>
                <w:sz w:val="16"/>
                <w:szCs w:val="16"/>
              </w:rPr>
              <w:t xml:space="preserve"> d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4F3286B" w14:textId="77777777" w:rsidR="006C7B3D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IgG-DOTA </w:t>
            </w:r>
            <w:proofErr w:type="spellStart"/>
            <w:r w:rsidRPr="00495B26">
              <w:rPr>
                <w:rFonts w:ascii="Arial" w:hAnsi="Arial"/>
                <w:sz w:val="16"/>
                <w:szCs w:val="16"/>
              </w:rPr>
              <w:t>chelate</w:t>
            </w:r>
            <w:r w:rsidRPr="00495B26">
              <w:rPr>
                <w:rFonts w:ascii="Arial" w:hAnsi="Arial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627CB2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 xml:space="preserve">0.25 </w:t>
            </w:r>
            <w:r w:rsidRPr="00495B26">
              <w:rPr>
                <w:rFonts w:ascii="Arial" w:hAnsi="Arial"/>
                <w:sz w:val="16"/>
                <w:szCs w:val="16"/>
              </w:rPr>
              <w:sym w:font="Symbol" w:char="F06D"/>
            </w:r>
            <w:r w:rsidRPr="00495B26">
              <w:rPr>
                <w:rFonts w:ascii="Arial" w:hAnsi="Arial"/>
                <w:sz w:val="16"/>
                <w:szCs w:val="16"/>
              </w:rPr>
              <w:t>Ci/mL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0567AC0" w14:textId="77777777" w:rsidR="006C7B3D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10.5</w:t>
            </w:r>
            <w:r w:rsidRPr="00495B2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p</w:t>
            </w:r>
            <w:r w:rsidRPr="00495B26">
              <w:rPr>
                <w:rFonts w:ascii="Arial" w:hAnsi="Arial"/>
                <w:sz w:val="16"/>
                <w:szCs w:val="16"/>
              </w:rPr>
              <w:t>M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0AFF989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NA</w:t>
            </w:r>
          </w:p>
        </w:tc>
        <w:tc>
          <w:tcPr>
            <w:tcW w:w="1440" w:type="dxa"/>
            <w:tcBorders>
              <w:top w:val="nil"/>
              <w:bottom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04B1D2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0.2 mL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1268FD8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0.05</w:t>
            </w:r>
          </w:p>
        </w:tc>
      </w:tr>
      <w:tr w:rsidR="006C7B3D" w:rsidRPr="00495B26" w14:paraId="45C3F093" w14:textId="77777777" w:rsidTr="009136A3">
        <w:trPr>
          <w:trHeight w:val="20"/>
          <w:jc w:val="center"/>
        </w:trPr>
        <w:tc>
          <w:tcPr>
            <w:tcW w:w="990" w:type="dxa"/>
            <w:tcBorders>
              <w:top w:val="nil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257916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 xml:space="preserve">Group </w:t>
            </w: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A335F4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3F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59C050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337B67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  <w:r w:rsidRPr="00495B26">
              <w:rPr>
                <w:rFonts w:ascii="Arial" w:hAnsi="Arial"/>
                <w:sz w:val="16"/>
                <w:szCs w:val="16"/>
              </w:rPr>
              <w:t xml:space="preserve"> d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3F11FD0E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IgG-DOTA </w:t>
            </w:r>
            <w:proofErr w:type="spellStart"/>
            <w:r w:rsidRPr="00495B26">
              <w:rPr>
                <w:rFonts w:ascii="Arial" w:hAnsi="Arial"/>
                <w:sz w:val="16"/>
                <w:szCs w:val="16"/>
              </w:rPr>
              <w:t>chelate</w:t>
            </w:r>
            <w:r w:rsidRPr="00495B26">
              <w:rPr>
                <w:rFonts w:ascii="Arial" w:hAnsi="Arial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25C55F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 xml:space="preserve">0.25 </w:t>
            </w:r>
            <w:r w:rsidRPr="00495B26">
              <w:rPr>
                <w:rFonts w:ascii="Arial" w:hAnsi="Arial"/>
                <w:sz w:val="16"/>
                <w:szCs w:val="16"/>
              </w:rPr>
              <w:sym w:font="Symbol" w:char="F06D"/>
            </w:r>
            <w:r w:rsidRPr="00495B26">
              <w:rPr>
                <w:rFonts w:ascii="Arial" w:hAnsi="Arial"/>
                <w:sz w:val="16"/>
                <w:szCs w:val="16"/>
              </w:rPr>
              <w:t>Ci/mL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3411ABB3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10.5</w:t>
            </w:r>
            <w:r w:rsidRPr="00495B2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p</w:t>
            </w:r>
            <w:r w:rsidRPr="00495B26">
              <w:rPr>
                <w:rFonts w:ascii="Arial" w:hAnsi="Arial"/>
                <w:sz w:val="16"/>
                <w:szCs w:val="16"/>
              </w:rPr>
              <w:t>M</w:t>
            </w:r>
            <w:proofErr w:type="spellEnd"/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4F4B1DE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NA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A586232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0.2 mL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0BBBFC1F" w14:textId="77777777" w:rsidR="006C7B3D" w:rsidRPr="00495B26" w:rsidRDefault="006C7B3D" w:rsidP="009136A3">
            <w:pPr>
              <w:spacing w:before="2" w:after="2"/>
              <w:jc w:val="center"/>
              <w:rPr>
                <w:rFonts w:ascii="Arial" w:hAnsi="Arial"/>
                <w:sz w:val="16"/>
                <w:szCs w:val="16"/>
              </w:rPr>
            </w:pPr>
            <w:r w:rsidRPr="00495B26">
              <w:rPr>
                <w:rFonts w:ascii="Arial" w:hAnsi="Arial"/>
                <w:sz w:val="16"/>
                <w:szCs w:val="16"/>
              </w:rPr>
              <w:t>0.05</w:t>
            </w:r>
          </w:p>
        </w:tc>
      </w:tr>
    </w:tbl>
    <w:p w14:paraId="08F123E7" w14:textId="77777777" w:rsidR="006C7B3D" w:rsidRPr="006279A6" w:rsidRDefault="006C7B3D" w:rsidP="006C7B3D">
      <w:pPr>
        <w:rPr>
          <w:rFonts w:ascii="Times New Roman" w:hAnsi="Times New Roman"/>
          <w:b/>
          <w:sz w:val="20"/>
          <w:szCs w:val="20"/>
        </w:rPr>
      </w:pPr>
    </w:p>
    <w:p w14:paraId="25FB08FF" w14:textId="77777777" w:rsidR="006C7B3D" w:rsidRDefault="006C7B3D" w:rsidP="006C7B3D">
      <w:pPr>
        <w:rPr>
          <w:sz w:val="20"/>
        </w:rPr>
      </w:pPr>
      <w:proofErr w:type="spellStart"/>
      <w:r w:rsidRPr="00613ACC">
        <w:rPr>
          <w:i/>
          <w:sz w:val="20"/>
          <w:vertAlign w:val="superscript"/>
        </w:rPr>
        <w:t>a</w:t>
      </w:r>
      <w:r w:rsidRPr="00613ACC">
        <w:rPr>
          <w:sz w:val="20"/>
        </w:rPr>
        <w:t>Contamination</w:t>
      </w:r>
      <w:proofErr w:type="spellEnd"/>
      <w:r w:rsidRPr="00613ACC">
        <w:rPr>
          <w:sz w:val="20"/>
        </w:rPr>
        <w:t xml:space="preserve"> is achieved by intravenous injection in a warmed lateral tail vein of the challenge</w:t>
      </w:r>
      <w:r>
        <w:rPr>
          <w:sz w:val="20"/>
        </w:rPr>
        <w:t xml:space="preserve"> chelated</w:t>
      </w:r>
      <w:r w:rsidRPr="00613ACC">
        <w:rPr>
          <w:sz w:val="20"/>
        </w:rPr>
        <w:t xml:space="preserve"> isotope. Animals are housed in metabolism cages</w:t>
      </w:r>
      <w:r>
        <w:rPr>
          <w:sz w:val="20"/>
        </w:rPr>
        <w:t xml:space="preserve">, </w:t>
      </w:r>
      <w:r w:rsidRPr="00613ACC">
        <w:rPr>
          <w:sz w:val="20"/>
        </w:rPr>
        <w:t>per randomization group (n = 3). Urine and fecal pellets are collect</w:t>
      </w:r>
      <w:r>
        <w:rPr>
          <w:sz w:val="20"/>
        </w:rPr>
        <w:t>ed daily until necropsy. Blood</w:t>
      </w:r>
      <w:r w:rsidRPr="00613ACC">
        <w:rPr>
          <w:sz w:val="20"/>
        </w:rPr>
        <w:t xml:space="preserve">, liver, kidneys, spleen, heart, lungs, thymus, abdominal tissue remainder, skeleton, and soft tissue remainder samples collected at scheduled necropsy and processed for analysis. Counting is done on a </w:t>
      </w:r>
      <w:r w:rsidRPr="00613ACC">
        <w:rPr>
          <w:sz w:val="20"/>
        </w:rPr>
        <w:sym w:font="Symbol" w:char="F067"/>
      </w:r>
      <w:r w:rsidRPr="00613ACC">
        <w:rPr>
          <w:sz w:val="20"/>
        </w:rPr>
        <w:t xml:space="preserve"> counter and on a </w:t>
      </w:r>
      <w:r w:rsidRPr="00613ACC">
        <w:rPr>
          <w:sz w:val="20"/>
        </w:rPr>
        <w:sym w:font="Symbol" w:char="F061"/>
      </w:r>
      <w:r w:rsidRPr="00613ACC">
        <w:rPr>
          <w:sz w:val="20"/>
        </w:rPr>
        <w:t>/</w:t>
      </w:r>
      <w:r w:rsidRPr="00613ACC">
        <w:rPr>
          <w:sz w:val="20"/>
        </w:rPr>
        <w:sym w:font="Symbol" w:char="F062"/>
      </w:r>
      <w:r w:rsidRPr="00613ACC">
        <w:rPr>
          <w:sz w:val="20"/>
        </w:rPr>
        <w:t xml:space="preserve"> LSC counter. </w:t>
      </w:r>
      <w:r w:rsidRPr="007E300E">
        <w:rPr>
          <w:sz w:val="20"/>
        </w:rPr>
        <w:t>Samples are counted promptly (4 h) after processing and repeatedly over 100 days to allow for equilibration of first Ac-225 and later Ac-227 daughter products.</w:t>
      </w:r>
      <w:r>
        <w:rPr>
          <w:sz w:val="20"/>
        </w:rPr>
        <w:t xml:space="preserve"> </w:t>
      </w:r>
      <w:r w:rsidRPr="00AC5B18">
        <w:rPr>
          <w:sz w:val="20"/>
        </w:rPr>
        <w:t xml:space="preserve">Total Animals = </w:t>
      </w:r>
      <w:r>
        <w:rPr>
          <w:sz w:val="20"/>
        </w:rPr>
        <w:t>15F</w:t>
      </w:r>
    </w:p>
    <w:p w14:paraId="2A94DB55" w14:textId="77777777" w:rsidR="002E0466" w:rsidRDefault="004E2B9D"/>
    <w:p w14:paraId="2BAF044D" w14:textId="04C4EE3C" w:rsidR="006C7B3D" w:rsidRDefault="006C7B3D">
      <w:r>
        <w:t xml:space="preserve">5 mL </w:t>
      </w:r>
      <w:proofErr w:type="gramStart"/>
      <w:r>
        <w:t xml:space="preserve">@ 250 </w:t>
      </w:r>
      <w:proofErr w:type="spellStart"/>
      <w:r>
        <w:t>nCi</w:t>
      </w:r>
      <w:proofErr w:type="spellEnd"/>
      <w:r>
        <w:t xml:space="preserve">/mL </w:t>
      </w:r>
      <w:r>
        <w:sym w:font="Wingdings" w:char="F0E0"/>
      </w:r>
      <w:r>
        <w:t xml:space="preserve"> 1.</w:t>
      </w:r>
      <w:r w:rsidR="00A2609A">
        <w:t>50</w:t>
      </w:r>
      <w:r>
        <w:t xml:space="preserve"> </w:t>
      </w:r>
      <w:proofErr w:type="spellStart"/>
      <w:r>
        <w:t>uCi</w:t>
      </w:r>
      <w:proofErr w:type="spellEnd"/>
      <w:r w:rsidR="00A2609A">
        <w:t xml:space="preserve"> since one extra group</w:t>
      </w:r>
      <w:proofErr w:type="gramEnd"/>
      <w:r w:rsidR="00A2609A">
        <w:t xml:space="preserve"> sentinel</w:t>
      </w:r>
    </w:p>
    <w:p w14:paraId="7444CF31" w14:textId="77777777" w:rsidR="00E53FF4" w:rsidRDefault="00E53FF4"/>
    <w:p w14:paraId="43D081BD" w14:textId="22B30558" w:rsidR="004E2B9D" w:rsidRDefault="004E2B9D">
      <w:r>
        <w:t xml:space="preserve">The Ac molar </w:t>
      </w:r>
      <w:proofErr w:type="spellStart"/>
      <w:r>
        <w:t>conc</w:t>
      </w:r>
      <w:proofErr w:type="spellEnd"/>
      <w:r>
        <w:t xml:space="preserve"> doesn’t seem right</w:t>
      </w:r>
    </w:p>
    <w:p w14:paraId="78702975" w14:textId="77777777" w:rsidR="004E2B9D" w:rsidRDefault="004E2B9D"/>
    <w:p w14:paraId="724BCFEE" w14:textId="77777777" w:rsidR="004E2B9D" w:rsidRDefault="004E2B9D">
      <w:bookmarkStart w:id="0" w:name="_GoBack"/>
      <w:bookmarkEnd w:id="0"/>
    </w:p>
    <w:sectPr w:rsidR="004E2B9D" w:rsidSect="006C7B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4E2B9D"/>
    <w:rsid w:val="006C7B3D"/>
    <w:rsid w:val="006F3276"/>
    <w:rsid w:val="00A01480"/>
    <w:rsid w:val="00A2609A"/>
    <w:rsid w:val="00E53FF4"/>
    <w:rsid w:val="00E54A3F"/>
    <w:rsid w:val="00E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C18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B3D"/>
    <w:pPr>
      <w:autoSpaceDE w:val="0"/>
      <w:autoSpaceDN w:val="0"/>
    </w:pPr>
    <w:rPr>
      <w:rFonts w:ascii="Times" w:eastAsia="Times New Roman" w:hAnsi="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qFormat/>
    <w:rsid w:val="006C7B3D"/>
    <w:pPr>
      <w:autoSpaceDE/>
      <w:autoSpaceDN/>
      <w:snapToGrid w:val="0"/>
      <w:spacing w:before="240" w:after="120"/>
    </w:pPr>
    <w:rPr>
      <w:rFonts w:ascii="Arial" w:eastAsia="Calibri" w:hAnsi="Arial"/>
      <w:b/>
      <w:bCs/>
      <w:sz w:val="22"/>
    </w:rPr>
  </w:style>
  <w:style w:type="table" w:customStyle="1" w:styleId="TableGrid2">
    <w:name w:val="Table Grid2"/>
    <w:basedOn w:val="TableNormal"/>
    <w:next w:val="TableGrid"/>
    <w:uiPriority w:val="59"/>
    <w:rsid w:val="006C7B3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Tab">
    <w:name w:val="ReportTab"/>
    <w:basedOn w:val="Normal"/>
    <w:link w:val="ReportTabChar"/>
    <w:rsid w:val="006C7B3D"/>
    <w:pPr>
      <w:tabs>
        <w:tab w:val="left" w:pos="720"/>
        <w:tab w:val="left" w:pos="1440"/>
        <w:tab w:val="left" w:pos="4320"/>
      </w:tabs>
      <w:autoSpaceDE/>
      <w:autoSpaceDN/>
      <w:spacing w:after="240"/>
      <w:ind w:left="4320" w:hanging="2880"/>
    </w:pPr>
    <w:rPr>
      <w:rFonts w:ascii="Times New Roman" w:eastAsia="MS Gothic" w:hAnsi="Times New Roman" w:cstheme="minorBidi"/>
      <w:color w:val="000000"/>
      <w:szCs w:val="22"/>
    </w:rPr>
  </w:style>
  <w:style w:type="character" w:customStyle="1" w:styleId="ReportTabChar">
    <w:name w:val="ReportTab Char"/>
    <w:basedOn w:val="DefaultParagraphFont"/>
    <w:link w:val="ReportTab"/>
    <w:rsid w:val="006C7B3D"/>
    <w:rPr>
      <w:rFonts w:ascii="Times New Roman" w:eastAsia="MS Gothic" w:hAnsi="Times New Roman"/>
      <w:color w:val="000000"/>
      <w:szCs w:val="22"/>
    </w:rPr>
  </w:style>
  <w:style w:type="table" w:styleId="TableGrid">
    <w:name w:val="Table Grid"/>
    <w:basedOn w:val="TableNormal"/>
    <w:uiPriority w:val="39"/>
    <w:rsid w:val="006C7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B3D"/>
    <w:pPr>
      <w:autoSpaceDE w:val="0"/>
      <w:autoSpaceDN w:val="0"/>
    </w:pPr>
    <w:rPr>
      <w:rFonts w:ascii="Times" w:eastAsia="Times New Roman" w:hAnsi="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qFormat/>
    <w:rsid w:val="006C7B3D"/>
    <w:pPr>
      <w:autoSpaceDE/>
      <w:autoSpaceDN/>
      <w:snapToGrid w:val="0"/>
      <w:spacing w:before="240" w:after="120"/>
    </w:pPr>
    <w:rPr>
      <w:rFonts w:ascii="Arial" w:eastAsia="Calibri" w:hAnsi="Arial"/>
      <w:b/>
      <w:bCs/>
      <w:sz w:val="22"/>
    </w:rPr>
  </w:style>
  <w:style w:type="table" w:customStyle="1" w:styleId="TableGrid2">
    <w:name w:val="Table Grid2"/>
    <w:basedOn w:val="TableNormal"/>
    <w:next w:val="TableGrid"/>
    <w:uiPriority w:val="59"/>
    <w:rsid w:val="006C7B3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Tab">
    <w:name w:val="ReportTab"/>
    <w:basedOn w:val="Normal"/>
    <w:link w:val="ReportTabChar"/>
    <w:rsid w:val="006C7B3D"/>
    <w:pPr>
      <w:tabs>
        <w:tab w:val="left" w:pos="720"/>
        <w:tab w:val="left" w:pos="1440"/>
        <w:tab w:val="left" w:pos="4320"/>
      </w:tabs>
      <w:autoSpaceDE/>
      <w:autoSpaceDN/>
      <w:spacing w:after="240"/>
      <w:ind w:left="4320" w:hanging="2880"/>
    </w:pPr>
    <w:rPr>
      <w:rFonts w:ascii="Times New Roman" w:eastAsia="MS Gothic" w:hAnsi="Times New Roman" w:cstheme="minorBidi"/>
      <w:color w:val="000000"/>
      <w:szCs w:val="22"/>
    </w:rPr>
  </w:style>
  <w:style w:type="character" w:customStyle="1" w:styleId="ReportTabChar">
    <w:name w:val="ReportTab Char"/>
    <w:basedOn w:val="DefaultParagraphFont"/>
    <w:link w:val="ReportTab"/>
    <w:rsid w:val="006C7B3D"/>
    <w:rPr>
      <w:rFonts w:ascii="Times New Roman" w:eastAsia="MS Gothic" w:hAnsi="Times New Roman"/>
      <w:color w:val="000000"/>
      <w:szCs w:val="22"/>
    </w:rPr>
  </w:style>
  <w:style w:type="table" w:styleId="TableGrid">
    <w:name w:val="Table Grid"/>
    <w:basedOn w:val="TableNormal"/>
    <w:uiPriority w:val="39"/>
    <w:rsid w:val="006C7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Lakes, Andrew Lloyd</cp:lastModifiedBy>
  <cp:revision>2</cp:revision>
  <dcterms:created xsi:type="dcterms:W3CDTF">2017-03-23T18:59:00Z</dcterms:created>
  <dcterms:modified xsi:type="dcterms:W3CDTF">2017-03-26T19:31:00Z</dcterms:modified>
</cp:coreProperties>
</file>