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Research Article</w:t>
      </w:r>
    </w:p>
    <w:p w:rsidR="00D72D66" w:rsidRDefault="00D72D6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C67B8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Isotope Localization</w:t>
      </w:r>
      <w:r w:rsidR="00C91C83">
        <w:rPr>
          <w:rFonts w:asciiTheme="majorHAnsi" w:hAnsiTheme="majorHAnsi" w:cstheme="majorHAnsi"/>
          <w:b/>
        </w:rPr>
        <w:t xml:space="preserve"> of Ac-225 and Ac-227 in Mice</w:t>
      </w:r>
    </w:p>
    <w:p w:rsidR="00DC487F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Andrew L. Lakes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Dahlia D. </w:t>
      </w:r>
      <w:proofErr w:type="gramStart"/>
      <w:r w:rsidRPr="00C06710">
        <w:rPr>
          <w:rFonts w:asciiTheme="majorHAnsi" w:hAnsiTheme="majorHAnsi" w:cstheme="majorHAnsi"/>
        </w:rPr>
        <w:t>An</w:t>
      </w:r>
      <w:proofErr w:type="gramEnd"/>
      <w:r w:rsidRPr="00C06710">
        <w:rPr>
          <w:rFonts w:asciiTheme="majorHAnsi" w:hAnsiTheme="majorHAnsi" w:cstheme="majorHAnsi"/>
        </w:rPr>
        <w:t xml:space="preserve">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Julian A. Rees </w:t>
      </w:r>
      <w:r w:rsidRPr="00C06710">
        <w:rPr>
          <w:rFonts w:asciiTheme="majorHAnsi" w:hAnsiTheme="majorHAnsi" w:cstheme="majorHAnsi"/>
          <w:vertAlign w:val="superscript"/>
        </w:rPr>
        <w:t>1</w:t>
      </w:r>
      <w:r w:rsidRPr="00C06710">
        <w:rPr>
          <w:rFonts w:asciiTheme="majorHAnsi" w:hAnsiTheme="majorHAnsi" w:cstheme="majorHAnsi"/>
        </w:rPr>
        <w:t xml:space="preserve">, Rebecca J. Abergel </w:t>
      </w:r>
      <w:r w:rsidR="00C91C83">
        <w:rPr>
          <w:rFonts w:asciiTheme="majorHAnsi" w:hAnsiTheme="majorHAnsi" w:cstheme="majorHAnsi"/>
          <w:vertAlign w:val="superscript"/>
        </w:rPr>
        <w:t>1,2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1 </w:t>
      </w:r>
      <w:r w:rsidRPr="00C06710">
        <w:rPr>
          <w:rFonts w:asciiTheme="majorHAnsi" w:hAnsiTheme="majorHAnsi" w:cstheme="majorHAnsi"/>
        </w:rPr>
        <w:t>Chemical Sciences Division, Lawrence Berkeley National Laboratory, Berkeley, CA 94720</w:t>
      </w:r>
    </w:p>
    <w:p w:rsidR="003E6DF9" w:rsidRPr="00C06710" w:rsidRDefault="003E6DF9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vertAlign w:val="superscript"/>
        </w:rPr>
        <w:t xml:space="preserve">3 </w:t>
      </w:r>
      <w:r w:rsidRPr="00C06710">
        <w:rPr>
          <w:rFonts w:asciiTheme="majorHAnsi" w:hAnsiTheme="majorHAnsi" w:cstheme="majorHAnsi"/>
        </w:rPr>
        <w:t>Department of Nuclear Engineering, University of California Berkeley, Berkeley, CA 94709</w:t>
      </w:r>
    </w:p>
    <w:p w:rsidR="00D72D66" w:rsidRPr="00D72D66" w:rsidRDefault="00D72D66" w:rsidP="00D72D66">
      <w:pPr>
        <w:spacing w:line="480" w:lineRule="auto"/>
        <w:jc w:val="both"/>
        <w:rPr>
          <w:rFonts w:asciiTheme="majorHAnsi" w:hAnsiTheme="majorHAnsi" w:cstheme="majorHAnsi"/>
        </w:rPr>
      </w:pPr>
    </w:p>
    <w:p w:rsidR="003E6DF9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Corresponding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Rebecca J. Abergel. </w:t>
      </w:r>
      <w:hyperlink r:id="rId6" w:history="1">
        <w:r w:rsidR="003E6DF9" w:rsidRPr="00C06710">
          <w:rPr>
            <w:rStyle w:val="Hyperlink"/>
            <w:rFonts w:asciiTheme="majorHAnsi" w:hAnsiTheme="majorHAnsi" w:cstheme="majorHAnsi"/>
          </w:rPr>
          <w:t>rjabergel@lbl.gov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DC487F" w:rsidRPr="00C06710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First author</w:t>
      </w:r>
      <w:r w:rsidR="003E6DF9" w:rsidRPr="008A3CE1"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Andrew L. Lakes. </w:t>
      </w:r>
      <w:hyperlink r:id="rId7" w:history="1">
        <w:r w:rsidR="003E6DF9" w:rsidRPr="00C06710">
          <w:rPr>
            <w:rStyle w:val="Hyperlink"/>
            <w:rFonts w:asciiTheme="majorHAnsi" w:hAnsiTheme="majorHAnsi" w:cstheme="majorHAnsi"/>
          </w:rPr>
          <w:t>andrewllakes@gmail.com</w:t>
        </w:r>
      </w:hyperlink>
      <w:r w:rsidR="003E6DF9" w:rsidRPr="00C06710">
        <w:rPr>
          <w:rFonts w:asciiTheme="majorHAnsi" w:hAnsiTheme="majorHAnsi" w:cstheme="majorHAnsi"/>
        </w:rPr>
        <w:t xml:space="preserve">. </w:t>
      </w: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12BBB" w:rsidRDefault="00C12BBB" w:rsidP="00D72D66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8A3CE1" w:rsidRPr="00BE3D23" w:rsidRDefault="008A3CE1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C12BBB">
        <w:rPr>
          <w:rFonts w:asciiTheme="majorHAnsi" w:hAnsiTheme="majorHAnsi" w:cstheme="majorHAnsi"/>
          <w:b/>
        </w:rPr>
        <w:t>Words</w:t>
      </w:r>
      <w:r>
        <w:rPr>
          <w:rFonts w:asciiTheme="majorHAnsi" w:hAnsiTheme="majorHAnsi" w:cstheme="majorHAnsi"/>
          <w:b/>
        </w:rPr>
        <w:t>:</w:t>
      </w:r>
      <w:r w:rsidR="003E6DF9" w:rsidRPr="00C06710">
        <w:rPr>
          <w:rFonts w:asciiTheme="majorHAnsi" w:hAnsiTheme="majorHAnsi" w:cstheme="majorHAnsi"/>
        </w:rPr>
        <w:t xml:space="preserve">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Figures</w:t>
      </w:r>
      <w:r w:rsidR="00C91C83">
        <w:rPr>
          <w:rFonts w:asciiTheme="majorHAnsi" w:hAnsiTheme="majorHAnsi" w:cstheme="majorHAnsi"/>
        </w:rPr>
        <w:t xml:space="preserve">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>
        <w:rPr>
          <w:rFonts w:asciiTheme="majorHAnsi" w:hAnsiTheme="majorHAnsi" w:cstheme="majorHAnsi"/>
        </w:rPr>
        <w:t xml:space="preserve">. </w:t>
      </w:r>
      <w:r w:rsidRPr="00C12BBB">
        <w:rPr>
          <w:rFonts w:asciiTheme="majorHAnsi" w:hAnsiTheme="majorHAnsi" w:cstheme="majorHAnsi"/>
          <w:b/>
        </w:rPr>
        <w:t>Tables</w:t>
      </w:r>
      <w:r>
        <w:rPr>
          <w:rFonts w:asciiTheme="majorHAnsi" w:hAnsiTheme="majorHAnsi" w:cstheme="majorHAnsi"/>
        </w:rPr>
        <w:t xml:space="preserve">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  <w:r w:rsidR="00C91C83">
        <w:rPr>
          <w:rFonts w:asciiTheme="majorHAnsi" w:hAnsiTheme="majorHAnsi" w:cstheme="majorHAnsi"/>
        </w:rPr>
        <w:t>.</w:t>
      </w:r>
      <w:r w:rsidR="00BE3D23">
        <w:rPr>
          <w:rFonts w:asciiTheme="majorHAnsi" w:hAnsiTheme="majorHAnsi" w:cstheme="majorHAnsi"/>
        </w:rPr>
        <w:t xml:space="preserve"> </w:t>
      </w:r>
      <w:r w:rsidR="00BE3D23">
        <w:rPr>
          <w:rFonts w:asciiTheme="majorHAnsi" w:hAnsiTheme="majorHAnsi" w:cstheme="majorHAnsi"/>
          <w:b/>
        </w:rPr>
        <w:t xml:space="preserve">References: </w:t>
      </w:r>
      <w:proofErr w:type="spellStart"/>
      <w:r w:rsidR="00C91C83">
        <w:rPr>
          <w:rFonts w:asciiTheme="majorHAnsi" w:hAnsiTheme="majorHAnsi" w:cstheme="majorHAnsi"/>
        </w:rPr>
        <w:t>xxxx</w:t>
      </w:r>
      <w:proofErr w:type="spellEnd"/>
    </w:p>
    <w:p w:rsidR="00C06710" w:rsidRPr="00C06710" w:rsidRDefault="00C06710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Financial:</w:t>
      </w:r>
      <w:r w:rsidRPr="00C06710">
        <w:rPr>
          <w:rFonts w:asciiTheme="majorHAnsi" w:hAnsiTheme="majorHAnsi" w:cstheme="majorHAnsi"/>
        </w:rPr>
        <w:t xml:space="preserve"> This work was supported by </w:t>
      </w:r>
    </w:p>
    <w:p w:rsidR="003E6DF9" w:rsidRPr="00C06710" w:rsidRDefault="003E6DF9" w:rsidP="00D72D66">
      <w:pPr>
        <w:spacing w:line="480" w:lineRule="auto"/>
        <w:jc w:val="both"/>
        <w:rPr>
          <w:rFonts w:asciiTheme="majorHAnsi" w:hAnsiTheme="majorHAnsi" w:cstheme="majorHAnsi"/>
        </w:rPr>
      </w:pPr>
      <w:r w:rsidRPr="008A3CE1">
        <w:rPr>
          <w:rFonts w:asciiTheme="majorHAnsi" w:hAnsiTheme="majorHAnsi" w:cstheme="majorHAnsi"/>
          <w:b/>
        </w:rPr>
        <w:t>Running title:</w:t>
      </w:r>
      <w:r w:rsidRPr="00C06710">
        <w:rPr>
          <w:rFonts w:asciiTheme="majorHAnsi" w:hAnsiTheme="majorHAnsi" w:cstheme="majorHAnsi"/>
        </w:rPr>
        <w:t xml:space="preserve"> </w:t>
      </w:r>
    </w:p>
    <w:p w:rsidR="008A3CE1" w:rsidRPr="00D72D66" w:rsidRDefault="008A3CE1" w:rsidP="00D72D66">
      <w:pPr>
        <w:spacing w:line="48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Keywords:</w:t>
      </w:r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b/>
        </w:rPr>
        <w:br w:type="page"/>
      </w:r>
    </w:p>
    <w:p w:rsidR="00677A09" w:rsidRPr="00C06710" w:rsidRDefault="006C1847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lastRenderedPageBreak/>
        <w:t xml:space="preserve">Abstract: </w:t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INTRODUCTION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1) Ac-225 isotope production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2) Ac-227 decay properties compared to Ac-225Ac-225 decays rapidly after the initial </w:t>
      </w:r>
      <w:proofErr w:type="gramStart"/>
      <w:r w:rsidRPr="009E5B8D">
        <w:rPr>
          <w:rFonts w:asciiTheme="majorHAnsi" w:hAnsiTheme="majorHAnsi" w:cstheme="majorHAnsi"/>
        </w:rPr>
        <w:t>9.9 day</w:t>
      </w:r>
      <w:proofErr w:type="gramEnd"/>
      <w:r w:rsidRPr="009E5B8D">
        <w:rPr>
          <w:rFonts w:asciiTheme="majorHAnsi" w:hAnsiTheme="majorHAnsi" w:cstheme="majorHAnsi"/>
        </w:rPr>
        <w:t xml:space="preserve"> alpha decay into Fr-221, with a 45.5 minute pause for the half-life of Bi-213.</w:t>
      </w:r>
      <w:r>
        <w:rPr>
          <w:rFonts w:asciiTheme="majorHAnsi" w:hAnsiTheme="majorHAnsi" w:cstheme="majorHAnsi"/>
        </w:rPr>
        <w:t xml:space="preserve">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After this pause, there remains only 1 alpha decay (Po-213), accounting for 30% of the total alpha energy released.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The Ac-227 decay chain begins with a low energy beta decay over a lengthy 7946 days, resulting in the therapeutically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 xml:space="preserve">relevant Th-227.  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The Th-227 alpha decays into Ra-223 after 18 days.  After the </w:t>
      </w:r>
      <w:proofErr w:type="gramStart"/>
      <w:r w:rsidRPr="009E5B8D">
        <w:rPr>
          <w:rFonts w:asciiTheme="majorHAnsi" w:hAnsiTheme="majorHAnsi" w:cstheme="majorHAnsi"/>
        </w:rPr>
        <w:t>11.43 day</w:t>
      </w:r>
      <w:proofErr w:type="gramEnd"/>
      <w:r w:rsidRPr="009E5B8D">
        <w:rPr>
          <w:rFonts w:asciiTheme="majorHAnsi" w:hAnsiTheme="majorHAnsi" w:cstheme="majorHAnsi"/>
        </w:rPr>
        <w:t xml:space="preserve"> alpha decay from Ra-223 intoRn-219, the remaining daughters decay with rapidity other than the 36 minute half-life of Pb-211, resulting in a final tally of5 alpha and 3 beta decays. After Pb-211 pause, there remains only 1 alpha decay (Bi-211), accounting for 20% of the total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energy released. The total energy released during the Ac-227 decay chain is approximately 20% greater than the Ac-225 chain.</w:t>
      </w:r>
      <w:r>
        <w:rPr>
          <w:rFonts w:asciiTheme="majorHAnsi" w:hAnsiTheme="majorHAnsi" w:cstheme="majorHAnsi"/>
        </w:rPr>
        <w:t xml:space="preserve"> </w:t>
      </w:r>
      <w:r w:rsidRPr="009E5B8D">
        <w:rPr>
          <w:rFonts w:asciiTheme="majorHAnsi" w:hAnsiTheme="majorHAnsi" w:cstheme="majorHAnsi"/>
        </w:rPr>
        <w:t>However, the peak power output from Ac-225 occurs after only xxx hours with XXX MeV/day, whereas it takes xx days forAc-227 to hit xxx MeV/day</w:t>
      </w:r>
    </w:p>
    <w:p w:rsidR="00DC487F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 xml:space="preserve">Ac-225 - 200 </w:t>
      </w:r>
      <w:proofErr w:type="spellStart"/>
      <w:r w:rsidRPr="009E5B8D">
        <w:rPr>
          <w:rFonts w:asciiTheme="majorHAnsi" w:hAnsiTheme="majorHAnsi" w:cstheme="majorHAnsi"/>
        </w:rPr>
        <w:t>uCi</w:t>
      </w:r>
      <w:proofErr w:type="spellEnd"/>
      <w:r w:rsidRPr="009E5B8D">
        <w:rPr>
          <w:rFonts w:asciiTheme="majorHAnsi" w:hAnsiTheme="majorHAnsi" w:cstheme="majorHAnsi"/>
        </w:rPr>
        <w:t xml:space="preserve"> = 18794542109 MeV/day @ 6.48 hours (</w:t>
      </w:r>
      <w:proofErr w:type="spellStart"/>
      <w:r w:rsidRPr="009E5B8D">
        <w:rPr>
          <w:rFonts w:asciiTheme="majorHAnsi" w:hAnsiTheme="majorHAnsi" w:cstheme="majorHAnsi"/>
        </w:rPr>
        <w:t>plotoutpower</w:t>
      </w:r>
      <w:proofErr w:type="spellEnd"/>
      <w:r w:rsidRPr="009E5B8D">
        <w:rPr>
          <w:rFonts w:asciiTheme="majorHAnsi" w:hAnsiTheme="majorHAnsi" w:cstheme="majorHAnsi"/>
        </w:rPr>
        <w:t>) –Activity maxima is 13.68 hours (</w:t>
      </w:r>
      <w:proofErr w:type="spellStart"/>
      <w:r w:rsidRPr="009E5B8D">
        <w:rPr>
          <w:rFonts w:asciiTheme="majorHAnsi" w:hAnsiTheme="majorHAnsi" w:cstheme="majorHAnsi"/>
        </w:rPr>
        <w:t>plotout</w:t>
      </w:r>
      <w:proofErr w:type="spellEnd"/>
      <w:r w:rsidRPr="009E5B8D">
        <w:rPr>
          <w:rFonts w:asciiTheme="majorHAnsi" w:hAnsiTheme="majorHAnsi" w:cstheme="majorHAnsi"/>
        </w:rPr>
        <w:t xml:space="preserve">) Ac-225- 200 </w:t>
      </w:r>
      <w:proofErr w:type="spellStart"/>
      <w:r w:rsidRPr="009E5B8D">
        <w:rPr>
          <w:rFonts w:asciiTheme="majorHAnsi" w:hAnsiTheme="majorHAnsi" w:cstheme="majorHAnsi"/>
        </w:rPr>
        <w:t>uCi</w:t>
      </w:r>
      <w:proofErr w:type="spellEnd"/>
      <w:r w:rsidRPr="009E5B8D">
        <w:rPr>
          <w:rFonts w:asciiTheme="majorHAnsi" w:hAnsiTheme="majorHAnsi" w:cstheme="majorHAnsi"/>
        </w:rPr>
        <w:t xml:space="preserve"> =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  <w:r w:rsidRPr="009E5B8D">
        <w:rPr>
          <w:rFonts w:asciiTheme="majorHAnsi" w:hAnsiTheme="majorHAnsi" w:cstheme="majorHAnsi"/>
        </w:rPr>
        <w:t>3) Long term dose effect of Ac-227</w:t>
      </w:r>
    </w:p>
    <w:p w:rsidR="009E5B8D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9E5B8D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MATERIALS AND METHODS</w:t>
      </w:r>
    </w:p>
    <w:p w:rsidR="008E4DE5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Materials</w:t>
      </w:r>
    </w:p>
    <w:p w:rsidR="00CD6374" w:rsidRPr="00CD6374" w:rsidRDefault="008E4DE5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 xml:space="preserve">IgG1 antibody was purchased from Sigma-Aldrich. Trastuzumab was graciously donated from </w:t>
      </w:r>
      <w:r w:rsidRPr="008E4DE5">
        <w:rPr>
          <w:rFonts w:asciiTheme="majorHAnsi" w:hAnsiTheme="majorHAnsi" w:cstheme="majorHAnsi"/>
          <w:highlight w:val="yellow"/>
        </w:rPr>
        <w:t>XXXXXXXXXX</w:t>
      </w:r>
      <w:r>
        <w:rPr>
          <w:rFonts w:asciiTheme="majorHAnsi" w:hAnsiTheme="majorHAnsi" w:cstheme="majorHAnsi"/>
        </w:rPr>
        <w:t xml:space="preserve">. </w:t>
      </w:r>
      <w:r w:rsidRPr="008E4DE5">
        <w:rPr>
          <w:rFonts w:asciiTheme="majorHAnsi" w:hAnsiTheme="majorHAnsi" w:cstheme="majorHAnsi"/>
        </w:rPr>
        <w:t xml:space="preserve">1,4,7,10-Tetraazacyclododecane-1,4,7-tris-acetic acid-10-maleimidoethylacetamide (DOTA-MMA) was purchased from </w:t>
      </w:r>
      <w:proofErr w:type="spellStart"/>
      <w:r w:rsidRPr="008E4DE5">
        <w:rPr>
          <w:rFonts w:asciiTheme="majorHAnsi" w:hAnsiTheme="majorHAnsi" w:cstheme="majorHAnsi"/>
        </w:rPr>
        <w:t>Macrocyclics</w:t>
      </w:r>
      <w:proofErr w:type="spellEnd"/>
      <w:r w:rsidRPr="008E4DE5">
        <w:rPr>
          <w:rFonts w:asciiTheme="majorHAnsi" w:hAnsiTheme="majorHAnsi" w:cstheme="majorHAnsi"/>
        </w:rPr>
        <w:t xml:space="preserve">, Bradford reagent was purchased from </w:t>
      </w:r>
      <w:proofErr w:type="spellStart"/>
      <w:r w:rsidRPr="008E4DE5">
        <w:rPr>
          <w:rFonts w:asciiTheme="majorHAnsi" w:hAnsiTheme="majorHAnsi" w:cstheme="majorHAnsi"/>
        </w:rPr>
        <w:t>Bio-rad</w:t>
      </w:r>
      <w:proofErr w:type="spellEnd"/>
      <w:r w:rsidRPr="008E4DE5">
        <w:rPr>
          <w:rFonts w:asciiTheme="majorHAnsi" w:hAnsiTheme="majorHAnsi" w:cstheme="majorHAnsi"/>
        </w:rPr>
        <w:t xml:space="preserve">, and </w:t>
      </w:r>
      <w:proofErr w:type="spellStart"/>
      <w:r w:rsidRPr="008E4DE5">
        <w:rPr>
          <w:rFonts w:asciiTheme="majorHAnsi" w:hAnsiTheme="majorHAnsi" w:cstheme="majorHAnsi"/>
        </w:rPr>
        <w:t>tris</w:t>
      </w:r>
      <w:proofErr w:type="spellEnd"/>
      <w:r w:rsidRPr="008E4DE5">
        <w:rPr>
          <w:rFonts w:asciiTheme="majorHAnsi" w:hAnsiTheme="majorHAnsi" w:cstheme="majorHAnsi"/>
        </w:rPr>
        <w:t>(2-</w:t>
      </w:r>
      <w:proofErr w:type="gramStart"/>
      <w:r w:rsidRPr="008E4DE5">
        <w:rPr>
          <w:rFonts w:asciiTheme="majorHAnsi" w:hAnsiTheme="majorHAnsi" w:cstheme="majorHAnsi"/>
        </w:rPr>
        <w:t>carboxyethyl)phosphine</w:t>
      </w:r>
      <w:proofErr w:type="gramEnd"/>
      <w:r w:rsidRPr="008E4DE5">
        <w:rPr>
          <w:rFonts w:asciiTheme="majorHAnsi" w:hAnsiTheme="majorHAnsi" w:cstheme="majorHAnsi"/>
        </w:rPr>
        <w:t xml:space="preserve"> hydrochloride (TCEP </w:t>
      </w:r>
      <w:proofErr w:type="spellStart"/>
      <w:r w:rsidRPr="008E4DE5">
        <w:rPr>
          <w:rFonts w:asciiTheme="majorHAnsi" w:hAnsiTheme="majorHAnsi" w:cstheme="majorHAnsi"/>
        </w:rPr>
        <w:t>HCl</w:t>
      </w:r>
      <w:proofErr w:type="spellEnd"/>
      <w:r w:rsidRPr="008E4DE5">
        <w:rPr>
          <w:rFonts w:asciiTheme="majorHAnsi" w:hAnsiTheme="majorHAnsi" w:cstheme="majorHAnsi"/>
        </w:rPr>
        <w:t>), L-glutathione reduced, and all other chemicals were purchased from Sigma-Aldrich.</w:t>
      </w:r>
    </w:p>
    <w:p w:rsidR="00677A09" w:rsidRPr="00C06710" w:rsidRDefault="008E4DE5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Activity counting</w:t>
      </w:r>
    </w:p>
    <w:p w:rsidR="00677A09" w:rsidRPr="00C06710" w:rsidRDefault="002443D0" w:rsidP="002443D0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All activity was counted with </w:t>
      </w:r>
      <w:r w:rsidRPr="00C06710">
        <w:rPr>
          <w:rFonts w:asciiTheme="majorHAnsi" w:hAnsiTheme="majorHAnsi" w:cstheme="majorHAnsi"/>
        </w:rPr>
        <w:t>a Perkin-Elmer Tri-Carb 2910 TR</w:t>
      </w:r>
      <w:r>
        <w:rPr>
          <w:rFonts w:asciiTheme="majorHAnsi" w:hAnsiTheme="majorHAnsi" w:cstheme="majorHAnsi"/>
        </w:rPr>
        <w:t xml:space="preserve">. </w:t>
      </w:r>
      <w:r w:rsidR="008E4DE5">
        <w:rPr>
          <w:rFonts w:asciiTheme="majorHAnsi" w:hAnsiTheme="majorHAnsi" w:cstheme="majorHAnsi"/>
        </w:rPr>
        <w:t xml:space="preserve">Dilutions of radiolabeled solution </w:t>
      </w:r>
      <w:r w:rsidR="00677A09" w:rsidRPr="00C06710">
        <w:rPr>
          <w:rFonts w:asciiTheme="majorHAnsi" w:hAnsiTheme="majorHAnsi" w:cstheme="majorHAnsi"/>
        </w:rPr>
        <w:t>activity</w:t>
      </w:r>
      <w:r w:rsidR="008E4DE5">
        <w:rPr>
          <w:rFonts w:asciiTheme="majorHAnsi" w:hAnsiTheme="majorHAnsi" w:cstheme="majorHAnsi"/>
        </w:rPr>
        <w:t xml:space="preserve"> for injection were</w:t>
      </w:r>
      <w:r w:rsidR="00677A09"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diluted with </w:t>
      </w:r>
      <w:r w:rsidR="00677A09" w:rsidRPr="00C06710">
        <w:rPr>
          <w:rFonts w:asciiTheme="majorHAnsi" w:hAnsiTheme="majorHAnsi" w:cstheme="majorHAnsi"/>
        </w:rPr>
        <w:t xml:space="preserve">10 mL of </w:t>
      </w:r>
      <w:proofErr w:type="spellStart"/>
      <w:r w:rsidR="00677A09" w:rsidRPr="00C06710">
        <w:rPr>
          <w:rFonts w:asciiTheme="majorHAnsi" w:hAnsiTheme="majorHAnsi" w:cstheme="majorHAnsi"/>
        </w:rPr>
        <w:t>Ultima</w:t>
      </w:r>
      <w:proofErr w:type="spellEnd"/>
      <w:r w:rsidR="00677A09" w:rsidRPr="00C06710">
        <w:rPr>
          <w:rFonts w:asciiTheme="majorHAnsi" w:hAnsiTheme="majorHAnsi" w:cstheme="majorHAnsi"/>
        </w:rPr>
        <w:t xml:space="preserve"> Gold LLT scintillation cocktail</w:t>
      </w:r>
      <w:r w:rsidR="00C91C83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For biodistribution, samples were </w:t>
      </w:r>
      <w:proofErr w:type="spellStart"/>
      <w:r>
        <w:rPr>
          <w:rFonts w:asciiTheme="majorHAnsi" w:hAnsiTheme="majorHAnsi" w:cstheme="majorHAnsi"/>
        </w:rPr>
        <w:t>ashed</w:t>
      </w:r>
      <w:proofErr w:type="spellEnd"/>
      <w:r>
        <w:rPr>
          <w:rFonts w:asciiTheme="majorHAnsi" w:hAnsiTheme="majorHAnsi" w:cstheme="majorHAnsi"/>
        </w:rPr>
        <w:t xml:space="preserve"> in a furnace, dissolved in nitric acid, and diluted into 10 mL </w:t>
      </w:r>
      <w:proofErr w:type="spellStart"/>
      <w:r>
        <w:rPr>
          <w:rFonts w:asciiTheme="majorHAnsi" w:hAnsiTheme="majorHAnsi" w:cstheme="majorHAnsi"/>
        </w:rPr>
        <w:t>Ultima</w:t>
      </w:r>
      <w:proofErr w:type="spellEnd"/>
      <w:r>
        <w:rPr>
          <w:rFonts w:asciiTheme="majorHAnsi" w:hAnsiTheme="majorHAnsi" w:cstheme="majorHAnsi"/>
        </w:rPr>
        <w:t xml:space="preserve"> Gold LLT scintillation cocktail.</w:t>
      </w:r>
    </w:p>
    <w:p w:rsidR="00677A09" w:rsidRPr="00C06710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R</w:t>
      </w:r>
      <w:r w:rsidR="008E4DE5">
        <w:rPr>
          <w:rFonts w:asciiTheme="majorHAnsi" w:hAnsiTheme="majorHAnsi" w:cstheme="majorHAnsi"/>
          <w:b/>
        </w:rPr>
        <w:t>adiolabeling</w:t>
      </w:r>
    </w:p>
    <w:p w:rsidR="00677A09" w:rsidRPr="00C06710" w:rsidRDefault="00677A09" w:rsidP="00FB1FE2">
      <w:pPr>
        <w:spacing w:line="480" w:lineRule="auto"/>
        <w:jc w:val="both"/>
        <w:rPr>
          <w:rFonts w:asciiTheme="majorHAnsi" w:hAnsiTheme="majorHAnsi" w:cstheme="majorHAnsi"/>
          <w:i/>
        </w:rPr>
      </w:pPr>
      <w:r w:rsidRPr="00C06710">
        <w:rPr>
          <w:rFonts w:asciiTheme="majorHAnsi" w:hAnsiTheme="majorHAnsi" w:cstheme="majorHAnsi"/>
          <w:i/>
        </w:rPr>
        <w:t>Caution: Lu-177 and Ac-225 are radioactive isotopes that may present serious health risks when incorporated. Experiments were performed in facilities specially designed for the safe-handling of radioactive materials at the Lawrence Berke</w:t>
      </w:r>
      <w:r w:rsidR="00782A95" w:rsidRPr="00C06710">
        <w:rPr>
          <w:rFonts w:asciiTheme="majorHAnsi" w:hAnsiTheme="majorHAnsi" w:cstheme="majorHAnsi"/>
          <w:i/>
        </w:rPr>
        <w:t>ley National Laboratory (LBNL).</w:t>
      </w:r>
    </w:p>
    <w:p w:rsidR="00CD6374" w:rsidRDefault="009B57A8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For DOTA and HOPO radiolabeling, a dry heating block was used to heat ligands to 60 ºC for 2 hours in pH 7.4 10 </w:t>
      </w:r>
      <w:proofErr w:type="spellStart"/>
      <w:r>
        <w:rPr>
          <w:rFonts w:asciiTheme="majorHAnsi" w:hAnsiTheme="majorHAnsi" w:cstheme="majorHAnsi"/>
        </w:rPr>
        <w:t>mM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06710">
        <w:rPr>
          <w:rFonts w:asciiTheme="majorHAnsi" w:hAnsiTheme="majorHAnsi" w:cstheme="majorHAnsi"/>
        </w:rPr>
        <w:t>phosphate buffered saline (</w:t>
      </w:r>
      <w:proofErr w:type="gramStart"/>
      <w:r w:rsidRPr="00C06710">
        <w:rPr>
          <w:rFonts w:asciiTheme="majorHAnsi" w:hAnsiTheme="majorHAnsi" w:cstheme="majorHAnsi"/>
        </w:rPr>
        <w:t xml:space="preserve">PBS) </w:t>
      </w:r>
      <w:r>
        <w:rPr>
          <w:rFonts w:asciiTheme="majorHAnsi" w:hAnsiTheme="majorHAnsi" w:cstheme="majorHAnsi"/>
        </w:rPr>
        <w:t xml:space="preserve"> at</w:t>
      </w:r>
      <w:proofErr w:type="gramEnd"/>
      <w:r>
        <w:rPr>
          <w:rFonts w:asciiTheme="majorHAnsi" w:hAnsiTheme="majorHAnsi" w:cstheme="majorHAnsi"/>
        </w:rPr>
        <w:t xml:space="preserve"> 200:1 excess </w:t>
      </w:r>
      <w:proofErr w:type="spellStart"/>
      <w:r>
        <w:rPr>
          <w:rFonts w:asciiTheme="majorHAnsi" w:hAnsiTheme="majorHAnsi" w:cstheme="majorHAnsi"/>
        </w:rPr>
        <w:t>Ligand:Metal</w:t>
      </w:r>
      <w:proofErr w:type="spellEnd"/>
      <w:r>
        <w:rPr>
          <w:rFonts w:asciiTheme="majorHAnsi" w:hAnsiTheme="majorHAnsi" w:cstheme="majorHAnsi"/>
        </w:rPr>
        <w:t>. For antibodies-DOTA conjugates, a</w:t>
      </w:r>
      <w:r w:rsidR="00677A09" w:rsidRPr="00C06710">
        <w:rPr>
          <w:rFonts w:asciiTheme="majorHAnsi" w:hAnsiTheme="majorHAnsi" w:cstheme="majorHAnsi"/>
        </w:rPr>
        <w:t xml:space="preserve"> dry heating block was warmed to 45</w:t>
      </w:r>
      <w:r w:rsidR="00C73F8F" w:rsidRPr="00C06710">
        <w:rPr>
          <w:rFonts w:asciiTheme="majorHAnsi" w:hAnsiTheme="majorHAnsi" w:cstheme="majorHAnsi"/>
        </w:rPr>
        <w:t xml:space="preserve"> </w:t>
      </w:r>
      <w:r w:rsidR="00782A95" w:rsidRPr="00C06710">
        <w:rPr>
          <w:rFonts w:asciiTheme="majorHAnsi" w:hAnsiTheme="majorHAnsi" w:cstheme="majorHAnsi"/>
        </w:rPr>
        <w:t>º</w:t>
      </w:r>
      <w:r>
        <w:rPr>
          <w:rFonts w:asciiTheme="majorHAnsi" w:hAnsiTheme="majorHAnsi" w:cstheme="majorHAnsi"/>
        </w:rPr>
        <w:t>C and antibody-DOTA conjugates (cysteine sites)</w:t>
      </w:r>
      <w:r w:rsidR="00677A09" w:rsidRPr="00C06710">
        <w:rPr>
          <w:rFonts w:asciiTheme="majorHAnsi" w:hAnsiTheme="majorHAnsi" w:cstheme="majorHAnsi"/>
        </w:rPr>
        <w:t xml:space="preserve"> were pre-incubated for 5 minutes</w:t>
      </w:r>
      <w:r>
        <w:rPr>
          <w:rFonts w:asciiTheme="majorHAnsi" w:hAnsiTheme="majorHAnsi" w:cstheme="majorHAnsi"/>
        </w:rPr>
        <w:t>, dissolved in 0.1M pH 5.4 ammonium acetate</w:t>
      </w:r>
      <w:r w:rsidR="00677A09" w:rsidRPr="00C06710">
        <w:rPr>
          <w:rFonts w:asciiTheme="majorHAnsi" w:hAnsiTheme="majorHAnsi" w:cstheme="majorHAnsi"/>
        </w:rPr>
        <w:t xml:space="preserve">. Radionuclide in 0.05N </w:t>
      </w:r>
      <w:proofErr w:type="spellStart"/>
      <w:r w:rsidR="00677A09" w:rsidRPr="00C06710">
        <w:rPr>
          <w:rFonts w:asciiTheme="majorHAnsi" w:hAnsiTheme="majorHAnsi" w:cstheme="majorHAnsi"/>
        </w:rPr>
        <w:t>HCl</w:t>
      </w:r>
      <w:proofErr w:type="spellEnd"/>
      <w:r w:rsidR="00677A09" w:rsidRPr="00C06710">
        <w:rPr>
          <w:rFonts w:asciiTheme="majorHAnsi" w:hAnsiTheme="majorHAnsi" w:cstheme="majorHAnsi"/>
        </w:rPr>
        <w:t xml:space="preserve"> was added at </w:t>
      </w:r>
      <w:r>
        <w:rPr>
          <w:rFonts w:asciiTheme="majorHAnsi" w:hAnsiTheme="majorHAnsi" w:cstheme="majorHAnsi"/>
        </w:rPr>
        <w:t>200</w:t>
      </w:r>
      <w:r w:rsidR="00677A09" w:rsidRPr="00C06710">
        <w:rPr>
          <w:rFonts w:asciiTheme="majorHAnsi" w:hAnsiTheme="majorHAnsi" w:cstheme="majorHAnsi"/>
        </w:rPr>
        <w:t xml:space="preserve">x excess </w:t>
      </w:r>
      <w:proofErr w:type="spellStart"/>
      <w:proofErr w:type="gramStart"/>
      <w:r>
        <w:rPr>
          <w:rFonts w:asciiTheme="majorHAnsi" w:hAnsiTheme="majorHAnsi" w:cstheme="majorHAnsi"/>
        </w:rPr>
        <w:t>Ligand:Metal</w:t>
      </w:r>
      <w:proofErr w:type="spellEnd"/>
      <w:proofErr w:type="gramEnd"/>
      <w:r w:rsidR="00677A09" w:rsidRPr="00C06710">
        <w:rPr>
          <w:rFonts w:asciiTheme="majorHAnsi" w:hAnsiTheme="majorHAnsi" w:cstheme="majorHAnsi"/>
        </w:rPr>
        <w:t xml:space="preserve"> for 2 hours. Starting activity was based on an aliquot of the stock solution at equilibrium upon radiolabeling. These radiolabeled solutions were washed and buffer exchanged (10x volume 5 times) into </w:t>
      </w:r>
      <w:r>
        <w:rPr>
          <w:rFonts w:asciiTheme="majorHAnsi" w:hAnsiTheme="majorHAnsi" w:cstheme="majorHAnsi"/>
        </w:rPr>
        <w:t xml:space="preserve">PBS of </w:t>
      </w:r>
      <w:r w:rsidR="00677A09" w:rsidRPr="00C06710">
        <w:rPr>
          <w:rFonts w:asciiTheme="majorHAnsi" w:hAnsiTheme="majorHAnsi" w:cstheme="majorHAnsi"/>
        </w:rPr>
        <w:t xml:space="preserve">pH 7.4, and aliquots of filtrate and </w:t>
      </w:r>
      <w:proofErr w:type="spellStart"/>
      <w:r w:rsidR="00677A09" w:rsidRPr="00C06710">
        <w:rPr>
          <w:rFonts w:asciiTheme="majorHAnsi" w:hAnsiTheme="majorHAnsi" w:cstheme="majorHAnsi"/>
        </w:rPr>
        <w:t>retentate</w:t>
      </w:r>
      <w:proofErr w:type="spellEnd"/>
      <w:r w:rsidR="00677A09" w:rsidRPr="00C06710">
        <w:rPr>
          <w:rFonts w:asciiTheme="majorHAnsi" w:hAnsiTheme="majorHAnsi" w:cstheme="majorHAnsi"/>
        </w:rPr>
        <w:t xml:space="preserve"> were taken for final activity and yield verification. </w:t>
      </w:r>
    </w:p>
    <w:p w:rsidR="00CD6374" w:rsidRPr="00C06710" w:rsidRDefault="00CD6374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C91C83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Animal Handling</w:t>
      </w:r>
    </w:p>
    <w:p w:rsidR="009E5B8D" w:rsidRDefault="009E5B8D" w:rsidP="009E5B8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All procedures and protocols used in the described </w:t>
      </w:r>
      <w:r w:rsidRPr="00C06710">
        <w:rPr>
          <w:rFonts w:asciiTheme="majorHAnsi" w:hAnsiTheme="majorHAnsi" w:cstheme="majorHAnsi"/>
          <w:i/>
        </w:rPr>
        <w:t>in vivo</w:t>
      </w:r>
      <w:r w:rsidRPr="00C06710">
        <w:rPr>
          <w:rFonts w:asciiTheme="majorHAnsi" w:hAnsiTheme="majorHAnsi" w:cstheme="majorHAnsi"/>
        </w:rPr>
        <w:t xml:space="preserve"> studies were reviewed and approved by the LBNL Institutional Animal Care and Use Committee (IACUC) and were performed in AAALAC accredited facilities. </w:t>
      </w:r>
    </w:p>
    <w:p w:rsid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3C0829">
        <w:rPr>
          <w:rFonts w:asciiTheme="majorHAnsi" w:hAnsiTheme="majorHAnsi" w:cstheme="majorHAnsi"/>
          <w:b/>
        </w:rPr>
        <w:t>Animal Injection</w:t>
      </w:r>
    </w:p>
    <w:p w:rsidR="003C0829" w:rsidRPr="003C0829" w:rsidRDefault="003C0829" w:rsidP="003C0829">
      <w:pPr>
        <w:spacing w:line="480" w:lineRule="auto"/>
        <w:jc w:val="both"/>
        <w:rPr>
          <w:rFonts w:asciiTheme="majorHAnsi" w:hAnsiTheme="majorHAnsi" w:cstheme="majorHAnsi"/>
        </w:rPr>
      </w:pPr>
      <w:r w:rsidRPr="003C0829">
        <w:rPr>
          <w:rFonts w:asciiTheme="majorHAnsi" w:hAnsiTheme="majorHAnsi" w:cstheme="majorHAnsi"/>
        </w:rPr>
        <w:t>Contamination is achieved by intravenous injection in a warmed lateral tail vein of the challenge chelated isotope. Animals are housed in metabolism cages, per randomization group (n = 3). Urine and fecal pellets are collected daily until necropsy. Blood, liver, kidneys, spleen, heart, lungs, thymus, abdominal</w:t>
      </w:r>
      <w:r>
        <w:rPr>
          <w:rFonts w:asciiTheme="majorHAnsi" w:hAnsiTheme="majorHAnsi" w:cstheme="majorHAnsi"/>
        </w:rPr>
        <w:t xml:space="preserve"> </w:t>
      </w:r>
      <w:r w:rsidRPr="003C0829">
        <w:rPr>
          <w:rFonts w:asciiTheme="majorHAnsi" w:hAnsiTheme="majorHAnsi" w:cstheme="majorHAnsi"/>
        </w:rPr>
        <w:t xml:space="preserve">remainder tissue </w:t>
      </w:r>
      <w:r>
        <w:rPr>
          <w:rFonts w:asciiTheme="majorHAnsi" w:hAnsiTheme="majorHAnsi" w:cstheme="majorHAnsi"/>
        </w:rPr>
        <w:t>(ART)</w:t>
      </w:r>
      <w:r w:rsidRPr="003C0829">
        <w:rPr>
          <w:rFonts w:asciiTheme="majorHAnsi" w:hAnsiTheme="majorHAnsi" w:cstheme="majorHAnsi"/>
        </w:rPr>
        <w:t>, skeleton, and soft tissue remainder samples collected at scheduled necropsy and processed for analysis. Counting is done on a gamma counter and on an alpha/beta LSC counter. Samples are counted promptly after processing and repeatedly over 100 days to allow for equilibration of Ac-227 daughter products.</w:t>
      </w:r>
    </w:p>
    <w:p w:rsidR="003C0829" w:rsidRPr="003C0829" w:rsidRDefault="003C0829" w:rsidP="009E5B8D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677A09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E5B8D">
        <w:rPr>
          <w:rFonts w:asciiTheme="majorHAnsi" w:hAnsiTheme="majorHAnsi" w:cstheme="majorHAnsi"/>
          <w:b/>
        </w:rPr>
        <w:t>Bio</w:t>
      </w:r>
      <w:r>
        <w:rPr>
          <w:rFonts w:asciiTheme="majorHAnsi" w:hAnsiTheme="majorHAnsi" w:cstheme="majorHAnsi"/>
          <w:b/>
        </w:rPr>
        <w:t>d</w:t>
      </w:r>
      <w:r w:rsidRPr="009E5B8D">
        <w:rPr>
          <w:rFonts w:asciiTheme="majorHAnsi" w:hAnsiTheme="majorHAnsi" w:cstheme="majorHAnsi"/>
          <w:b/>
        </w:rPr>
        <w:t>istribution</w:t>
      </w:r>
    </w:p>
    <w:p w:rsidR="009E5B8D" w:rsidRDefault="003B3516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XXXXXXXXXXXXXXXXXXXXXXXXXXXXXXXXXXXXXXXX</w:t>
      </w:r>
    </w:p>
    <w:p w:rsidR="009E5B8D" w:rsidRPr="009E5B8D" w:rsidRDefault="009E5B8D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Dose Modeling</w:t>
      </w:r>
    </w:p>
    <w:p w:rsidR="00677A09" w:rsidRPr="00C06710" w:rsidRDefault="00D409AF" w:rsidP="005720C6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Utilizing the kinetic dose results, we created an estimated future dose for HOPO, DOTA, and </w:t>
      </w:r>
      <w:proofErr w:type="spellStart"/>
      <w:r>
        <w:rPr>
          <w:rFonts w:asciiTheme="majorHAnsi" w:hAnsiTheme="majorHAnsi" w:cstheme="majorHAnsi"/>
        </w:rPr>
        <w:t>Trasztuzumab</w:t>
      </w:r>
      <w:proofErr w:type="spellEnd"/>
      <w:r>
        <w:rPr>
          <w:rFonts w:asciiTheme="majorHAnsi" w:hAnsiTheme="majorHAnsi" w:cstheme="majorHAnsi"/>
        </w:rPr>
        <w:t xml:space="preserve"> Ac-225/Ac-227 constructs</w:t>
      </w:r>
      <w:r w:rsidR="00C769C3">
        <w:rPr>
          <w:rFonts w:asciiTheme="majorHAnsi" w:hAnsiTheme="majorHAnsi" w:cstheme="majorHAnsi"/>
        </w:rPr>
        <w:t xml:space="preserve">. The input exact dose bolus was 200 </w:t>
      </w:r>
      <w:proofErr w:type="spellStart"/>
      <w:r w:rsidR="00C769C3">
        <w:rPr>
          <w:rFonts w:asciiTheme="majorHAnsi" w:hAnsiTheme="majorHAnsi" w:cstheme="majorHAnsi"/>
        </w:rPr>
        <w:t>nCi</w:t>
      </w:r>
      <w:proofErr w:type="spellEnd"/>
      <w:r w:rsidR="00C769C3">
        <w:rPr>
          <w:rFonts w:asciiTheme="majorHAnsi" w:hAnsiTheme="majorHAnsi" w:cstheme="majorHAnsi"/>
        </w:rPr>
        <w:t xml:space="preserve"> for Ac-225 and 1 </w:t>
      </w:r>
      <w:proofErr w:type="spellStart"/>
      <w:r w:rsidR="00C769C3">
        <w:rPr>
          <w:rFonts w:asciiTheme="majorHAnsi" w:hAnsiTheme="majorHAnsi" w:cstheme="majorHAnsi"/>
        </w:rPr>
        <w:t>nCi</w:t>
      </w:r>
      <w:proofErr w:type="spellEnd"/>
      <w:r w:rsidR="00C769C3">
        <w:rPr>
          <w:rFonts w:asciiTheme="majorHAnsi" w:hAnsiTheme="majorHAnsi" w:cstheme="majorHAnsi"/>
        </w:rPr>
        <w:t xml:space="preserve"> for Ac-227 (0.5% Ac-227 contamination), and assumed to be pure actinium without daughters (all activity is only actinium at t=0). </w:t>
      </w:r>
      <w:r w:rsidR="005720C6">
        <w:rPr>
          <w:rFonts w:asciiTheme="majorHAnsi" w:hAnsiTheme="majorHAnsi" w:cstheme="majorHAnsi"/>
        </w:rPr>
        <w:t xml:space="preserve">Dose modeling was performed </w:t>
      </w:r>
      <w:r w:rsidR="00031F3A">
        <w:rPr>
          <w:rFonts w:asciiTheme="majorHAnsi" w:hAnsiTheme="majorHAnsi" w:cstheme="majorHAnsi"/>
        </w:rPr>
        <w:t>across</w:t>
      </w:r>
      <w:r w:rsidR="005720C6">
        <w:rPr>
          <w:rFonts w:asciiTheme="majorHAnsi" w:hAnsiTheme="majorHAnsi" w:cstheme="majorHAnsi"/>
        </w:rPr>
        <w:t xml:space="preserve"> two regimes: 1) interpolation within the actual recorded data set (0-10 days), and 2) extrapolation of future dose assuming no further change in final time point. Betw</w:t>
      </w:r>
      <w:r w:rsidR="00C769C3">
        <w:rPr>
          <w:rFonts w:asciiTheme="majorHAnsi" w:hAnsiTheme="majorHAnsi" w:cstheme="majorHAnsi"/>
        </w:rPr>
        <w:t xml:space="preserve">een real recorded time point values of 1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 xml:space="preserve">, 4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 xml:space="preserve">, 24 </w:t>
      </w:r>
      <w:proofErr w:type="spellStart"/>
      <w:r w:rsidR="00C769C3">
        <w:rPr>
          <w:rFonts w:asciiTheme="majorHAnsi" w:hAnsiTheme="majorHAnsi" w:cstheme="majorHAnsi"/>
        </w:rPr>
        <w:t>hr</w:t>
      </w:r>
      <w:proofErr w:type="spellEnd"/>
      <w:r w:rsidR="00C769C3">
        <w:rPr>
          <w:rFonts w:asciiTheme="majorHAnsi" w:hAnsiTheme="majorHAnsi" w:cstheme="majorHAnsi"/>
        </w:rPr>
        <w:t>, 4 days, 6 days (and 10 days for Trastuzumab-DOTA only)</w:t>
      </w:r>
      <w:r w:rsidR="005720C6">
        <w:rPr>
          <w:rFonts w:asciiTheme="majorHAnsi" w:hAnsiTheme="majorHAnsi" w:cstheme="majorHAnsi"/>
        </w:rPr>
        <w:t xml:space="preserve">, small step changes were added for interpolation. Numerically solving the standard Bateman ordinary </w:t>
      </w:r>
      <w:r w:rsidR="005720C6">
        <w:rPr>
          <w:rFonts w:asciiTheme="majorHAnsi" w:hAnsiTheme="majorHAnsi" w:cstheme="majorHAnsi"/>
        </w:rPr>
        <w:lastRenderedPageBreak/>
        <w:t xml:space="preserve">differential equations produced an activity per time correlation. </w:t>
      </w:r>
      <w:r w:rsidR="00D3784A">
        <w:rPr>
          <w:rFonts w:asciiTheme="majorHAnsi" w:hAnsiTheme="majorHAnsi" w:cstheme="majorHAnsi"/>
        </w:rPr>
        <w:t>Next, using the energy output for each de</w:t>
      </w:r>
      <w:r w:rsidR="00031F3A">
        <w:rPr>
          <w:rFonts w:asciiTheme="majorHAnsi" w:hAnsiTheme="majorHAnsi" w:cstheme="majorHAnsi"/>
        </w:rPr>
        <w:t>cay</w:t>
      </w:r>
      <w:r w:rsidR="00D3784A">
        <w:rPr>
          <w:rFonts w:asciiTheme="majorHAnsi" w:hAnsiTheme="majorHAnsi" w:cstheme="majorHAnsi"/>
        </w:rPr>
        <w:t xml:space="preserve"> along the daughter series’, a moving average of power per count of activity (MeV/</w:t>
      </w:r>
      <w:r w:rsidR="00031F3A">
        <w:rPr>
          <w:rFonts w:asciiTheme="majorHAnsi" w:hAnsiTheme="majorHAnsi" w:cstheme="majorHAnsi"/>
        </w:rPr>
        <w:t>minute / CPM)</w:t>
      </w:r>
      <w:r w:rsidR="00D3784A">
        <w:rPr>
          <w:rFonts w:asciiTheme="majorHAnsi" w:hAnsiTheme="majorHAnsi" w:cstheme="majorHAnsi"/>
        </w:rPr>
        <w:t xml:space="preserve"> for each time step was found, to get MeV/count. 100% efficiency of counting was assumed per decay.</w:t>
      </w:r>
      <w:r w:rsidR="00031F3A">
        <w:rPr>
          <w:rFonts w:asciiTheme="majorHAnsi" w:hAnsiTheme="majorHAnsi" w:cstheme="majorHAnsi"/>
        </w:rPr>
        <w:t xml:space="preserve"> For time points within the real recorded time points, a monotonic cubic spline was used to gather activities, where activity past the real data assumes no change in biodistribution, and only decay occurs (see </w:t>
      </w:r>
      <w:r w:rsidR="00031F3A">
        <w:rPr>
          <w:rFonts w:asciiTheme="majorHAnsi" w:hAnsiTheme="majorHAnsi" w:cstheme="majorHAnsi"/>
          <w:b/>
        </w:rPr>
        <w:t xml:space="preserve">Figure </w:t>
      </w:r>
      <w:proofErr w:type="spellStart"/>
      <w:r w:rsidR="00031F3A">
        <w:rPr>
          <w:rFonts w:asciiTheme="majorHAnsi" w:hAnsiTheme="majorHAnsi" w:cstheme="majorHAnsi"/>
          <w:b/>
        </w:rPr>
        <w:t>Sxxx</w:t>
      </w:r>
      <w:proofErr w:type="spellEnd"/>
      <w:r w:rsidR="00031F3A">
        <w:rPr>
          <w:rFonts w:asciiTheme="majorHAnsi" w:hAnsiTheme="majorHAnsi" w:cstheme="majorHAnsi"/>
        </w:rPr>
        <w:t>). Power per mass (MeV/(g*day)) was found per time step based on organ masses, and was numerically integrated to convert to energy per mass for conversion into units of Grey.</w:t>
      </w:r>
      <w:r w:rsidR="00677A09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RESULTS</w:t>
      </w:r>
    </w:p>
    <w:p w:rsidR="00B06003" w:rsidRPr="00B06003" w:rsidRDefault="00B06003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After injection of </w:t>
      </w:r>
      <w:r>
        <w:rPr>
          <w:rFonts w:asciiTheme="majorHAnsi" w:hAnsiTheme="majorHAnsi" w:cstheme="majorHAnsi"/>
        </w:rPr>
        <w:t xml:space="preserve">50 </w:t>
      </w:r>
      <w:proofErr w:type="spellStart"/>
      <w:r>
        <w:rPr>
          <w:rFonts w:asciiTheme="majorHAnsi" w:hAnsiTheme="majorHAnsi" w:cstheme="majorHAnsi"/>
        </w:rPr>
        <w:t>nCi</w:t>
      </w:r>
      <w:proofErr w:type="spellEnd"/>
      <w:r>
        <w:rPr>
          <w:rFonts w:asciiTheme="majorHAnsi" w:hAnsiTheme="majorHAnsi" w:cstheme="majorHAnsi"/>
        </w:rPr>
        <w:t xml:space="preserve"> of Ac-225 construct with up to 0.5% Ac-227 contaminant</w:t>
      </w:r>
      <w:r>
        <w:rPr>
          <w:rFonts w:asciiTheme="majorHAnsi" w:hAnsiTheme="majorHAnsi" w:cstheme="majorHAnsi"/>
        </w:rPr>
        <w:t xml:space="preserve"> to either 1) female Swiss-Webster mice with DOTA-Ac-225 or HOPO-Ac-225, or 2) female NOD SCID PDX mice with Trastuzumab-DOTA-Ac-225, biodistribution of Ac-225 and Ac-227</w:t>
      </w:r>
      <w:r w:rsidR="00706049">
        <w:rPr>
          <w:rFonts w:asciiTheme="majorHAnsi" w:hAnsiTheme="majorHAnsi" w:cstheme="majorHAnsi"/>
        </w:rPr>
        <w:t xml:space="preserve"> was investigated</w:t>
      </w:r>
      <w:r>
        <w:rPr>
          <w:rFonts w:asciiTheme="majorHAnsi" w:hAnsiTheme="majorHAnsi" w:cstheme="majorHAnsi"/>
        </w:rPr>
        <w:t xml:space="preserve"> over several timepoints.</w:t>
      </w:r>
      <w:r w:rsidR="00143FE0">
        <w:rPr>
          <w:rFonts w:asciiTheme="majorHAnsi" w:hAnsiTheme="majorHAnsi" w:cstheme="majorHAnsi"/>
        </w:rPr>
        <w:t xml:space="preserve"> Biodistribution was compared via recovered dose per gram (RD/g) or localization ratio (LR).</w:t>
      </w:r>
    </w:p>
    <w:p w:rsidR="00677A09" w:rsidRDefault="003B351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B</w:t>
      </w:r>
      <w:r w:rsidR="00C91C83">
        <w:rPr>
          <w:rFonts w:asciiTheme="majorHAnsi" w:hAnsiTheme="majorHAnsi" w:cstheme="majorHAnsi"/>
          <w:b/>
        </w:rPr>
        <w:t>iodistribution</w:t>
      </w:r>
    </w:p>
    <w:p w:rsidR="00B06003" w:rsidRDefault="00722B68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As is typical with HOPO biodistribution</w:t>
      </w:r>
      <w:r w:rsidR="00B06003">
        <w:rPr>
          <w:rFonts w:asciiTheme="majorHAnsi" w:hAnsiTheme="majorHAnsi" w:cstheme="majorHAnsi"/>
        </w:rPr>
        <w:t xml:space="preserve"> in</w:t>
      </w:r>
      <w:r w:rsidR="00AD2DFE"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 xml:space="preserve">native </w:t>
      </w:r>
      <w:r w:rsidR="00AD2DFE">
        <w:rPr>
          <w:rFonts w:asciiTheme="majorHAnsi" w:hAnsiTheme="majorHAnsi" w:cstheme="majorHAnsi"/>
        </w:rPr>
        <w:t>mice</w:t>
      </w:r>
      <w:r>
        <w:rPr>
          <w:rFonts w:asciiTheme="majorHAnsi" w:hAnsiTheme="majorHAnsi" w:cstheme="majorHAnsi"/>
        </w:rPr>
        <w:t>, liver uptake was high for both Ac-225 and Ac-</w:t>
      </w:r>
      <w:r w:rsidR="00B06003">
        <w:rPr>
          <w:rFonts w:asciiTheme="majorHAnsi" w:hAnsiTheme="majorHAnsi" w:cstheme="majorHAnsi"/>
        </w:rPr>
        <w:t>227, with low</w:t>
      </w:r>
      <w:r w:rsidR="00706049">
        <w:rPr>
          <w:rFonts w:asciiTheme="majorHAnsi" w:hAnsiTheme="majorHAnsi" w:cstheme="majorHAnsi"/>
        </w:rPr>
        <w:t>er</w:t>
      </w:r>
      <w:r w:rsidR="00B06003">
        <w:rPr>
          <w:rFonts w:asciiTheme="majorHAnsi" w:hAnsiTheme="majorHAnsi" w:cstheme="majorHAnsi"/>
        </w:rPr>
        <w:t xml:space="preserve"> distribution</w:t>
      </w:r>
      <w:r>
        <w:rPr>
          <w:rFonts w:asciiTheme="majorHAnsi" w:hAnsiTheme="majorHAnsi" w:cstheme="majorHAnsi"/>
        </w:rPr>
        <w:t xml:space="preserve"> </w:t>
      </w:r>
      <w:r w:rsidR="00B06003">
        <w:rPr>
          <w:rFonts w:asciiTheme="majorHAnsi" w:hAnsiTheme="majorHAnsi" w:cstheme="majorHAnsi"/>
        </w:rPr>
        <w:t>to</w:t>
      </w:r>
      <w:r>
        <w:rPr>
          <w:rFonts w:asciiTheme="majorHAnsi" w:hAnsiTheme="majorHAnsi" w:cstheme="majorHAnsi"/>
        </w:rPr>
        <w:t xml:space="preserve"> other org</w:t>
      </w:r>
      <w:r w:rsidR="00AD2DFE">
        <w:rPr>
          <w:rFonts w:asciiTheme="majorHAnsi" w:hAnsiTheme="majorHAnsi" w:cstheme="majorHAnsi"/>
        </w:rPr>
        <w:t xml:space="preserve">ans </w:t>
      </w:r>
      <w:r w:rsidR="00B06003">
        <w:rPr>
          <w:rFonts w:asciiTheme="majorHAnsi" w:hAnsiTheme="majorHAnsi" w:cstheme="majorHAnsi"/>
        </w:rPr>
        <w:t xml:space="preserve">throughout </w:t>
      </w:r>
      <w:r w:rsidR="00AD2DFE">
        <w:rPr>
          <w:rFonts w:asciiTheme="majorHAnsi" w:hAnsiTheme="majorHAnsi" w:cstheme="majorHAnsi"/>
        </w:rPr>
        <w:t>6 days after injection</w:t>
      </w:r>
      <w:r w:rsidR="00706049">
        <w:rPr>
          <w:rFonts w:asciiTheme="majorHAnsi" w:hAnsiTheme="majorHAnsi" w:cstheme="majorHAnsi"/>
        </w:rPr>
        <w:t xml:space="preserve"> (</w:t>
      </w:r>
      <w:r w:rsidR="00706049" w:rsidRPr="00706049">
        <w:rPr>
          <w:rFonts w:asciiTheme="majorHAnsi" w:hAnsiTheme="majorHAnsi" w:cstheme="majorHAnsi"/>
          <w:b/>
        </w:rPr>
        <w:t>Figure 2</w:t>
      </w:r>
      <w:r w:rsidR="00706049">
        <w:rPr>
          <w:rFonts w:asciiTheme="majorHAnsi" w:hAnsiTheme="majorHAnsi" w:cstheme="majorHAnsi"/>
        </w:rPr>
        <w:t>)</w:t>
      </w:r>
      <w:r w:rsidR="00AD2DFE">
        <w:rPr>
          <w:rFonts w:asciiTheme="majorHAnsi" w:hAnsiTheme="majorHAnsi" w:cstheme="majorHAnsi"/>
        </w:rPr>
        <w:t xml:space="preserve">. </w:t>
      </w:r>
      <w:r w:rsidR="001E75F4">
        <w:rPr>
          <w:rFonts w:asciiTheme="majorHAnsi" w:hAnsiTheme="majorHAnsi" w:cstheme="majorHAnsi"/>
        </w:rPr>
        <w:t>LR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for RD/g of Ac-225/Ac-227 </w:t>
      </w:r>
      <w:r w:rsidR="00706049">
        <w:rPr>
          <w:rFonts w:asciiTheme="majorHAnsi" w:hAnsiTheme="majorHAnsi" w:cstheme="majorHAnsi"/>
        </w:rPr>
        <w:t>tended to</w:t>
      </w:r>
      <w:r w:rsidR="001E75F4">
        <w:rPr>
          <w:rFonts w:asciiTheme="majorHAnsi" w:hAnsiTheme="majorHAnsi" w:cstheme="majorHAnsi"/>
        </w:rPr>
        <w:t xml:space="preserve"> be at or greater than unity for the heart, lungs, kidneys, liver, and carcass. LR also</w:t>
      </w:r>
      <w:r w:rsidR="00706049">
        <w:rPr>
          <w:rFonts w:asciiTheme="majorHAnsi" w:hAnsiTheme="majorHAnsi" w:cstheme="majorHAnsi"/>
        </w:rPr>
        <w:t xml:space="preserve"> </w:t>
      </w:r>
      <w:r w:rsidR="001E75F4">
        <w:rPr>
          <w:rFonts w:asciiTheme="majorHAnsi" w:hAnsiTheme="majorHAnsi" w:cstheme="majorHAnsi"/>
        </w:rPr>
        <w:t xml:space="preserve">trended a </w:t>
      </w:r>
      <w:r w:rsidR="00706049">
        <w:rPr>
          <w:rFonts w:asciiTheme="majorHAnsi" w:hAnsiTheme="majorHAnsi" w:cstheme="majorHAnsi"/>
        </w:rPr>
        <w:t xml:space="preserve">decrease from above unity in earlier timepoints to at or below unity in later timepoints for all organs except the spleen and ART. </w:t>
      </w:r>
      <w:r w:rsidR="001E75F4">
        <w:rPr>
          <w:rFonts w:asciiTheme="majorHAnsi" w:hAnsiTheme="majorHAnsi" w:cstheme="majorHAnsi"/>
        </w:rPr>
        <w:t>For the organ with greatest localized uptake with both isotopes, the liver, the LR at the final time point at 6 days was not statistically significant from unity.</w:t>
      </w:r>
    </w:p>
    <w:p w:rsidR="001E75F4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DOTA biodistribution in healthy mice was </w:t>
      </w:r>
      <w:r w:rsidR="001E75F4">
        <w:rPr>
          <w:rFonts w:asciiTheme="majorHAnsi" w:hAnsiTheme="majorHAnsi" w:cstheme="majorHAnsi"/>
        </w:rPr>
        <w:t xml:space="preserve">also </w:t>
      </w:r>
      <w:r>
        <w:rPr>
          <w:rFonts w:asciiTheme="majorHAnsi" w:hAnsiTheme="majorHAnsi" w:cstheme="majorHAnsi"/>
        </w:rPr>
        <w:t xml:space="preserve">typical with </w:t>
      </w:r>
      <w:r w:rsidR="001E75F4">
        <w:rPr>
          <w:rFonts w:asciiTheme="majorHAnsi" w:hAnsiTheme="majorHAnsi" w:cstheme="majorHAnsi"/>
        </w:rPr>
        <w:t>activity</w:t>
      </w:r>
      <w:r>
        <w:rPr>
          <w:rFonts w:asciiTheme="majorHAnsi" w:hAnsiTheme="majorHAnsi" w:cstheme="majorHAnsi"/>
        </w:rPr>
        <w:t xml:space="preserve"> locating heavily in the kidneys</w:t>
      </w:r>
      <w:r w:rsidR="001E75F4">
        <w:rPr>
          <w:rFonts w:asciiTheme="majorHAnsi" w:hAnsiTheme="majorHAnsi" w:cstheme="majorHAnsi"/>
        </w:rPr>
        <w:t xml:space="preserve"> </w:t>
      </w:r>
      <w:r w:rsidR="00392D3F">
        <w:rPr>
          <w:rFonts w:asciiTheme="majorHAnsi" w:hAnsiTheme="majorHAnsi" w:cstheme="majorHAnsi"/>
        </w:rPr>
        <w:t>initially</w:t>
      </w:r>
      <w:r>
        <w:rPr>
          <w:rFonts w:asciiTheme="majorHAnsi" w:hAnsiTheme="majorHAnsi" w:cstheme="majorHAnsi"/>
        </w:rPr>
        <w:t xml:space="preserve"> compared to </w:t>
      </w:r>
      <w:r w:rsidR="001E75F4">
        <w:rPr>
          <w:rFonts w:asciiTheme="majorHAnsi" w:hAnsiTheme="majorHAnsi" w:cstheme="majorHAnsi"/>
        </w:rPr>
        <w:t xml:space="preserve">other organs, and rapidly dropping activity with quick urine excretion (see </w:t>
      </w:r>
      <w:r w:rsidR="001E75F4">
        <w:rPr>
          <w:rFonts w:asciiTheme="majorHAnsi" w:hAnsiTheme="majorHAnsi" w:cstheme="majorHAnsi"/>
          <w:b/>
        </w:rPr>
        <w:t>Figure excreta???)</w:t>
      </w:r>
      <w:r>
        <w:rPr>
          <w:rFonts w:asciiTheme="majorHAnsi" w:hAnsiTheme="majorHAnsi" w:cstheme="majorHAnsi"/>
        </w:rPr>
        <w:t xml:space="preserve">. </w:t>
      </w:r>
      <w:r w:rsidR="00861B35">
        <w:rPr>
          <w:rFonts w:asciiTheme="majorHAnsi" w:hAnsiTheme="majorHAnsi" w:cstheme="majorHAnsi"/>
        </w:rPr>
        <w:t>Ac-227</w:t>
      </w:r>
      <w:r w:rsidR="00861B35">
        <w:rPr>
          <w:rFonts w:asciiTheme="majorHAnsi" w:hAnsiTheme="majorHAnsi" w:cstheme="majorHAnsi"/>
        </w:rPr>
        <w:t xml:space="preserve"> distribution</w:t>
      </w:r>
      <w:r w:rsidR="00861B35">
        <w:rPr>
          <w:rFonts w:asciiTheme="majorHAnsi" w:hAnsiTheme="majorHAnsi" w:cstheme="majorHAnsi"/>
        </w:rPr>
        <w:t>, however,</w:t>
      </w:r>
      <w:r w:rsidR="00861B35">
        <w:rPr>
          <w:rFonts w:asciiTheme="majorHAnsi" w:hAnsiTheme="majorHAnsi" w:cstheme="majorHAnsi"/>
        </w:rPr>
        <w:t xml:space="preserve"> indicated lingering carcass content.</w:t>
      </w:r>
      <w:r w:rsidR="00861B35">
        <w:rPr>
          <w:rFonts w:asciiTheme="majorHAnsi" w:hAnsiTheme="majorHAnsi" w:cstheme="majorHAnsi"/>
        </w:rPr>
        <w:t xml:space="preserve"> Comparing LR</w:t>
      </w:r>
      <w:r>
        <w:rPr>
          <w:rFonts w:asciiTheme="majorHAnsi" w:hAnsiTheme="majorHAnsi" w:cstheme="majorHAnsi"/>
        </w:rPr>
        <w:t xml:space="preserve">, the Ac-227 </w:t>
      </w:r>
      <w:r w:rsidR="00861B35">
        <w:rPr>
          <w:rFonts w:asciiTheme="majorHAnsi" w:hAnsiTheme="majorHAnsi" w:cstheme="majorHAnsi"/>
        </w:rPr>
        <w:t xml:space="preserve">recovery was greater than Ac-225 across the board, an opposite result to DOTA-Ac distribution. </w:t>
      </w:r>
    </w:p>
    <w:p w:rsidR="00C91C83" w:rsidRDefault="00AD2DFE" w:rsidP="00C91C83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 NOD SCID </w:t>
      </w:r>
      <w:r w:rsidR="008C03B5">
        <w:rPr>
          <w:rFonts w:asciiTheme="majorHAnsi" w:hAnsiTheme="majorHAnsi" w:cstheme="majorHAnsi"/>
        </w:rPr>
        <w:t xml:space="preserve">her-2 positive </w:t>
      </w:r>
      <w:r>
        <w:rPr>
          <w:rFonts w:asciiTheme="majorHAnsi" w:hAnsiTheme="majorHAnsi" w:cstheme="majorHAnsi"/>
        </w:rPr>
        <w:t>patient derived xenograft mice treated with</w:t>
      </w:r>
      <w:r w:rsidR="008B1E20">
        <w:rPr>
          <w:rFonts w:asciiTheme="majorHAnsi" w:hAnsiTheme="majorHAnsi" w:cstheme="majorHAnsi"/>
        </w:rPr>
        <w:t xml:space="preserve"> </w:t>
      </w:r>
      <w:r w:rsidR="008C03B5">
        <w:rPr>
          <w:rFonts w:asciiTheme="majorHAnsi" w:hAnsiTheme="majorHAnsi" w:cstheme="majorHAnsi"/>
        </w:rPr>
        <w:t xml:space="preserve">targeted </w:t>
      </w:r>
      <w:r w:rsidR="00065026">
        <w:rPr>
          <w:rFonts w:asciiTheme="majorHAnsi" w:hAnsiTheme="majorHAnsi" w:cstheme="majorHAnsi"/>
        </w:rPr>
        <w:t>T</w:t>
      </w:r>
      <w:r w:rsidR="00143FE0">
        <w:rPr>
          <w:rFonts w:asciiTheme="majorHAnsi" w:hAnsiTheme="majorHAnsi" w:cstheme="majorHAnsi"/>
        </w:rPr>
        <w:t xml:space="preserve">rastuzumab-DOTA, </w:t>
      </w:r>
      <w:r w:rsidR="000E31FA">
        <w:rPr>
          <w:rFonts w:asciiTheme="majorHAnsi" w:hAnsiTheme="majorHAnsi" w:cstheme="majorHAnsi"/>
        </w:rPr>
        <w:t>RD/g biodistribution was typical where blood circulation content decreased over time, with increasing spleen as the largest uptake, followed by liver and tumor uptake. LR for Trastuzumab-DOTA-Ac was near unity for all org</w:t>
      </w:r>
      <w:r w:rsidR="00633C1F">
        <w:rPr>
          <w:rFonts w:asciiTheme="majorHAnsi" w:hAnsiTheme="majorHAnsi" w:cstheme="majorHAnsi"/>
        </w:rPr>
        <w:t xml:space="preserve">ans other than blood and spleen. As </w:t>
      </w:r>
      <w:r w:rsidR="00065026">
        <w:rPr>
          <w:rFonts w:asciiTheme="majorHAnsi" w:hAnsiTheme="majorHAnsi" w:cstheme="majorHAnsi"/>
        </w:rPr>
        <w:t xml:space="preserve">the </w:t>
      </w:r>
      <w:r w:rsidR="00633C1F">
        <w:rPr>
          <w:rFonts w:asciiTheme="majorHAnsi" w:hAnsiTheme="majorHAnsi" w:cstheme="majorHAnsi"/>
        </w:rPr>
        <w:t xml:space="preserve">blood LR increased for Ac-225, so did spleen, </w:t>
      </w:r>
      <w:r w:rsidR="0042324E">
        <w:rPr>
          <w:rFonts w:asciiTheme="majorHAnsi" w:hAnsiTheme="majorHAnsi" w:cstheme="majorHAnsi"/>
        </w:rPr>
        <w:t xml:space="preserve">but </w:t>
      </w:r>
      <w:r w:rsidR="00633C1F">
        <w:rPr>
          <w:rFonts w:asciiTheme="majorHAnsi" w:hAnsiTheme="majorHAnsi" w:cstheme="majorHAnsi"/>
        </w:rPr>
        <w:t>with</w:t>
      </w:r>
      <w:r w:rsidR="0042324E">
        <w:rPr>
          <w:rFonts w:asciiTheme="majorHAnsi" w:hAnsiTheme="majorHAnsi" w:cstheme="majorHAnsi"/>
        </w:rPr>
        <w:t xml:space="preserve"> only</w:t>
      </w:r>
      <w:r w:rsidR="00633C1F">
        <w:rPr>
          <w:rFonts w:asciiTheme="majorHAnsi" w:hAnsiTheme="majorHAnsi" w:cstheme="majorHAnsi"/>
        </w:rPr>
        <w:t xml:space="preserve"> a</w:t>
      </w:r>
      <w:r w:rsidR="0042324E">
        <w:rPr>
          <w:rFonts w:asciiTheme="majorHAnsi" w:hAnsiTheme="majorHAnsi" w:cstheme="majorHAnsi"/>
        </w:rPr>
        <w:t xml:space="preserve"> single</w:t>
      </w:r>
      <w:r w:rsidR="00633C1F">
        <w:rPr>
          <w:rFonts w:asciiTheme="majorHAnsi" w:hAnsiTheme="majorHAnsi" w:cstheme="majorHAnsi"/>
        </w:rPr>
        <w:t xml:space="preserve"> significant difference at the final 10-day timepoint for the spleen LR (</w:t>
      </w:r>
      <w:r w:rsidR="00065026">
        <w:rPr>
          <w:rFonts w:asciiTheme="majorHAnsi" w:hAnsiTheme="majorHAnsi" w:cstheme="majorHAnsi"/>
        </w:rPr>
        <w:t xml:space="preserve">n=5, </w:t>
      </w:r>
      <w:r w:rsidR="00633C1F">
        <w:rPr>
          <w:rFonts w:asciiTheme="majorHAnsi" w:hAnsiTheme="majorHAnsi" w:cstheme="majorHAnsi"/>
        </w:rPr>
        <w:t>mean = 2.94 ± 1.43</w:t>
      </w:r>
      <w:r w:rsidR="00F360BB">
        <w:rPr>
          <w:rFonts w:asciiTheme="majorHAnsi" w:hAnsiTheme="majorHAnsi" w:cstheme="majorHAnsi"/>
        </w:rPr>
        <w:t xml:space="preserve"> st</w:t>
      </w:r>
      <w:r w:rsidR="00065026">
        <w:rPr>
          <w:rFonts w:asciiTheme="majorHAnsi" w:hAnsiTheme="majorHAnsi" w:cstheme="majorHAnsi"/>
        </w:rPr>
        <w:t>dev.</w:t>
      </w:r>
      <w:r w:rsidR="00F360BB">
        <w:rPr>
          <w:rFonts w:asciiTheme="majorHAnsi" w:hAnsiTheme="majorHAnsi" w:cstheme="majorHAnsi"/>
        </w:rPr>
        <w:t xml:space="preserve">, </w:t>
      </w:r>
      <w:r w:rsidR="007A00B2">
        <w:rPr>
          <w:rFonts w:asciiTheme="majorHAnsi" w:hAnsiTheme="majorHAnsi" w:cstheme="majorHAnsi"/>
        </w:rPr>
        <w:t xml:space="preserve">one-tailed </w:t>
      </w:r>
      <w:r w:rsidR="00F360BB">
        <w:rPr>
          <w:rFonts w:asciiTheme="majorHAnsi" w:hAnsiTheme="majorHAnsi" w:cstheme="majorHAnsi"/>
        </w:rPr>
        <w:t>P-value</w:t>
      </w:r>
      <w:r w:rsidR="00633C1F">
        <w:rPr>
          <w:rFonts w:asciiTheme="majorHAnsi" w:hAnsiTheme="majorHAnsi" w:cstheme="majorHAnsi"/>
        </w:rPr>
        <w:t xml:space="preserve"> = </w:t>
      </w:r>
      <w:r w:rsidR="007A00B2">
        <w:rPr>
          <w:rFonts w:asciiTheme="majorHAnsi" w:hAnsiTheme="majorHAnsi" w:cstheme="majorHAnsi"/>
        </w:rPr>
        <w:t>0.0</w:t>
      </w:r>
      <w:r w:rsidR="00681DC6">
        <w:rPr>
          <w:rFonts w:asciiTheme="majorHAnsi" w:hAnsiTheme="majorHAnsi" w:cstheme="majorHAnsi"/>
        </w:rPr>
        <w:t>2</w:t>
      </w:r>
      <w:r w:rsidR="007A00B2">
        <w:rPr>
          <w:rFonts w:asciiTheme="majorHAnsi" w:hAnsiTheme="majorHAnsi" w:cstheme="majorHAnsi"/>
        </w:rPr>
        <w:t xml:space="preserve"> vs. unity).</w:t>
      </w:r>
    </w:p>
    <w:p w:rsidR="00320348" w:rsidRPr="00722B68" w:rsidRDefault="00320348" w:rsidP="00C91C83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There </w:t>
      </w:r>
      <w:r w:rsidR="003B3516">
        <w:rPr>
          <w:rFonts w:asciiTheme="majorHAnsi" w:hAnsiTheme="majorHAnsi" w:cstheme="majorHAnsi"/>
        </w:rPr>
        <w:t>is</w:t>
      </w:r>
      <w:r w:rsidRPr="005720C6">
        <w:rPr>
          <w:rFonts w:asciiTheme="majorHAnsi" w:hAnsiTheme="majorHAnsi" w:cstheme="majorHAnsi"/>
        </w:rPr>
        <w:t xml:space="preserve"> a 1:5-10 ratio of 225/227 dose for DOTA (10-100:1 225/227) vs DOTA-</w:t>
      </w:r>
      <w:proofErr w:type="spellStart"/>
      <w:r w:rsidRPr="005720C6">
        <w:rPr>
          <w:rFonts w:asciiTheme="majorHAnsi" w:hAnsiTheme="majorHAnsi" w:cstheme="majorHAnsi"/>
        </w:rPr>
        <w:t>Tras</w:t>
      </w:r>
      <w:proofErr w:type="spellEnd"/>
      <w:r w:rsidRPr="005720C6">
        <w:rPr>
          <w:rFonts w:asciiTheme="majorHAnsi" w:hAnsiTheme="majorHAnsi" w:cstheme="majorHAnsi"/>
        </w:rPr>
        <w:t xml:space="preserve"> (100-500:1 225/227</w:t>
      </w:r>
      <w:r w:rsidR="004C18BE">
        <w:rPr>
          <w:rFonts w:asciiTheme="majorHAnsi" w:hAnsiTheme="majorHAnsi" w:cstheme="majorHAnsi"/>
        </w:rPr>
        <w:t>) that can be seen from the dose biodistribution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 xml:space="preserve">. </w:t>
      </w:r>
      <w:r w:rsidR="003B3516">
        <w:rPr>
          <w:rFonts w:asciiTheme="majorHAnsi" w:hAnsiTheme="majorHAnsi" w:cstheme="majorHAnsi"/>
        </w:rPr>
        <w:t>E</w:t>
      </w:r>
      <w:r w:rsidRPr="005720C6">
        <w:rPr>
          <w:rFonts w:asciiTheme="majorHAnsi" w:hAnsiTheme="majorHAnsi" w:cstheme="majorHAnsi"/>
        </w:rPr>
        <w:t xml:space="preserve">ven though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is higher fo</w:t>
      </w:r>
      <w:r w:rsidR="003B3516">
        <w:rPr>
          <w:rFonts w:asciiTheme="majorHAnsi" w:hAnsiTheme="majorHAnsi" w:cstheme="majorHAnsi"/>
        </w:rPr>
        <w:t>r the antibody compared to DOTA-</w:t>
      </w:r>
      <w:r w:rsidRPr="005720C6">
        <w:rPr>
          <w:rFonts w:asciiTheme="majorHAnsi" w:hAnsiTheme="majorHAnsi" w:cstheme="majorHAnsi"/>
        </w:rPr>
        <w:t xml:space="preserve">only with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227,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 xml:space="preserve">225 dose with the antibody is 5-10 times higher than the </w:t>
      </w:r>
      <w:r w:rsidR="003B3516">
        <w:rPr>
          <w:rFonts w:asciiTheme="majorHAnsi" w:hAnsiTheme="majorHAnsi" w:cstheme="majorHAnsi"/>
        </w:rPr>
        <w:t>Ac-</w:t>
      </w:r>
      <w:r w:rsidRPr="005720C6">
        <w:rPr>
          <w:rFonts w:asciiTheme="majorHAnsi" w:hAnsiTheme="majorHAnsi" w:cstheme="majorHAnsi"/>
        </w:rPr>
        <w:t>227 dose with the antibody, leaving more therapeutic headroom</w:t>
      </w:r>
      <w:r w:rsidR="004C18BE">
        <w:rPr>
          <w:rFonts w:asciiTheme="majorHAnsi" w:hAnsiTheme="majorHAnsi" w:cstheme="majorHAnsi"/>
        </w:rPr>
        <w:t xml:space="preserve"> (</w:t>
      </w:r>
      <w:r w:rsidR="004C18BE" w:rsidRPr="004C18BE">
        <w:rPr>
          <w:rFonts w:asciiTheme="majorHAnsi" w:hAnsiTheme="majorHAnsi" w:cstheme="majorHAnsi"/>
          <w:b/>
        </w:rPr>
        <w:t>Figure S2</w:t>
      </w:r>
      <w:r w:rsidR="004C18BE">
        <w:rPr>
          <w:rFonts w:asciiTheme="majorHAnsi" w:hAnsiTheme="majorHAnsi" w:cstheme="majorHAnsi"/>
        </w:rPr>
        <w:t>)</w:t>
      </w:r>
      <w:r w:rsidRPr="005720C6">
        <w:rPr>
          <w:rFonts w:asciiTheme="majorHAnsi" w:hAnsiTheme="majorHAnsi" w:cstheme="majorHAnsi"/>
        </w:rPr>
        <w:t>.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720C6" w:rsidRDefault="005720C6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C91C83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Calculated dose</w:t>
      </w:r>
    </w:p>
    <w:p w:rsidR="005720C6" w:rsidRPr="005720C6" w:rsidRDefault="005720C6" w:rsidP="005720C6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As far as dose, with the antibody, the spleen gets ~20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 over 50 days for 225, and ~33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 over 20 years for 227. For 225 </w:t>
      </w:r>
      <w:proofErr w:type="gramStart"/>
      <w:r w:rsidRPr="005720C6">
        <w:rPr>
          <w:rFonts w:asciiTheme="majorHAnsi" w:hAnsiTheme="majorHAnsi" w:cstheme="majorHAnsi"/>
        </w:rPr>
        <w:t>antibody</w:t>
      </w:r>
      <w:proofErr w:type="gramEnd"/>
      <w:r w:rsidRPr="005720C6">
        <w:rPr>
          <w:rFonts w:asciiTheme="majorHAnsi" w:hAnsiTheme="majorHAnsi" w:cstheme="majorHAnsi"/>
        </w:rPr>
        <w:t xml:space="preserve"> that gives a maxima of 1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 xml:space="preserve">/day at 6 days, and 0.0058 </w:t>
      </w:r>
      <w:proofErr w:type="spellStart"/>
      <w:r w:rsidRPr="005720C6">
        <w:rPr>
          <w:rFonts w:asciiTheme="majorHAnsi" w:hAnsiTheme="majorHAnsi" w:cstheme="majorHAnsi"/>
        </w:rPr>
        <w:t>Gy</w:t>
      </w:r>
      <w:proofErr w:type="spellEnd"/>
      <w:r w:rsidRPr="005720C6">
        <w:rPr>
          <w:rFonts w:asciiTheme="majorHAnsi" w:hAnsiTheme="majorHAnsi" w:cstheme="majorHAnsi"/>
        </w:rPr>
        <w:t>/day at 200 days for 227 antibody.</w:t>
      </w:r>
    </w:p>
    <w:p w:rsidR="00031F3A" w:rsidRPr="005720C6" w:rsidRDefault="00031F3A" w:rsidP="00031F3A">
      <w:pPr>
        <w:spacing w:line="480" w:lineRule="auto"/>
        <w:jc w:val="both"/>
        <w:rPr>
          <w:rFonts w:asciiTheme="majorHAnsi" w:hAnsiTheme="majorHAnsi" w:cstheme="majorHAnsi"/>
        </w:rPr>
      </w:pPr>
      <w:r w:rsidRPr="005720C6">
        <w:rPr>
          <w:rFonts w:asciiTheme="majorHAnsi" w:hAnsiTheme="majorHAnsi" w:cstheme="majorHAnsi"/>
        </w:rPr>
        <w:t xml:space="preserve">For instance, if real time points are from 0-10 days, and we extrapolate out to Ac-227 half-life (7946 days), cubic spline is used between 0-10 days, and from 10.25-7946 days are extrapolated by the final activity and decayed as if stationary according to the Ac-22X moving power average per timepoint. The difference is small for Ac-225 since it is already at equilibrium, but it is significant for Ac-227. </w:t>
      </w:r>
    </w:p>
    <w:p w:rsidR="00C91C83" w:rsidRPr="00C06710" w:rsidRDefault="00C91C83" w:rsidP="00C91C83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t>DISCUSSION</w:t>
      </w:r>
    </w:p>
    <w:p w:rsidR="00327877" w:rsidRPr="00C06710" w:rsidRDefault="00327877">
      <w:pPr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CONCLUSIONS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REFERENCES</w:t>
      </w:r>
    </w:p>
    <w:p w:rsidR="00C91C83" w:rsidRPr="00C91C83" w:rsidRDefault="004B0392" w:rsidP="00C91C83">
      <w:pPr>
        <w:widowControl w:val="0"/>
        <w:autoSpaceDE w:val="0"/>
        <w:autoSpaceDN w:val="0"/>
        <w:adjustRightInd w:val="0"/>
        <w:spacing w:line="480" w:lineRule="auto"/>
        <w:rPr>
          <w:rFonts w:ascii="Calibri Light" w:hAnsi="Calibri Light" w:cs="Calibri Light"/>
          <w:noProof/>
        </w:rPr>
      </w:pPr>
      <w:r w:rsidRPr="00C06710">
        <w:rPr>
          <w:rFonts w:asciiTheme="majorHAnsi" w:hAnsiTheme="majorHAnsi" w:cstheme="majorHAnsi"/>
          <w:b/>
        </w:rPr>
        <w:fldChar w:fldCharType="begin" w:fldLock="1"/>
      </w:r>
      <w:r w:rsidRPr="00C06710">
        <w:rPr>
          <w:rFonts w:asciiTheme="majorHAnsi" w:hAnsiTheme="majorHAnsi" w:cstheme="majorHAnsi"/>
          <w:b/>
        </w:rPr>
        <w:instrText xml:space="preserve">ADDIN Mendeley Bibliography CSL_BIBLIOGRAPHY </w:instrText>
      </w:r>
      <w:r w:rsidRPr="00C06710">
        <w:rPr>
          <w:rFonts w:asciiTheme="majorHAnsi" w:hAnsiTheme="majorHAnsi" w:cstheme="majorHAnsi"/>
          <w:b/>
        </w:rPr>
        <w:fldChar w:fldCharType="separate"/>
      </w:r>
      <w:r w:rsidR="00C91C83" w:rsidRPr="00C91C83">
        <w:rPr>
          <w:rFonts w:ascii="Calibri Light" w:hAnsi="Calibri Light" w:cs="Calibri Light"/>
          <w:noProof/>
          <w:szCs w:val="24"/>
        </w:rPr>
        <w:t>Use the "Insert Citation" button to add citations to this document.</w:t>
      </w:r>
    </w:p>
    <w:p w:rsidR="004B0392" w:rsidRPr="00C06710" w:rsidRDefault="004B0392" w:rsidP="00FB1FE2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fldChar w:fldCharType="end"/>
      </w:r>
    </w:p>
    <w:p w:rsidR="00DC487F" w:rsidRPr="00C06710" w:rsidRDefault="00DC487F" w:rsidP="00FB1FE2">
      <w:pPr>
        <w:spacing w:line="480" w:lineRule="auto"/>
        <w:jc w:val="both"/>
        <w:rPr>
          <w:rFonts w:asciiTheme="majorHAnsi" w:hAnsiTheme="majorHAnsi" w:cstheme="majorHAnsi"/>
        </w:rPr>
      </w:pP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FIGURES</w:t>
      </w:r>
    </w:p>
    <w:p w:rsidR="00E87AE7" w:rsidRPr="00C06710" w:rsidRDefault="00DE4F74" w:rsidP="00413A2D">
      <w:pPr>
        <w:spacing w:after="0" w:line="24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1489464</wp:posOffset>
                </wp:positionH>
                <wp:positionV relativeFrom="paragraph">
                  <wp:posOffset>116205</wp:posOffset>
                </wp:positionV>
                <wp:extent cx="339278" cy="3037832"/>
                <wp:effectExtent l="0" t="0" r="0" b="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9278" cy="3037832"/>
                          <a:chOff x="678503" y="-51623"/>
                          <a:chExt cx="339316" cy="3038040"/>
                        </a:xfrm>
                      </wpg:grpSpPr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78503" y="-51623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15477" y="267670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4F74" w:rsidRPr="004C5CCC" w:rsidRDefault="00DE4F74" w:rsidP="00DE4F74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5" o:spid="_x0000_s1026" style="position:absolute;left:0;text-align:left;margin-left:117.3pt;margin-top:9.15pt;width:26.7pt;height:239.2pt;z-index:251679744;mso-width-relative:margin;mso-height-relative:margin" coordorigin="6785,-516" coordsize="3393,30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785;top:-516;width:3023;height: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28" type="#_x0000_t202" style="position:absolute;left:7154;top:2676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:rsidR="00DE4F74" w:rsidRPr="004C5CCC" w:rsidRDefault="00DE4F74" w:rsidP="00DE4F74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6861" w:rsidRDefault="00B06003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5pt;height:198pt">
            <v:imagedata r:id="rId8" o:title="Ac-225_Decay_Chain"/>
          </v:shape>
        </w:pict>
      </w:r>
      <w:r w:rsidR="002F6861">
        <w:rPr>
          <w:rFonts w:asciiTheme="majorHAnsi" w:hAnsiTheme="majorHAnsi" w:cstheme="majorHAnsi"/>
          <w:noProof/>
        </w:rPr>
        <w:drawing>
          <wp:inline distT="0" distB="0" distL="0" distR="0" wp14:anchorId="6176DAE9" wp14:editId="27B8FE34">
            <wp:extent cx="3090885" cy="2343105"/>
            <wp:effectExtent l="0" t="0" r="0" b="635"/>
            <wp:docPr id="1" name="Picture 1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90"/>
                    <a:stretch/>
                  </pic:blipFill>
                  <pic:spPr bwMode="auto">
                    <a:xfrm>
                      <a:off x="0" y="0"/>
                      <a:ext cx="3129716" cy="237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87AE7" w:rsidRPr="00C06710" w:rsidRDefault="002F6861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7217720A" wp14:editId="087ECC78">
            <wp:extent cx="811038" cy="2638571"/>
            <wp:effectExtent l="0" t="0" r="8255" b="0"/>
            <wp:docPr id="3" name="Picture 3" descr="C:\Users\cesiu\AppData\Local\Microsoft\Windows\INetCache\Content.Word\Ac-227_Decay_Ch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cesiu\AppData\Local\Microsoft\Windows\INetCache\Content.Word\Ac-227_Decay_Chai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55" cy="2779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0B7B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  <w:noProof/>
        </w:rPr>
        <w:drawing>
          <wp:inline distT="0" distB="0" distL="0" distR="0" wp14:anchorId="6B7FBAE5" wp14:editId="1E31E545">
            <wp:extent cx="3154762" cy="2360428"/>
            <wp:effectExtent l="0" t="0" r="7620" b="1905"/>
            <wp:docPr id="2" name="Picture 2" descr="C:\Users\cesiu\AppData\Local\Microsoft\Windows\INetCache\Content.Word\225vs2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cesiu\AppData\Local\Microsoft\Windows\INetCache\Content.Word\225vs22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331"/>
                    <a:stretch/>
                  </pic:blipFill>
                  <pic:spPr bwMode="auto">
                    <a:xfrm>
                      <a:off x="0" y="0"/>
                      <a:ext cx="3154762" cy="2360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5B8D" w:rsidRDefault="00D22BF5" w:rsidP="002F6861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>Figure 1.</w:t>
      </w:r>
      <w:r w:rsidRPr="00C06710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 xml:space="preserve">Comparison of </w:t>
      </w:r>
      <w:r w:rsidR="00473E19" w:rsidRPr="00473E19">
        <w:rPr>
          <w:rFonts w:asciiTheme="majorHAnsi" w:hAnsiTheme="majorHAnsi" w:cstheme="majorHAnsi"/>
          <w:b/>
        </w:rPr>
        <w:t>A)</w:t>
      </w:r>
      <w:r w:rsidR="00473E19">
        <w:rPr>
          <w:rFonts w:asciiTheme="majorHAnsi" w:hAnsiTheme="majorHAnsi" w:cstheme="majorHAnsi"/>
        </w:rPr>
        <w:t xml:space="preserve"> </w:t>
      </w:r>
      <w:r w:rsidR="00827A42">
        <w:rPr>
          <w:rFonts w:asciiTheme="majorHAnsi" w:hAnsiTheme="majorHAnsi" w:cstheme="majorHAnsi"/>
        </w:rPr>
        <w:t>Ac-225 and</w:t>
      </w:r>
      <w:r w:rsidR="00473E19">
        <w:rPr>
          <w:rFonts w:asciiTheme="majorHAnsi" w:hAnsiTheme="majorHAnsi" w:cstheme="majorHAnsi"/>
        </w:rPr>
        <w:t xml:space="preserve"> </w:t>
      </w:r>
      <w:r w:rsidR="00473E19" w:rsidRPr="00473E19">
        <w:rPr>
          <w:rFonts w:asciiTheme="majorHAnsi" w:hAnsiTheme="majorHAnsi" w:cstheme="majorHAnsi"/>
          <w:b/>
        </w:rPr>
        <w:t>B)</w:t>
      </w:r>
      <w:r w:rsidR="00827A42">
        <w:rPr>
          <w:rFonts w:asciiTheme="majorHAnsi" w:hAnsiTheme="majorHAnsi" w:cstheme="majorHAnsi"/>
        </w:rPr>
        <w:t xml:space="preserve"> Ac-227 decay.</w:t>
      </w:r>
      <w:r w:rsidR="002F6861">
        <w:rPr>
          <w:rFonts w:asciiTheme="majorHAnsi" w:hAnsiTheme="majorHAnsi" w:cstheme="majorHAnsi"/>
        </w:rPr>
        <w:t xml:space="preserve"> </w:t>
      </w:r>
      <w:r w:rsidR="002F6861" w:rsidRPr="002F6861">
        <w:rPr>
          <w:rFonts w:asciiTheme="majorHAnsi" w:hAnsiTheme="majorHAnsi" w:cstheme="majorHAnsi"/>
          <w:b/>
        </w:rPr>
        <w:t>Left:</w:t>
      </w:r>
      <w:r w:rsidR="00827A42">
        <w:rPr>
          <w:rFonts w:asciiTheme="majorHAnsi" w:hAnsiTheme="majorHAnsi" w:cstheme="majorHAnsi"/>
        </w:rPr>
        <w:t xml:space="preserve"> Vertical placement is in relation to proton count. Parent is in teal, final daughter is in salm</w:t>
      </w:r>
      <w:bookmarkStart w:id="0" w:name="_GoBack"/>
      <w:bookmarkEnd w:id="0"/>
      <w:r w:rsidR="00827A42">
        <w:rPr>
          <w:rFonts w:asciiTheme="majorHAnsi" w:hAnsiTheme="majorHAnsi" w:cstheme="majorHAnsi"/>
        </w:rPr>
        <w:t>on, intermediate species with &gt;0.1% incidence are blue.</w:t>
      </w:r>
      <w:r w:rsidR="00536F26">
        <w:rPr>
          <w:rFonts w:asciiTheme="majorHAnsi" w:hAnsiTheme="majorHAnsi" w:cstheme="majorHAnsi"/>
        </w:rPr>
        <w:t xml:space="preserve"> Line thickness indicates probability (thicker is greater probability).</w:t>
      </w:r>
      <w:r w:rsidR="002F6861">
        <w:rPr>
          <w:rFonts w:asciiTheme="majorHAnsi" w:hAnsiTheme="majorHAnsi" w:cstheme="majorHAnsi"/>
        </w:rPr>
        <w:t xml:space="preserve"> </w:t>
      </w:r>
      <w:r w:rsidR="002F6861">
        <w:rPr>
          <w:rFonts w:asciiTheme="majorHAnsi" w:hAnsiTheme="majorHAnsi" w:cstheme="majorHAnsi"/>
          <w:b/>
        </w:rPr>
        <w:t>Right:</w:t>
      </w:r>
      <w:r w:rsidR="002F6861">
        <w:rPr>
          <w:rFonts w:asciiTheme="majorHAnsi" w:hAnsiTheme="majorHAnsi" w:cstheme="majorHAnsi"/>
        </w:rPr>
        <w:t xml:space="preserve"> </w:t>
      </w:r>
      <w:r w:rsidR="00841B05">
        <w:rPr>
          <w:rFonts w:asciiTheme="majorHAnsi" w:hAnsiTheme="majorHAnsi" w:cstheme="majorHAnsi"/>
        </w:rPr>
        <w:t>S</w:t>
      </w:r>
      <w:r w:rsidR="002F6861">
        <w:rPr>
          <w:rFonts w:asciiTheme="majorHAnsi" w:hAnsiTheme="majorHAnsi" w:cstheme="majorHAnsi"/>
        </w:rPr>
        <w:t>pecies activity in relation to pure actinium parent at t=0 [% Activity</w:t>
      </w:r>
      <w:r w:rsidR="00841B05">
        <w:rPr>
          <w:rFonts w:asciiTheme="majorHAnsi" w:hAnsiTheme="majorHAnsi" w:cstheme="majorHAnsi"/>
        </w:rPr>
        <w:t xml:space="preserve"> of Species</w:t>
      </w:r>
      <w:r w:rsidR="002F6861">
        <w:rPr>
          <w:rFonts w:asciiTheme="majorHAnsi" w:hAnsiTheme="majorHAnsi" w:cstheme="majorHAnsi"/>
        </w:rPr>
        <w:t>(t) / Ac-22</w:t>
      </w:r>
      <w:proofErr w:type="gramStart"/>
      <w:r w:rsidR="002F6861">
        <w:rPr>
          <w:rFonts w:asciiTheme="majorHAnsi" w:hAnsiTheme="majorHAnsi" w:cstheme="majorHAnsi"/>
        </w:rPr>
        <w:t>X(</w:t>
      </w:r>
      <w:proofErr w:type="gramEnd"/>
      <w:r w:rsidR="002F6861">
        <w:rPr>
          <w:rFonts w:asciiTheme="majorHAnsi" w:hAnsiTheme="majorHAnsi" w:cstheme="majorHAnsi"/>
        </w:rPr>
        <w:t>0)].</w:t>
      </w:r>
      <w:r w:rsidR="00536F26">
        <w:rPr>
          <w:rFonts w:asciiTheme="majorHAnsi" w:hAnsiTheme="majorHAnsi" w:cstheme="majorHAnsi"/>
        </w:rPr>
        <w:t xml:space="preserve"> SUM is total of all species.</w:t>
      </w:r>
      <w:r w:rsidR="009E5B8D">
        <w:rPr>
          <w:rFonts w:asciiTheme="majorHAnsi" w:hAnsiTheme="majorHAnsi" w:cstheme="majorHAnsi"/>
        </w:rPr>
        <w:br w:type="page"/>
      </w:r>
    </w:p>
    <w:p w:rsidR="00563D98" w:rsidRPr="00563D98" w:rsidRDefault="004C5CC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pict>
          <v:shape id="_x0000_i1044" type="#_x0000_t75" style="width:467.4pt;height:289.15pt">
            <v:imagedata r:id="rId11" o:title="RDperG"/>
          </v:shape>
        </w:pict>
      </w:r>
    </w:p>
    <w:p w:rsidR="00DE5EED" w:rsidRDefault="00B23001">
      <w:pPr>
        <w:rPr>
          <w:rFonts w:asciiTheme="majorHAnsi" w:hAnsiTheme="majorHAnsi" w:cstheme="majorHAnsi"/>
        </w:rPr>
      </w:pPr>
      <w:r w:rsidRPr="00B23001">
        <w:rPr>
          <w:rFonts w:asciiTheme="majorHAnsi" w:hAnsiTheme="majorHAnsi" w:cstheme="majorHAnsi"/>
          <w:b/>
        </w:rPr>
        <w:t>Figure 2.</w:t>
      </w:r>
      <w:r>
        <w:rPr>
          <w:rFonts w:asciiTheme="majorHAnsi" w:hAnsiTheme="majorHAnsi" w:cstheme="majorHAnsi"/>
        </w:rPr>
        <w:t xml:space="preserve"> %Recovered dose per mass (%RD/g).</w:t>
      </w:r>
      <w:r w:rsidR="00DE5EED">
        <w:rPr>
          <w:rFonts w:asciiTheme="majorHAnsi" w:hAnsiTheme="majorHAnsi" w:cstheme="majorHAnsi"/>
        </w:rPr>
        <w:br w:type="page"/>
      </w:r>
    </w:p>
    <w:p w:rsidR="00DE5EED" w:rsidRDefault="0042324E" w:rsidP="00DE5EED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pict>
          <v:shape id="_x0000_i1042" type="#_x0000_t75" style="width:467.4pt;height:96.4pt">
            <v:imagedata r:id="rId12" o:title="localizationRatio"/>
          </v:shape>
        </w:pict>
      </w:r>
    </w:p>
    <w:p w:rsidR="00DE5EED" w:rsidRPr="00C06710" w:rsidRDefault="00DE5EED" w:rsidP="00DE5EED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3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D107CF">
        <w:rPr>
          <w:rFonts w:asciiTheme="majorHAnsi" w:hAnsiTheme="majorHAnsi" w:cstheme="majorHAnsi"/>
        </w:rPr>
        <w:t>L</w:t>
      </w:r>
      <w:r>
        <w:rPr>
          <w:rFonts w:asciiTheme="majorHAnsi" w:hAnsiTheme="majorHAnsi" w:cstheme="majorHAnsi"/>
        </w:rPr>
        <w:t>ocalization ratio (</w:t>
      </w:r>
      <w:r w:rsidR="00D107CF">
        <w:rPr>
          <w:rFonts w:asciiTheme="majorHAnsi" w:hAnsiTheme="majorHAnsi" w:cstheme="majorHAnsi"/>
        </w:rPr>
        <w:t xml:space="preserve">recovered dose per mass of </w:t>
      </w:r>
      <w:r>
        <w:rPr>
          <w:rFonts w:asciiTheme="majorHAnsi" w:hAnsiTheme="majorHAnsi" w:cstheme="majorHAnsi"/>
        </w:rPr>
        <w:t>Ac-225/Ac-227).</w:t>
      </w:r>
      <w:r w:rsidR="00392D3F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>*</w:t>
      </w:r>
      <w:r w:rsidR="00DE4F74">
        <w:rPr>
          <w:rFonts w:asciiTheme="majorHAnsi" w:hAnsiTheme="majorHAnsi" w:cstheme="majorHAnsi"/>
        </w:rPr>
        <w:t xml:space="preserve">P-value </w:t>
      </w:r>
      <w:r w:rsidR="0042324E">
        <w:rPr>
          <w:rFonts w:asciiTheme="majorHAnsi" w:hAnsiTheme="majorHAnsi" w:cstheme="majorHAnsi"/>
        </w:rPr>
        <w:t>&lt;</w:t>
      </w:r>
      <w:r w:rsidR="00DE4F74">
        <w:rPr>
          <w:rFonts w:asciiTheme="majorHAnsi" w:hAnsiTheme="majorHAnsi" w:cstheme="majorHAnsi"/>
        </w:rPr>
        <w:t xml:space="preserve"> </w:t>
      </w:r>
      <w:r w:rsidR="0042324E">
        <w:rPr>
          <w:rFonts w:asciiTheme="majorHAnsi" w:hAnsiTheme="majorHAnsi" w:cstheme="majorHAnsi"/>
        </w:rPr>
        <w:t xml:space="preserve">0.05. </w:t>
      </w:r>
      <w:r w:rsidR="00392D3F">
        <w:rPr>
          <w:rFonts w:asciiTheme="majorHAnsi" w:hAnsiTheme="majorHAnsi" w:cstheme="majorHAnsi"/>
        </w:rPr>
        <w:t>*</w:t>
      </w:r>
      <w:r w:rsidR="0042324E">
        <w:rPr>
          <w:rFonts w:asciiTheme="majorHAnsi" w:hAnsiTheme="majorHAnsi" w:cstheme="majorHAnsi"/>
        </w:rPr>
        <w:t>*</w:t>
      </w:r>
      <w:r w:rsidR="00B07E3D">
        <w:rPr>
          <w:rFonts w:asciiTheme="majorHAnsi" w:hAnsiTheme="majorHAnsi" w:cstheme="majorHAnsi"/>
        </w:rPr>
        <w:t xml:space="preserve">value out-of-scale, </w:t>
      </w:r>
      <w:r w:rsidR="00392D3F">
        <w:rPr>
          <w:rFonts w:asciiTheme="majorHAnsi" w:hAnsiTheme="majorHAnsi" w:cstheme="majorHAnsi"/>
        </w:rPr>
        <w:t>mean 10.8 ± 19.0</w:t>
      </w:r>
      <w:r w:rsidR="005F5EFB">
        <w:rPr>
          <w:rFonts w:asciiTheme="majorHAnsi" w:hAnsiTheme="majorHAnsi" w:cstheme="majorHAnsi"/>
        </w:rPr>
        <w:t xml:space="preserve"> stdev.</w:t>
      </w:r>
    </w:p>
    <w:p w:rsidR="00DE5EED" w:rsidRDefault="00DE5EED" w:rsidP="00C91C83">
      <w:pPr>
        <w:rPr>
          <w:rFonts w:asciiTheme="majorHAnsi" w:hAnsiTheme="majorHAnsi" w:cstheme="majorHAnsi"/>
        </w:rPr>
      </w:pPr>
    </w:p>
    <w:p w:rsidR="00435035" w:rsidRDefault="0043503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E87AE7" w:rsidRPr="00C06710" w:rsidRDefault="00526BC6" w:rsidP="00C91C8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-221226</wp:posOffset>
                </wp:positionH>
                <wp:positionV relativeFrom="paragraph">
                  <wp:posOffset>479323</wp:posOffset>
                </wp:positionV>
                <wp:extent cx="4365477" cy="3288890"/>
                <wp:effectExtent l="0" t="0" r="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477" cy="3288890"/>
                          <a:chOff x="0" y="0"/>
                          <a:chExt cx="4365477" cy="3288890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2485129" cy="3281046"/>
                            <a:chOff x="0" y="0"/>
                            <a:chExt cx="2485129" cy="3281046"/>
                          </a:xfrm>
                        </wpg:grpSpPr>
                        <wps:wsp>
                          <wps:cNvPr id="1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" y="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4C5CCC">
                                  <w:rPr>
                                    <w:b/>
                                    <w:sz w:val="32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30594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" y="2964426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1142" y="29497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67653" y="1533833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82787" y="2971330"/>
                              <a:ext cx="302342" cy="30971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26BC6" w:rsidRPr="004C5CCC" w:rsidRDefault="00526BC6" w:rsidP="00526BC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>
                                  <w:rPr>
                                    <w:b/>
                                    <w:sz w:val="32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0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6BC6" w:rsidRPr="004C5CCC" w:rsidRDefault="00526BC6" w:rsidP="00526BC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6310" y="1526458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6BC6" w:rsidRPr="004C5CCC" w:rsidRDefault="00526BC6" w:rsidP="00526BC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63181" y="2979174"/>
                            <a:ext cx="302296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6BC6" w:rsidRPr="004C5CCC" w:rsidRDefault="00526BC6" w:rsidP="00526BC6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9" style="position:absolute;margin-left:-17.4pt;margin-top:37.75pt;width:343.75pt;height:258.95pt;z-index:251676672" coordsize="43654,32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">
                <v:group id="Group 13" o:spid="_x0000_s1030" style="position:absolute;width:24851;height:32810" coordsize="24851,32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" o:spid="_x0000_s1031" type="#_x0000_t202" style="position:absolute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 w:rsidRPr="004C5CCC">
                            <w:rPr>
                              <w:b/>
                              <w:sz w:val="32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top:14305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" o:spid="_x0000_s1033" type="#_x0000_t202" style="position:absolute;top:2964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" o:spid="_x0000_s1034" type="#_x0000_t202" style="position:absolute;left:21311;top:294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2" o:spid="_x0000_s1035" type="#_x0000_t202" style="position:absolute;left:21676;top:15338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2" o:spid="_x0000_s1036" type="#_x0000_t202" style="position:absolute;left:21827;top:29713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526BC6" w:rsidRPr="004C5CCC" w:rsidRDefault="00526BC6" w:rsidP="00526BC6">
                          <w:pPr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v:shape id="Text Box 2" o:spid="_x0000_s1037" type="#_x0000_t202" style="position:absolute;left:4026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:rsidR="00526BC6" w:rsidRPr="004C5CCC" w:rsidRDefault="00526BC6" w:rsidP="00526BC6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G</w:t>
                        </w:r>
                      </w:p>
                    </w:txbxContent>
                  </v:textbox>
                </v:shape>
                <v:shape id="Text Box 2" o:spid="_x0000_s1038" type="#_x0000_t202" style="position:absolute;left:40263;top:15264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:rsidR="00526BC6" w:rsidRPr="004C5CCC" w:rsidRDefault="00526BC6" w:rsidP="00526BC6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H</w:t>
                        </w:r>
                      </w:p>
                    </w:txbxContent>
                  </v:textbox>
                </v:shape>
                <v:shape id="Text Box 2" o:spid="_x0000_s1039" type="#_x0000_t202" style="position:absolute;left:40631;top:2979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<v:textbox>
                    <w:txbxContent>
                      <w:p w:rsidR="00526BC6" w:rsidRPr="004C5CCC" w:rsidRDefault="00526BC6" w:rsidP="00526BC6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3AF2">
        <w:rPr>
          <w:rFonts w:asciiTheme="majorHAnsi" w:hAnsiTheme="majorHAnsi" w:cstheme="majorHAnsi"/>
          <w:noProof/>
        </w:rPr>
        <w:drawing>
          <wp:inline distT="0" distB="0" distL="0" distR="0">
            <wp:extent cx="5943600" cy="5092700"/>
            <wp:effectExtent l="0" t="0" r="0" b="0"/>
            <wp:docPr id="5" name="Picture 5" descr="C:\Users\cesiu\AppData\Local\Microsoft\Windows\INetCache\Content.Word\plot1c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cesiu\AppData\Local\Microsoft\Windows\INetCache\Content.Word\plot1co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AE7" w:rsidRPr="00C06710" w:rsidRDefault="00DE5EED" w:rsidP="00E87AE7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Figure 4</w:t>
      </w:r>
      <w:r w:rsidR="00D22BF5" w:rsidRPr="00C06710">
        <w:rPr>
          <w:rFonts w:asciiTheme="majorHAnsi" w:hAnsiTheme="majorHAnsi" w:cstheme="majorHAnsi"/>
          <w:b/>
        </w:rPr>
        <w:t>.</w:t>
      </w:r>
      <w:r w:rsidR="00D22BF5"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over one Ac-227 half life.</w:t>
      </w:r>
    </w:p>
    <w:p w:rsidR="00E87AE7" w:rsidRPr="00C06710" w:rsidRDefault="004C5CCC" w:rsidP="00413A2D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-103239</wp:posOffset>
                </wp:positionH>
                <wp:positionV relativeFrom="paragraph">
                  <wp:posOffset>508819</wp:posOffset>
                </wp:positionV>
                <wp:extent cx="4284407" cy="2507226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4407" cy="2507226"/>
                          <a:chOff x="0" y="0"/>
                          <a:chExt cx="4284407" cy="2507226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71" y="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 w:rsidRPr="004C5CCC">
                                <w:rPr>
                                  <w:b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45891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 w:rsidP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7375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 w:rsidP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31142" y="2190136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 w:rsidP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14749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 w:rsidP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982065" y="2197510"/>
                            <a:ext cx="302342" cy="30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C5CCC" w:rsidRPr="004C5CCC" w:rsidRDefault="004C5CCC" w:rsidP="004C5CCC">
                              <w:pPr>
                                <w:rPr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40" style="position:absolute;left:0;text-align:left;margin-left:-8.15pt;margin-top:40.05pt;width:337.35pt;height:197.4pt;z-index:251667456" coordsize="42844,250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">
                <v:shape id="Text Box 2" o:spid="_x0000_s1041" type="#_x0000_t202" style="position:absolute;left:368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:rsidR="004C5CCC" w:rsidRPr="004C5CCC" w:rsidRDefault="004C5CCC">
                        <w:pPr>
                          <w:rPr>
                            <w:b/>
                            <w:sz w:val="32"/>
                          </w:rPr>
                        </w:pPr>
                        <w:r w:rsidRPr="004C5CCC">
                          <w:rPr>
                            <w:b/>
                            <w:sz w:val="32"/>
                          </w:rPr>
                          <w:t>A</w:t>
                        </w:r>
                      </w:p>
                    </w:txbxContent>
                  </v:textbox>
                </v:shape>
                <v:shape id="Text Box 2" o:spid="_x0000_s1042" type="#_x0000_t202" style="position:absolute;top:21458;width:3023;height:30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4C5CCC" w:rsidRPr="004C5CCC" w:rsidRDefault="004C5CCC" w:rsidP="004C5CC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B</w:t>
                        </w:r>
                      </w:p>
                    </w:txbxContent>
                  </v:textbox>
                </v:shape>
                <v:shape id="Text Box 2" o:spid="_x0000_s1043" type="#_x0000_t202" style="position:absolute;left:21311;top:73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:rsidR="004C5CCC" w:rsidRPr="004C5CCC" w:rsidRDefault="004C5CCC" w:rsidP="004C5CC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C</w:t>
                        </w:r>
                      </w:p>
                    </w:txbxContent>
                  </v:textbox>
                </v:shape>
                <v:shape id="Text Box 2" o:spid="_x0000_s1044" type="#_x0000_t202" style="position:absolute;left:21311;top:21901;width:3023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4C5CCC" w:rsidRPr="004C5CCC" w:rsidRDefault="004C5CCC" w:rsidP="004C5CC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D</w:t>
                        </w:r>
                      </w:p>
                    </w:txbxContent>
                  </v:textbox>
                </v:shape>
                <v:shape id="Text Box 2" o:spid="_x0000_s1045" type="#_x0000_t202" style="position:absolute;left:39820;top:147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:rsidR="004C5CCC" w:rsidRPr="004C5CCC" w:rsidRDefault="004C5CCC" w:rsidP="004C5CC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E</w:t>
                        </w:r>
                      </w:p>
                    </w:txbxContent>
                  </v:textbox>
                </v:shape>
                <v:shape id="Text Box 2" o:spid="_x0000_s1046" type="#_x0000_t202" style="position:absolute;left:39820;top:21975;width:302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:rsidR="004C5CCC" w:rsidRPr="004C5CCC" w:rsidRDefault="004C5CCC" w:rsidP="004C5CCC">
                        <w:pPr>
                          <w:rPr>
                            <w:b/>
                            <w:sz w:val="32"/>
                          </w:rPr>
                        </w:pPr>
                        <w:r>
                          <w:rPr>
                            <w:b/>
                            <w:sz w:val="32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06003">
        <w:rPr>
          <w:rFonts w:asciiTheme="majorHAnsi" w:hAnsiTheme="majorHAnsi" w:cstheme="majorHAnsi"/>
        </w:rPr>
        <w:pict>
          <v:shape id="_x0000_i1059" type="#_x0000_t75" style="width:467.4pt;height:400.65pt">
            <v:imagedata r:id="rId14" o:title="plot2cont"/>
          </v:shape>
        </w:pict>
      </w:r>
    </w:p>
    <w:p w:rsidR="00E87AE7" w:rsidRPr="00DE5EED" w:rsidRDefault="00B230B2" w:rsidP="00DE5EED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 w:rsidR="00DE5EED">
        <w:rPr>
          <w:rFonts w:asciiTheme="majorHAnsi" w:hAnsiTheme="majorHAnsi" w:cstheme="majorHAnsi"/>
          <w:b/>
        </w:rPr>
        <w:t>5</w:t>
      </w:r>
      <w:r w:rsidRPr="00C06710">
        <w:rPr>
          <w:rFonts w:asciiTheme="majorHAnsi" w:hAnsiTheme="majorHAnsi" w:cstheme="majorHAnsi"/>
          <w:b/>
        </w:rPr>
        <w:t>.</w:t>
      </w:r>
      <w:r w:rsidRPr="00C06710">
        <w:rPr>
          <w:rFonts w:asciiTheme="majorHAnsi" w:hAnsiTheme="majorHAnsi" w:cstheme="majorHAnsi"/>
        </w:rPr>
        <w:t xml:space="preserve"> </w:t>
      </w:r>
      <w:r w:rsidR="00435035">
        <w:rPr>
          <w:rFonts w:asciiTheme="majorHAnsi" w:hAnsiTheme="majorHAnsi" w:cstheme="majorHAnsi"/>
        </w:rPr>
        <w:t>Dose per day over one Ac-227 half life.</w:t>
      </w:r>
      <w:r w:rsidR="00E87AE7"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DISCLOSURE</w:t>
      </w:r>
    </w:p>
    <w:p w:rsidR="00DC487F" w:rsidRPr="00C06710" w:rsidRDefault="00C06710" w:rsidP="00FB1FE2">
      <w:pPr>
        <w:spacing w:line="480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authors have no disclosures.</w:t>
      </w:r>
    </w:p>
    <w:p w:rsidR="00677A09" w:rsidRPr="00C06710" w:rsidRDefault="00677A09" w:rsidP="00FB1FE2">
      <w:pPr>
        <w:jc w:val="both"/>
        <w:rPr>
          <w:rFonts w:asciiTheme="majorHAnsi" w:hAnsiTheme="majorHAnsi" w:cstheme="majorHAnsi"/>
          <w:b/>
        </w:rPr>
      </w:pPr>
      <w:r w:rsidRPr="00C06710">
        <w:rPr>
          <w:rFonts w:asciiTheme="majorHAnsi" w:hAnsiTheme="majorHAnsi" w:cstheme="majorHAnsi"/>
          <w:b/>
        </w:rPr>
        <w:br w:type="page"/>
      </w:r>
    </w:p>
    <w:p w:rsidR="00DC487F" w:rsidRPr="00C06710" w:rsidRDefault="00327877" w:rsidP="00FB1FE2">
      <w:pPr>
        <w:spacing w:line="480" w:lineRule="auto"/>
        <w:jc w:val="both"/>
        <w:rPr>
          <w:rFonts w:asciiTheme="majorHAnsi" w:hAnsiTheme="majorHAnsi" w:cstheme="majorHAnsi"/>
          <w:b/>
          <w:sz w:val="24"/>
        </w:rPr>
      </w:pPr>
      <w:r w:rsidRPr="00C06710">
        <w:rPr>
          <w:rFonts w:asciiTheme="majorHAnsi" w:hAnsiTheme="majorHAnsi" w:cstheme="majorHAnsi"/>
          <w:b/>
          <w:sz w:val="24"/>
        </w:rPr>
        <w:lastRenderedPageBreak/>
        <w:t>ACKNOWLEDGEMENTS</w:t>
      </w:r>
    </w:p>
    <w:p w:rsidR="009B5463" w:rsidRDefault="001707AE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</w:rPr>
        <w:t xml:space="preserve">This work was supported by </w:t>
      </w:r>
    </w:p>
    <w:p w:rsidR="009B5463" w:rsidRDefault="009B546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p w:rsidR="00F1782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 w:rsidRPr="009B5463">
        <w:rPr>
          <w:rFonts w:asciiTheme="majorHAnsi" w:hAnsiTheme="majorHAnsi" w:cstheme="majorHAnsi"/>
          <w:b/>
        </w:rPr>
        <w:lastRenderedPageBreak/>
        <w:t>SUPPLEMENTAL INFORMATION</w:t>
      </w:r>
    </w:p>
    <w:p w:rsidR="009B5463" w:rsidRDefault="00473E19" w:rsidP="00536F26">
      <w:pPr>
        <w:spacing w:line="480" w:lineRule="auto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9" type="#_x0000_t75" style="width:234pt;height:239.25pt">
            <v:imagedata r:id="rId15" o:title="ave MeV per count"/>
          </v:shape>
        </w:pict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</w:rPr>
      </w:pPr>
      <w:r w:rsidRPr="009B5463">
        <w:rPr>
          <w:rFonts w:asciiTheme="majorHAnsi" w:hAnsiTheme="majorHAnsi" w:cstheme="majorHAnsi"/>
          <w:b/>
        </w:rPr>
        <w:t xml:space="preserve">Figure S1. </w:t>
      </w:r>
      <w:r>
        <w:rPr>
          <w:rFonts w:asciiTheme="majorHAnsi" w:hAnsiTheme="majorHAnsi" w:cstheme="majorHAnsi"/>
        </w:rPr>
        <w:t>Starting with pure actinium species without daughters, equilibrium of average energy per destruction (counting both alpha and beta species) occurs rapidly within one day for Ac-225, and only after 100 days for Ac-227.</w:t>
      </w:r>
    </w:p>
    <w:p w:rsidR="004C18BE" w:rsidRDefault="004C5CCC" w:rsidP="004C18BE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pict>
          <v:shape id="_x0000_i1046" type="#_x0000_t75" style="width:468pt;height:301.35pt">
            <v:imagedata r:id="rId16" o:title="BioD_combo_2"/>
          </v:shape>
        </w:pict>
      </w:r>
    </w:p>
    <w:p w:rsidR="004C18BE" w:rsidRDefault="004C18BE" w:rsidP="004C18BE">
      <w:pPr>
        <w:rPr>
          <w:rFonts w:asciiTheme="majorHAnsi" w:hAnsiTheme="majorHAnsi" w:cstheme="majorHAnsi"/>
        </w:rPr>
      </w:pPr>
      <w:r w:rsidRPr="00C06710">
        <w:rPr>
          <w:rFonts w:asciiTheme="majorHAnsi" w:hAnsiTheme="majorHAnsi" w:cstheme="majorHAnsi"/>
          <w:b/>
        </w:rPr>
        <w:t xml:space="preserve">Figure </w:t>
      </w:r>
      <w:r>
        <w:rPr>
          <w:rFonts w:asciiTheme="majorHAnsi" w:hAnsiTheme="majorHAnsi" w:cstheme="majorHAnsi"/>
          <w:b/>
        </w:rPr>
        <w:t>S</w:t>
      </w:r>
      <w:r w:rsidRPr="00C06710">
        <w:rPr>
          <w:rFonts w:asciiTheme="majorHAnsi" w:hAnsiTheme="majorHAnsi" w:cstheme="majorHAnsi"/>
          <w:b/>
        </w:rPr>
        <w:t>2.</w:t>
      </w:r>
      <w:r w:rsidRPr="00C06710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Dose biodistribution</w:t>
      </w:r>
      <w:r w:rsidR="00563D98">
        <w:rPr>
          <w:rFonts w:asciiTheme="majorHAnsi" w:hAnsiTheme="majorHAnsi" w:cstheme="majorHAnsi"/>
        </w:rPr>
        <w:t xml:space="preserve"> with exactly 200 </w:t>
      </w:r>
      <w:proofErr w:type="spellStart"/>
      <w:r w:rsidR="00563D98">
        <w:rPr>
          <w:rFonts w:asciiTheme="majorHAnsi" w:hAnsiTheme="majorHAnsi" w:cstheme="majorHAnsi"/>
        </w:rPr>
        <w:t>nCi</w:t>
      </w:r>
      <w:proofErr w:type="spellEnd"/>
      <w:r w:rsidR="00563D98">
        <w:rPr>
          <w:rFonts w:asciiTheme="majorHAnsi" w:hAnsiTheme="majorHAnsi" w:cstheme="majorHAnsi"/>
        </w:rPr>
        <w:t xml:space="preserve"> Ac-225 and 1 </w:t>
      </w:r>
      <w:proofErr w:type="spellStart"/>
      <w:r w:rsidR="00563D98">
        <w:rPr>
          <w:rFonts w:asciiTheme="majorHAnsi" w:hAnsiTheme="majorHAnsi" w:cstheme="majorHAnsi"/>
        </w:rPr>
        <w:t>nCi</w:t>
      </w:r>
      <w:proofErr w:type="spellEnd"/>
      <w:r w:rsidR="00563D98">
        <w:rPr>
          <w:rFonts w:asciiTheme="majorHAnsi" w:hAnsiTheme="majorHAnsi" w:cstheme="majorHAnsi"/>
        </w:rPr>
        <w:t xml:space="preserve"> Ac-227 per mouse, based on %RD/g plots in </w:t>
      </w:r>
      <w:r w:rsidR="00563D98" w:rsidRPr="00336BF6">
        <w:rPr>
          <w:rFonts w:asciiTheme="majorHAnsi" w:hAnsiTheme="majorHAnsi" w:cstheme="majorHAnsi"/>
          <w:b/>
        </w:rPr>
        <w:t>Figure 2</w:t>
      </w:r>
      <w:r w:rsidR="00563D98">
        <w:rPr>
          <w:rFonts w:asciiTheme="majorHAnsi" w:hAnsiTheme="majorHAnsi" w:cstheme="majorHAnsi"/>
        </w:rPr>
        <w:t>.</w:t>
      </w:r>
    </w:p>
    <w:p w:rsid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</w:p>
    <w:p w:rsidR="00563D98" w:rsidRDefault="00563D98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br w:type="page"/>
      </w:r>
    </w:p>
    <w:p w:rsidR="009B5463" w:rsidRPr="009B5463" w:rsidRDefault="009B5463" w:rsidP="00A55255">
      <w:pPr>
        <w:spacing w:line="480" w:lineRule="auto"/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lastRenderedPageBreak/>
        <w:t>Figure S</w:t>
      </w:r>
      <w:r w:rsidR="004C18BE">
        <w:rPr>
          <w:rFonts w:asciiTheme="majorHAnsi" w:hAnsiTheme="majorHAnsi" w:cstheme="majorHAnsi"/>
          <w:b/>
        </w:rPr>
        <w:t>3</w:t>
      </w:r>
      <w:r>
        <w:rPr>
          <w:rFonts w:asciiTheme="majorHAnsi" w:hAnsiTheme="majorHAnsi" w:cstheme="majorHAnsi"/>
          <w:b/>
        </w:rPr>
        <w:t xml:space="preserve">. </w:t>
      </w:r>
    </w:p>
    <w:sectPr w:rsidR="009B5463" w:rsidRPr="009B5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C239E2"/>
    <w:multiLevelType w:val="hybridMultilevel"/>
    <w:tmpl w:val="C5E201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CC5F70"/>
    <w:multiLevelType w:val="hybridMultilevel"/>
    <w:tmpl w:val="34062BFE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7F"/>
    <w:rsid w:val="00031F3A"/>
    <w:rsid w:val="00065026"/>
    <w:rsid w:val="00066B20"/>
    <w:rsid w:val="000E31FA"/>
    <w:rsid w:val="000F047C"/>
    <w:rsid w:val="00101D64"/>
    <w:rsid w:val="00112CFC"/>
    <w:rsid w:val="00113F18"/>
    <w:rsid w:val="00143FE0"/>
    <w:rsid w:val="00155432"/>
    <w:rsid w:val="001707AE"/>
    <w:rsid w:val="001B6560"/>
    <w:rsid w:val="001D4AE3"/>
    <w:rsid w:val="001E75F4"/>
    <w:rsid w:val="002443D0"/>
    <w:rsid w:val="002D5C08"/>
    <w:rsid w:val="002F6861"/>
    <w:rsid w:val="00320348"/>
    <w:rsid w:val="00327877"/>
    <w:rsid w:val="00336BF6"/>
    <w:rsid w:val="00374B7A"/>
    <w:rsid w:val="00392D3F"/>
    <w:rsid w:val="003B3516"/>
    <w:rsid w:val="003C0829"/>
    <w:rsid w:val="003C30A7"/>
    <w:rsid w:val="003E6DF9"/>
    <w:rsid w:val="00413A2D"/>
    <w:rsid w:val="0042324E"/>
    <w:rsid w:val="0043194E"/>
    <w:rsid w:val="00432ECF"/>
    <w:rsid w:val="00435035"/>
    <w:rsid w:val="00440054"/>
    <w:rsid w:val="00471ABD"/>
    <w:rsid w:val="00473E19"/>
    <w:rsid w:val="004916D3"/>
    <w:rsid w:val="004B0392"/>
    <w:rsid w:val="004C18BE"/>
    <w:rsid w:val="004C5CCC"/>
    <w:rsid w:val="00526BC6"/>
    <w:rsid w:val="00536F26"/>
    <w:rsid w:val="00563D98"/>
    <w:rsid w:val="005720C6"/>
    <w:rsid w:val="005F5EFB"/>
    <w:rsid w:val="00633C1F"/>
    <w:rsid w:val="00657B63"/>
    <w:rsid w:val="00667620"/>
    <w:rsid w:val="00677A09"/>
    <w:rsid w:val="00681DC6"/>
    <w:rsid w:val="00690B7B"/>
    <w:rsid w:val="006C1847"/>
    <w:rsid w:val="00706049"/>
    <w:rsid w:val="00722B68"/>
    <w:rsid w:val="007565E7"/>
    <w:rsid w:val="00782A95"/>
    <w:rsid w:val="0079797F"/>
    <w:rsid w:val="007A00B2"/>
    <w:rsid w:val="007C5A41"/>
    <w:rsid w:val="00804805"/>
    <w:rsid w:val="00827A42"/>
    <w:rsid w:val="00841B05"/>
    <w:rsid w:val="00861B35"/>
    <w:rsid w:val="0089058B"/>
    <w:rsid w:val="00896D09"/>
    <w:rsid w:val="008A3CE1"/>
    <w:rsid w:val="008B1E20"/>
    <w:rsid w:val="008C03B5"/>
    <w:rsid w:val="008C67B8"/>
    <w:rsid w:val="008C7A7C"/>
    <w:rsid w:val="008C7C57"/>
    <w:rsid w:val="008E4DE5"/>
    <w:rsid w:val="00965420"/>
    <w:rsid w:val="009770CC"/>
    <w:rsid w:val="00980AF2"/>
    <w:rsid w:val="009B3AF2"/>
    <w:rsid w:val="009B5463"/>
    <w:rsid w:val="009B57A8"/>
    <w:rsid w:val="009E5B8D"/>
    <w:rsid w:val="00A55255"/>
    <w:rsid w:val="00AA204C"/>
    <w:rsid w:val="00AD2DFE"/>
    <w:rsid w:val="00B06003"/>
    <w:rsid w:val="00B07E3D"/>
    <w:rsid w:val="00B23001"/>
    <w:rsid w:val="00B230B2"/>
    <w:rsid w:val="00B303C7"/>
    <w:rsid w:val="00B535CB"/>
    <w:rsid w:val="00B614C6"/>
    <w:rsid w:val="00B721EB"/>
    <w:rsid w:val="00BA53AD"/>
    <w:rsid w:val="00BD2433"/>
    <w:rsid w:val="00BE3D23"/>
    <w:rsid w:val="00C06710"/>
    <w:rsid w:val="00C12BBB"/>
    <w:rsid w:val="00C73F8F"/>
    <w:rsid w:val="00C769C3"/>
    <w:rsid w:val="00C90718"/>
    <w:rsid w:val="00C91C83"/>
    <w:rsid w:val="00CD6374"/>
    <w:rsid w:val="00D107CF"/>
    <w:rsid w:val="00D22BF5"/>
    <w:rsid w:val="00D35BF6"/>
    <w:rsid w:val="00D3784A"/>
    <w:rsid w:val="00D409AF"/>
    <w:rsid w:val="00D50A9D"/>
    <w:rsid w:val="00D72D66"/>
    <w:rsid w:val="00DC487F"/>
    <w:rsid w:val="00DC6246"/>
    <w:rsid w:val="00DE4F74"/>
    <w:rsid w:val="00DE5EED"/>
    <w:rsid w:val="00E507F2"/>
    <w:rsid w:val="00E87AE7"/>
    <w:rsid w:val="00EE3F64"/>
    <w:rsid w:val="00F17823"/>
    <w:rsid w:val="00F360BB"/>
    <w:rsid w:val="00F54B35"/>
    <w:rsid w:val="00FB11F2"/>
    <w:rsid w:val="00FB1FE2"/>
    <w:rsid w:val="00FB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EADE4"/>
  <w15:chartTrackingRefBased/>
  <w15:docId w15:val="{239E3D87-76BD-462F-BD53-C912E055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48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6D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2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8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2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6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1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4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47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7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9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0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wllakes@gmail.com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rjabergel@lbl.gov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0AA2A-DB32-4C22-AEB7-F3C55E2AB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20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Lakes</dc:creator>
  <cp:keywords/>
  <dc:description/>
  <cp:lastModifiedBy>Andrew Lakes</cp:lastModifiedBy>
  <cp:revision>26</cp:revision>
  <dcterms:created xsi:type="dcterms:W3CDTF">2019-07-11T16:21:00Z</dcterms:created>
  <dcterms:modified xsi:type="dcterms:W3CDTF">2019-07-16T19:48:00Z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d22eb8a8-911f-3971-a096-88ed51795237</vt:lpwstr>
  </property>
  <property fmtid="{D5CDD505-2E9C-101B-9397-08002B2CF9AE}" pid="24" name="Mendeley Citation Style_1">
    <vt:lpwstr>http://www.zotero.org/styles/american-medical-association</vt:lpwstr>
  </property>
</Properties>
</file>