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Isotope Localization</w:t>
      </w:r>
      <w:r w:rsidR="00C91C83">
        <w:rPr>
          <w:rFonts w:asciiTheme="majorHAnsi" w:hAnsiTheme="majorHAnsi" w:cstheme="majorHAnsi"/>
          <w:b/>
        </w:rPr>
        <w:t xml:space="preserve"> of Ac-225 and Ac-227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w:t>
      </w:r>
      <w:proofErr w:type="gramStart"/>
      <w:r w:rsidR="00C91C83">
        <w:rPr>
          <w:rFonts w:asciiTheme="majorHAnsi" w:hAnsiTheme="majorHAnsi" w:cstheme="majorHAnsi"/>
          <w:vertAlign w:val="superscript"/>
        </w:rPr>
        <w:t>,2</w:t>
      </w:r>
      <w:proofErr w:type="gramEnd"/>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7"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8"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proofErr w:type="spellStart"/>
      <w:r w:rsidR="00C91C83">
        <w:rPr>
          <w:rFonts w:asciiTheme="majorHAnsi" w:hAnsiTheme="majorHAnsi" w:cstheme="majorHAnsi"/>
        </w:rPr>
        <w:t>xxxx</w:t>
      </w:r>
      <w:proofErr w:type="spellEnd"/>
      <w:r w:rsidR="00C91C83">
        <w:rPr>
          <w:rFonts w:asciiTheme="majorHAnsi" w:hAnsiTheme="majorHAnsi" w:cstheme="majorHAnsi"/>
        </w:rPr>
        <w:t>.</w:t>
      </w:r>
      <w:r w:rsidR="00BE3D23">
        <w:rPr>
          <w:rFonts w:asciiTheme="majorHAnsi" w:hAnsiTheme="majorHAnsi" w:cstheme="majorHAnsi"/>
        </w:rPr>
        <w:t xml:space="preserve"> </w:t>
      </w:r>
      <w:r w:rsidR="00BE3D23">
        <w:rPr>
          <w:rFonts w:asciiTheme="majorHAnsi" w:hAnsiTheme="majorHAnsi" w:cstheme="majorHAnsi"/>
          <w:b/>
        </w:rPr>
        <w:t xml:space="preserve">References: </w:t>
      </w:r>
      <w:proofErr w:type="spellStart"/>
      <w:r w:rsidR="00C91C83">
        <w:rPr>
          <w:rFonts w:asciiTheme="majorHAnsi" w:hAnsiTheme="majorHAnsi" w:cstheme="majorHAnsi"/>
        </w:rPr>
        <w:t>xxxx</w:t>
      </w:r>
      <w:proofErr w:type="spellEnd"/>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w:t>
      </w:r>
      <w:proofErr w:type="spellStart"/>
      <w:r w:rsidR="00CF2B00">
        <w:rPr>
          <w:rFonts w:asciiTheme="majorHAnsi" w:hAnsiTheme="majorHAnsi" w:cstheme="majorHAnsi"/>
        </w:rPr>
        <w:t>plotoutpower</w:t>
      </w:r>
      <w:proofErr w:type="spellEnd"/>
      <w:r w:rsidR="00CF2B00">
        <w:rPr>
          <w:rFonts w:asciiTheme="majorHAnsi" w:hAnsiTheme="majorHAnsi" w:cstheme="majorHAnsi"/>
        </w:rPr>
        <w:t>) –Activity maximum</w:t>
      </w:r>
      <w:r w:rsidRPr="009E5B8D">
        <w:rPr>
          <w:rFonts w:asciiTheme="majorHAnsi" w:hAnsiTheme="majorHAnsi" w:cstheme="majorHAnsi"/>
        </w:rPr>
        <w:t xml:space="preserve"> is 13.68 hours (</w:t>
      </w:r>
      <w:proofErr w:type="spellStart"/>
      <w:r w:rsidRPr="009E5B8D">
        <w:rPr>
          <w:rFonts w:asciiTheme="majorHAnsi" w:hAnsiTheme="majorHAnsi" w:cstheme="majorHAnsi"/>
        </w:rPr>
        <w:t>plotout</w:t>
      </w:r>
      <w:proofErr w:type="spellEnd"/>
      <w:r w:rsidRPr="009E5B8D">
        <w:rPr>
          <w:rFonts w:asciiTheme="majorHAnsi" w:hAnsiTheme="majorHAnsi" w:cstheme="majorHAnsi"/>
        </w:rPr>
        <w: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graciously donated from </w:t>
      </w:r>
      <w:r w:rsidR="008E4DE5" w:rsidRPr="008E4DE5">
        <w:rPr>
          <w:rFonts w:asciiTheme="majorHAnsi" w:hAnsiTheme="majorHAnsi" w:cstheme="majorHAnsi"/>
          <w:highlight w:val="yellow"/>
        </w:rPr>
        <w:t>XXXXXXXXXX</w:t>
      </w:r>
      <w:r w:rsidR="008E4DE5">
        <w:rPr>
          <w:rFonts w:asciiTheme="majorHAnsi" w:hAnsiTheme="majorHAnsi" w:cstheme="majorHAnsi"/>
        </w:rPr>
        <w:t xml:space="preserve">. </w:t>
      </w:r>
      <w:r w:rsidR="008E4DE5" w:rsidRPr="008E4DE5">
        <w:rPr>
          <w:rFonts w:asciiTheme="majorHAnsi" w:hAnsiTheme="majorHAnsi" w:cstheme="majorHAnsi"/>
        </w:rPr>
        <w:t xml:space="preserve">1,4,7,10-Tetraazacyclododecane-1,4,7-tris-acetic acid-10-maleimidoethylacetamide (DOTA-MMA) was purchased from </w:t>
      </w:r>
      <w:proofErr w:type="spellStart"/>
      <w:r w:rsidR="008E4DE5" w:rsidRPr="008E4DE5">
        <w:rPr>
          <w:rFonts w:asciiTheme="majorHAnsi" w:hAnsiTheme="majorHAnsi" w:cstheme="majorHAnsi"/>
        </w:rPr>
        <w:t>Macrocyclics</w:t>
      </w:r>
      <w:proofErr w:type="spellEnd"/>
      <w:r w:rsidR="008E4DE5" w:rsidRPr="008E4DE5">
        <w:rPr>
          <w:rFonts w:asciiTheme="majorHAnsi" w:hAnsiTheme="majorHAnsi" w:cstheme="majorHAnsi"/>
        </w:rPr>
        <w:t xml:space="preserve">, Bradford reagent was purchased from </w:t>
      </w:r>
      <w:proofErr w:type="spellStart"/>
      <w:r w:rsidR="008E4DE5" w:rsidRPr="008E4DE5">
        <w:rPr>
          <w:rFonts w:asciiTheme="majorHAnsi" w:hAnsiTheme="majorHAnsi" w:cstheme="majorHAnsi"/>
        </w:rPr>
        <w:t>Bio-rad</w:t>
      </w:r>
      <w:proofErr w:type="spellEnd"/>
      <w:r w:rsidR="008E4DE5" w:rsidRPr="008E4DE5">
        <w:rPr>
          <w:rFonts w:asciiTheme="majorHAnsi" w:hAnsiTheme="majorHAnsi" w:cstheme="majorHAnsi"/>
        </w:rPr>
        <w:t xml:space="preserve">, and </w:t>
      </w:r>
      <w:proofErr w:type="spellStart"/>
      <w:r w:rsidR="008E4DE5" w:rsidRPr="008E4DE5">
        <w:rPr>
          <w:rFonts w:asciiTheme="majorHAnsi" w:hAnsiTheme="majorHAnsi" w:cstheme="majorHAnsi"/>
        </w:rPr>
        <w:t>tris</w:t>
      </w:r>
      <w:proofErr w:type="spellEnd"/>
      <w:r w:rsidR="008E4DE5" w:rsidRPr="008E4DE5">
        <w:rPr>
          <w:rFonts w:asciiTheme="majorHAnsi" w:hAnsiTheme="majorHAnsi" w:cstheme="majorHAnsi"/>
        </w:rPr>
        <w:t xml:space="preserve">(2-carboxyethyl)phosphine hydrochloride (TCEP </w:t>
      </w:r>
      <w:proofErr w:type="spellStart"/>
      <w:r w:rsidR="008E4DE5" w:rsidRPr="008E4DE5">
        <w:rPr>
          <w:rFonts w:asciiTheme="majorHAnsi" w:hAnsiTheme="majorHAnsi" w:cstheme="majorHAnsi"/>
        </w:rPr>
        <w:t>HCl</w:t>
      </w:r>
      <w:proofErr w:type="spellEnd"/>
      <w:r w:rsidR="008E4DE5" w:rsidRPr="008E4DE5">
        <w:rPr>
          <w:rFonts w:asciiTheme="majorHAnsi" w:hAnsiTheme="majorHAnsi" w:cstheme="majorHAnsi"/>
        </w:rPr>
        <w:t>),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 xml:space="preserve">10 mL of </w:t>
      </w:r>
      <w:proofErr w:type="spellStart"/>
      <w:r w:rsidR="00677A09" w:rsidRPr="00C06710">
        <w:rPr>
          <w:rFonts w:asciiTheme="majorHAnsi" w:hAnsiTheme="majorHAnsi" w:cstheme="majorHAnsi"/>
        </w:rPr>
        <w:t>Ultima</w:t>
      </w:r>
      <w:proofErr w:type="spellEnd"/>
      <w:r w:rsidR="00677A09" w:rsidRPr="00C06710">
        <w:rPr>
          <w:rFonts w:asciiTheme="majorHAnsi" w:hAnsiTheme="majorHAnsi" w:cstheme="majorHAnsi"/>
        </w:rPr>
        <w:t xml:space="preserve">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w:t>
      </w:r>
      <w:proofErr w:type="spellStart"/>
      <w:r>
        <w:rPr>
          <w:rFonts w:asciiTheme="majorHAnsi" w:hAnsiTheme="majorHAnsi" w:cstheme="majorHAnsi"/>
        </w:rPr>
        <w:t>ashed</w:t>
      </w:r>
      <w:proofErr w:type="spellEnd"/>
      <w:r>
        <w:rPr>
          <w:rFonts w:asciiTheme="majorHAnsi" w:hAnsiTheme="majorHAnsi" w:cstheme="majorHAnsi"/>
        </w:rPr>
        <w:t xml:space="preserve"> in a furnace, dissolved in nitric acid, and diluted into 10 mL </w:t>
      </w:r>
      <w:proofErr w:type="spellStart"/>
      <w:r>
        <w:rPr>
          <w:rFonts w:asciiTheme="majorHAnsi" w:hAnsiTheme="majorHAnsi" w:cstheme="majorHAnsi"/>
        </w:rPr>
        <w:t>Ultima</w:t>
      </w:r>
      <w:proofErr w:type="spellEnd"/>
      <w:r>
        <w:rPr>
          <w:rFonts w:asciiTheme="majorHAnsi" w:hAnsiTheme="majorHAnsi" w:cstheme="majorHAnsi"/>
        </w:rPr>
        <w:t xml:space="preserve">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spellStart"/>
      <w:r>
        <w:rPr>
          <w:rFonts w:asciiTheme="majorHAnsi" w:hAnsiTheme="majorHAnsi" w:cstheme="majorHAnsi"/>
        </w:rPr>
        <w:t>Ligand</w:t>
      </w:r>
      <w:proofErr w:type="gramStart"/>
      <w:r>
        <w:rPr>
          <w:rFonts w:asciiTheme="majorHAnsi" w:hAnsiTheme="majorHAnsi" w:cstheme="majorHAnsi"/>
        </w:rPr>
        <w:t>:Metal</w:t>
      </w:r>
      <w:proofErr w:type="spellEnd"/>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w:t>
      </w:r>
      <w:proofErr w:type="spellStart"/>
      <w:r w:rsidR="00677A09" w:rsidRPr="00C06710">
        <w:rPr>
          <w:rFonts w:asciiTheme="majorHAnsi" w:hAnsiTheme="majorHAnsi" w:cstheme="majorHAnsi"/>
        </w:rPr>
        <w:t>HCl</w:t>
      </w:r>
      <w:proofErr w:type="spellEnd"/>
      <w:r w:rsidR="00677A09" w:rsidRPr="00C06710">
        <w:rPr>
          <w:rFonts w:asciiTheme="majorHAnsi" w:hAnsiTheme="majorHAnsi" w:cstheme="majorHAnsi"/>
        </w:rPr>
        <w:t xml:space="preserve">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spellStart"/>
      <w:r>
        <w:rPr>
          <w:rFonts w:asciiTheme="majorHAnsi" w:hAnsiTheme="majorHAnsi" w:cstheme="majorHAnsi"/>
        </w:rPr>
        <w:t>Ligand</w:t>
      </w:r>
      <w:proofErr w:type="gramStart"/>
      <w:r>
        <w:rPr>
          <w:rFonts w:asciiTheme="majorHAnsi" w:hAnsiTheme="majorHAnsi" w:cstheme="majorHAnsi"/>
        </w:rPr>
        <w:t>:Metal</w:t>
      </w:r>
      <w:proofErr w:type="spellEnd"/>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w:t>
      </w:r>
      <w:proofErr w:type="spellStart"/>
      <w:r w:rsidR="00677A09" w:rsidRPr="00C06710">
        <w:rPr>
          <w:rFonts w:asciiTheme="majorHAnsi" w:hAnsiTheme="majorHAnsi" w:cstheme="majorHAnsi"/>
        </w:rPr>
        <w:t>retentate</w:t>
      </w:r>
      <w:proofErr w:type="spellEnd"/>
      <w:r w:rsidR="00677A09" w:rsidRPr="00C06710">
        <w:rPr>
          <w:rFonts w:asciiTheme="majorHAnsi" w:hAnsiTheme="majorHAnsi" w:cstheme="majorHAnsi"/>
        </w:rPr>
        <w:t xml:space="preserve"> were taken for final activity and yield verification. </w:t>
      </w:r>
    </w:p>
    <w:p w:rsidR="00CD6374" w:rsidRPr="00C06710" w:rsidRDefault="00CD6374" w:rsidP="00504374">
      <w:pPr>
        <w:spacing w:line="480" w:lineRule="auto"/>
        <w:jc w:val="both"/>
        <w:rPr>
          <w:rFonts w:asciiTheme="majorHAnsi" w:hAnsiTheme="majorHAnsi" w:cstheme="majorHAnsi"/>
        </w:rPr>
      </w:pP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3C0829" w:rsidRPr="003C0829" w:rsidRDefault="003C0829" w:rsidP="00504374">
      <w:pPr>
        <w:spacing w:line="480" w:lineRule="auto"/>
        <w:jc w:val="both"/>
        <w:rPr>
          <w:rFonts w:asciiTheme="majorHAnsi" w:hAnsiTheme="majorHAnsi" w:cstheme="majorHAnsi"/>
          <w:b/>
        </w:rPr>
      </w:pP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p>
    <w:p w:rsidR="003A7DE3" w:rsidRDefault="003A7DE3" w:rsidP="00504374">
      <w:pPr>
        <w:spacing w:line="480" w:lineRule="auto"/>
        <w:jc w:val="both"/>
        <w:rPr>
          <w:rFonts w:asciiTheme="majorHAnsi" w:hAnsiTheme="majorHAnsi" w:cstheme="majorHAnsi"/>
          <w:b/>
        </w:rPr>
      </w:pP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xml:space="preserve">. The input dose </w:t>
      </w:r>
      <w:r w:rsidR="00C769C3">
        <w:rPr>
          <w:rFonts w:asciiTheme="majorHAnsi" w:hAnsiTheme="majorHAnsi" w:cstheme="majorHAnsi"/>
        </w:rPr>
        <w:lastRenderedPageBreak/>
        <w:t xml:space="preserve">bolus was 200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Ac-225 and 1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point values of 1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4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24 </w:t>
      </w:r>
      <w:proofErr w:type="spellStart"/>
      <w:r w:rsidR="00C769C3">
        <w:rPr>
          <w:rFonts w:asciiTheme="majorHAnsi" w:hAnsiTheme="majorHAnsi" w:cstheme="majorHAnsi"/>
        </w:rPr>
        <w:t>hr</w:t>
      </w:r>
      <w:proofErr w:type="spellEnd"/>
      <w:r w:rsidR="00C769C3">
        <w:rPr>
          <w:rFonts w:asciiTheme="majorHAnsi" w:hAnsiTheme="majorHAnsi" w:cstheme="majorHAnsi"/>
        </w:rPr>
        <w:t>, 4 days, 6 days (and 10 days for Trastuzumab-DOTA only)</w:t>
      </w:r>
      <w:r w:rsidR="005720C6">
        <w:rPr>
          <w:rFonts w:asciiTheme="majorHAnsi" w:hAnsiTheme="majorHAnsi" w:cstheme="majorHAnsi"/>
        </w:rPr>
        <w:t xml:space="preserve">, small step changes 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 xml:space="preserve">Figure </w:t>
      </w:r>
      <w:proofErr w:type="spellStart"/>
      <w:r w:rsidR="00031F3A">
        <w:rPr>
          <w:rFonts w:asciiTheme="majorHAnsi" w:hAnsiTheme="majorHAnsi" w:cstheme="majorHAnsi"/>
          <w:b/>
        </w:rPr>
        <w:t>Sxxx</w:t>
      </w:r>
      <w:proofErr w:type="spellEnd"/>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w:t>
      </w:r>
      <w:proofErr w:type="spellStart"/>
      <w:r w:rsidR="008B1A72">
        <w:rPr>
          <w:rFonts w:asciiTheme="majorHAnsi" w:hAnsiTheme="majorHAnsi" w:cstheme="majorHAnsi"/>
        </w:rPr>
        <w:t>nCi</w:t>
      </w:r>
      <w:proofErr w:type="spellEnd"/>
      <w:r w:rsidR="008B1A72">
        <w:rPr>
          <w:rFonts w:asciiTheme="majorHAnsi" w:hAnsiTheme="majorHAnsi" w:cstheme="majorHAnsi"/>
        </w:rPr>
        <w:t xml:space="preserve">/g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Biodistribution was compared via recovered dose per gram (RD/g) or localization ratio (LR).</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lastRenderedPageBreak/>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8C03B5">
        <w:rPr>
          <w:rFonts w:asciiTheme="majorHAnsi" w:hAnsiTheme="majorHAnsi" w:cstheme="majorHAnsi"/>
        </w:rPr>
        <w:t xml:space="preserve">her-2 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proofErr w:type="spellStart"/>
      <w:r w:rsidR="00065026">
        <w:rPr>
          <w:rFonts w:asciiTheme="majorHAnsi" w:hAnsiTheme="majorHAnsi" w:cstheme="majorHAnsi"/>
        </w:rPr>
        <w:t>T</w:t>
      </w:r>
      <w:r w:rsidR="00143FE0">
        <w:rPr>
          <w:rFonts w:asciiTheme="majorHAnsi" w:hAnsiTheme="majorHAnsi" w:cstheme="majorHAnsi"/>
        </w:rPr>
        <w:t>rastuzumab</w:t>
      </w:r>
      <w:proofErr w:type="spellEnd"/>
      <w:r w:rsidR="00143FE0">
        <w:rPr>
          <w:rFonts w:asciiTheme="majorHAnsi" w:hAnsiTheme="majorHAnsi" w:cstheme="majorHAnsi"/>
        </w:rPr>
        <w:t>-DOTA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 xml:space="preserve">ing spleen uptake as the largest %RD/g (likely due to immune </w:t>
      </w:r>
      <w:proofErr w:type="spellStart"/>
      <w:r w:rsidR="000B26C0">
        <w:rPr>
          <w:rFonts w:asciiTheme="majorHAnsi" w:hAnsiTheme="majorHAnsi" w:cstheme="majorHAnsi"/>
        </w:rPr>
        <w:t>opsonization</w:t>
      </w:r>
      <w:proofErr w:type="spellEnd"/>
      <w:r w:rsidR="000B26C0">
        <w:rPr>
          <w:rFonts w:asciiTheme="majorHAnsi" w:hAnsiTheme="majorHAnsi" w:cstheme="majorHAnsi"/>
        </w:rPr>
        <w:t>)</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w:t>
      </w:r>
      <w:proofErr w:type="spellStart"/>
      <w:r w:rsidR="00D04A6D">
        <w:rPr>
          <w:rFonts w:asciiTheme="majorHAnsi" w:hAnsiTheme="majorHAnsi" w:cstheme="majorHAnsi"/>
        </w:rPr>
        <w:t>ashed</w:t>
      </w:r>
      <w:proofErr w:type="spellEnd"/>
      <w:r w:rsidR="00D04A6D">
        <w:rPr>
          <w:rFonts w:asciiTheme="majorHAnsi" w:hAnsiTheme="majorHAnsi" w:cstheme="majorHAnsi"/>
        </w:rPr>
        <w:t xml:space="preserve">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proofErr w:type="spellStart"/>
      <w:r>
        <w:rPr>
          <w:rFonts w:asciiTheme="majorHAnsi" w:hAnsiTheme="majorHAnsi" w:cstheme="majorHAnsi"/>
        </w:rPr>
        <w:t>Trastuzumab</w:t>
      </w:r>
      <w:proofErr w:type="spellEnd"/>
      <w:r>
        <w:rPr>
          <w:rFonts w:asciiTheme="majorHAnsi" w:hAnsiTheme="majorHAnsi" w:cstheme="majorHAnsi"/>
        </w:rPr>
        <w:t>-DOTA-Ac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w:t>
      </w:r>
      <w:proofErr w:type="spellStart"/>
      <w:r w:rsidR="004B408E">
        <w:rPr>
          <w:rFonts w:asciiTheme="majorHAnsi" w:hAnsiTheme="majorHAnsi" w:cstheme="majorHAnsi"/>
        </w:rPr>
        <w:t>Trastuzumab</w:t>
      </w:r>
      <w:proofErr w:type="spellEnd"/>
      <w:r w:rsidR="004B408E">
        <w:rPr>
          <w:rFonts w:asciiTheme="majorHAnsi" w:hAnsiTheme="majorHAnsi" w:cstheme="majorHAnsi"/>
        </w:rPr>
        <w:t xml:space="preserve">-DOTA-Ac LR is beyond the scale due to extremely low activity in the Ac-227 </w:t>
      </w:r>
      <w:r w:rsidR="004B408E">
        <w:rPr>
          <w:rFonts w:asciiTheme="majorHAnsi" w:hAnsiTheme="majorHAnsi" w:cstheme="majorHAnsi"/>
        </w:rPr>
        <w:lastRenderedPageBreak/>
        <w:t>biodistribution sample, and standard deviation error bars cross the abscissa indicating no significance.</w:t>
      </w:r>
      <w:r w:rsidR="00C6542C">
        <w:rPr>
          <w:rFonts w:asciiTheme="majorHAnsi" w:hAnsiTheme="majorHAnsi" w:cstheme="majorHAnsi"/>
        </w:rPr>
        <w:t xml:space="preserve"> </w:t>
      </w:r>
      <w:proofErr w:type="gramStart"/>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w:t>
      </w:r>
      <w:proofErr w:type="gramEnd"/>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and ART. For the organ with greatest localized uptake with both isotopes, the liver, the LR at the final time point at 6 days was not statistically significant from unity.</w:t>
      </w:r>
    </w:p>
    <w:p w:rsidR="008807CD" w:rsidRDefault="008807CD" w:rsidP="00504374">
      <w:pPr>
        <w:spacing w:line="480" w:lineRule="auto"/>
        <w:jc w:val="both"/>
        <w:rPr>
          <w:rFonts w:asciiTheme="majorHAnsi" w:hAnsiTheme="majorHAnsi" w:cstheme="majorHAnsi"/>
        </w:rPr>
      </w:pPr>
    </w:p>
    <w:p w:rsidR="008807CD" w:rsidRPr="006C7A50" w:rsidRDefault="008807CD" w:rsidP="00504374">
      <w:pPr>
        <w:spacing w:line="480" w:lineRule="auto"/>
        <w:jc w:val="both"/>
        <w:rPr>
          <w:rFonts w:asciiTheme="majorHAnsi" w:hAnsiTheme="majorHAnsi" w:cstheme="majorHAnsi"/>
        </w:rPr>
      </w:pP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 xml:space="preserve">After dose interpolation and extrapolation of each organ’s RD/g assuming an equal 200 </w:t>
      </w:r>
      <w:proofErr w:type="spellStart"/>
      <w:r>
        <w:rPr>
          <w:rFonts w:asciiTheme="majorHAnsi" w:hAnsiTheme="majorHAnsi" w:cstheme="majorHAnsi"/>
        </w:rPr>
        <w:t>nCi</w:t>
      </w:r>
      <w:proofErr w:type="spellEnd"/>
      <w:r>
        <w:rPr>
          <w:rFonts w:asciiTheme="majorHAnsi" w:hAnsiTheme="majorHAnsi" w:cstheme="majorHAnsi"/>
        </w:rPr>
        <w:t xml:space="preserve"> Ac-225 and 1 </w:t>
      </w:r>
      <w:proofErr w:type="spellStart"/>
      <w:r>
        <w:rPr>
          <w:rFonts w:asciiTheme="majorHAnsi" w:hAnsiTheme="majorHAnsi" w:cstheme="majorHAnsi"/>
        </w:rPr>
        <w:t>nCi</w:t>
      </w:r>
      <w:proofErr w:type="spellEnd"/>
      <w:r>
        <w:rPr>
          <w:rFonts w:asciiTheme="majorHAnsi" w:hAnsiTheme="majorHAnsi" w:cstheme="majorHAnsi"/>
        </w:rPr>
        <w:t xml:space="preserve">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 xml:space="preserve">0.0167 </w:t>
      </w:r>
      <w:proofErr w:type="spellStart"/>
      <w:r w:rsidR="00BB313B">
        <w:rPr>
          <w:rFonts w:asciiTheme="majorHAnsi" w:hAnsiTheme="majorHAnsi" w:cstheme="majorHAnsi"/>
        </w:rPr>
        <w:t>Gy</w:t>
      </w:r>
      <w:proofErr w:type="spellEnd"/>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w:t>
      </w:r>
      <w:proofErr w:type="spellStart"/>
      <w:r>
        <w:rPr>
          <w:rFonts w:asciiTheme="majorHAnsi" w:hAnsiTheme="majorHAnsi" w:cstheme="majorHAnsi"/>
        </w:rPr>
        <w:t>Gy</w:t>
      </w:r>
      <w:proofErr w:type="spellEnd"/>
      <w:r>
        <w:rPr>
          <w:rFonts w:asciiTheme="majorHAnsi" w:hAnsiTheme="majorHAnsi" w:cstheme="majorHAnsi"/>
        </w:rPr>
        <w:t>)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w:t>
      </w:r>
      <w:proofErr w:type="spellStart"/>
      <w:r w:rsidR="00DC66B7">
        <w:rPr>
          <w:rFonts w:asciiTheme="majorHAnsi" w:hAnsiTheme="majorHAnsi" w:cstheme="majorHAnsi"/>
        </w:rPr>
        <w:t>Gy</w:t>
      </w:r>
      <w:proofErr w:type="spellEnd"/>
      <w:r w:rsidR="00DC66B7">
        <w:rPr>
          <w:rFonts w:asciiTheme="majorHAnsi" w:hAnsiTheme="majorHAnsi" w:cstheme="majorHAnsi"/>
        </w:rPr>
        <w:t xml:space="preserve"> (95% CI </w:t>
      </w:r>
      <w:r w:rsidR="00E15D12">
        <w:rPr>
          <w:rFonts w:asciiTheme="majorHAnsi" w:hAnsiTheme="majorHAnsi" w:cstheme="majorHAnsi"/>
        </w:rPr>
        <w:t>0.00315-0.00347</w:t>
      </w:r>
      <w:r w:rsidR="00DC66B7">
        <w:rPr>
          <w:rFonts w:asciiTheme="majorHAnsi" w:hAnsiTheme="majorHAnsi" w:cstheme="majorHAnsi"/>
        </w:rPr>
        <w:t xml:space="preserve"> </w:t>
      </w:r>
      <w:proofErr w:type="spellStart"/>
      <w:r w:rsidR="00DC66B7">
        <w:rPr>
          <w:rFonts w:asciiTheme="majorHAnsi" w:hAnsiTheme="majorHAnsi" w:cstheme="majorHAnsi"/>
        </w:rPr>
        <w:t>Gy</w:t>
      </w:r>
      <w:proofErr w:type="spellEnd"/>
      <w:r w:rsidR="00DC66B7">
        <w:rPr>
          <w:rFonts w:asciiTheme="majorHAnsi" w:hAnsiTheme="majorHAnsi" w:cstheme="majorHAnsi"/>
        </w:rPr>
        <w:t>)</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 xml:space="preserve">However, the estimated Ac-227 cumulative dose continued to increase to 0.311 </w:t>
      </w:r>
      <w:proofErr w:type="spellStart"/>
      <w:r w:rsidR="00237E06">
        <w:rPr>
          <w:rFonts w:asciiTheme="majorHAnsi" w:hAnsiTheme="majorHAnsi" w:cstheme="majorHAnsi"/>
        </w:rPr>
        <w:t>Gy</w:t>
      </w:r>
      <w:proofErr w:type="spellEnd"/>
      <w:r w:rsidR="00237E06">
        <w:rPr>
          <w:rFonts w:asciiTheme="majorHAnsi" w:hAnsiTheme="majorHAnsi" w:cstheme="majorHAnsi"/>
        </w:rPr>
        <w:t xml:space="preserve"> (95% CI 0.296-0.326 </w:t>
      </w:r>
      <w:proofErr w:type="spellStart"/>
      <w:r w:rsidR="00237E06">
        <w:rPr>
          <w:rFonts w:asciiTheme="majorHAnsi" w:hAnsiTheme="majorHAnsi" w:cstheme="majorHAnsi"/>
        </w:rPr>
        <w:t>Gy</w:t>
      </w:r>
      <w:proofErr w:type="spellEnd"/>
      <w:r w:rsidR="00237E06">
        <w:rPr>
          <w:rFonts w:asciiTheme="majorHAnsi" w:hAnsiTheme="majorHAnsi" w:cstheme="majorHAnsi"/>
        </w:rPr>
        <w:t>)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w:t>
      </w:r>
      <w:proofErr w:type="spellStart"/>
      <w:r w:rsidR="003F1D71">
        <w:rPr>
          <w:rFonts w:asciiTheme="majorHAnsi" w:hAnsiTheme="majorHAnsi" w:cstheme="majorHAnsi"/>
        </w:rPr>
        <w:t>Gy</w:t>
      </w:r>
      <w:proofErr w:type="spellEnd"/>
      <w:r w:rsidR="003F1D71">
        <w:rPr>
          <w:rFonts w:asciiTheme="majorHAnsi" w:hAnsiTheme="majorHAnsi" w:cstheme="majorHAnsi"/>
        </w:rPr>
        <w:t xml:space="preserve">/day (95% CI 5.09E-5 – 5.60E-5 </w:t>
      </w:r>
      <w:proofErr w:type="spellStart"/>
      <w:r w:rsidR="003F1D71">
        <w:rPr>
          <w:rFonts w:asciiTheme="majorHAnsi" w:hAnsiTheme="majorHAnsi" w:cstheme="majorHAnsi"/>
        </w:rPr>
        <w:t>Gy</w:t>
      </w:r>
      <w:proofErr w:type="spellEnd"/>
      <w:r w:rsidR="003F1D71">
        <w:rPr>
          <w:rFonts w:asciiTheme="majorHAnsi" w:hAnsiTheme="majorHAnsi" w:cstheme="majorHAnsi"/>
        </w:rPr>
        <w:t>/day)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365116" w:rsidRPr="00C25F05" w:rsidRDefault="00B241CF" w:rsidP="00504374">
      <w:pPr>
        <w:spacing w:line="480" w:lineRule="auto"/>
        <w:jc w:val="both"/>
        <w:rPr>
          <w:rFonts w:asciiTheme="majorHAnsi" w:hAnsiTheme="majorHAnsi" w:cstheme="majorHAnsi"/>
        </w:rPr>
      </w:pPr>
      <w:r>
        <w:rPr>
          <w:rFonts w:asciiTheme="majorHAnsi" w:hAnsiTheme="majorHAnsi" w:cstheme="majorHAnsi"/>
        </w:rPr>
        <w:lastRenderedPageBreak/>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 xml:space="preserve">20.4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17.0-23.8 </w:t>
      </w:r>
      <w:proofErr w:type="spellStart"/>
      <w:r w:rsidR="00F053C3">
        <w:rPr>
          <w:rFonts w:asciiTheme="majorHAnsi" w:hAnsiTheme="majorHAnsi" w:cstheme="majorHAnsi"/>
        </w:rPr>
        <w:t>Gy</w:t>
      </w:r>
      <w:proofErr w:type="spellEnd"/>
      <w:r w:rsidR="00F053C3">
        <w:rPr>
          <w:rFonts w:asciiTheme="majorHAnsi" w:hAnsiTheme="majorHAnsi" w:cstheme="majorHAnsi"/>
        </w:rPr>
        <w:t>)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dose of 33.7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29.6-37.7 </w:t>
      </w:r>
      <w:proofErr w:type="spellStart"/>
      <w:r w:rsidR="00F053C3">
        <w:rPr>
          <w:rFonts w:asciiTheme="majorHAnsi" w:hAnsiTheme="majorHAnsi" w:cstheme="majorHAnsi"/>
        </w:rPr>
        <w:t>Gy</w:t>
      </w:r>
      <w:proofErr w:type="spellEnd"/>
      <w:r w:rsidR="00F053C3">
        <w:rPr>
          <w:rFonts w:asciiTheme="majorHAnsi" w:hAnsiTheme="majorHAnsi" w:cstheme="majorHAnsi"/>
        </w:rPr>
        <w:t>)</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0.879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0.708-1.05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Trastuzumab-DOTA-Ac-225 (</w:t>
      </w:r>
      <w:r w:rsidR="00CF2B00">
        <w:rPr>
          <w:rFonts w:asciiTheme="majorHAnsi" w:hAnsiTheme="majorHAnsi" w:cstheme="majorHAnsi"/>
          <w:b/>
        </w:rPr>
        <w:t>Figure 3E</w:t>
      </w:r>
      <w:r w:rsidR="00CF2B00">
        <w:rPr>
          <w:rFonts w:asciiTheme="majorHAnsi" w:hAnsiTheme="majorHAnsi" w:cstheme="majorHAnsi"/>
        </w:rPr>
        <w:t xml:space="preserve">), and at 200 days 0.0579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0.0509-0.0649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Trastuzumab-DOTA-Ac-227 (</w:t>
      </w:r>
      <w:r w:rsidR="00CF2B00">
        <w:rPr>
          <w:rFonts w:asciiTheme="majorHAnsi" w:hAnsiTheme="majorHAnsi" w:cstheme="majorHAnsi"/>
          <w:b/>
        </w:rPr>
        <w:t>Figure 3F</w:t>
      </w:r>
      <w:r w:rsidR="00CF2B00">
        <w:rPr>
          <w:rFonts w:asciiTheme="majorHAnsi" w:hAnsiTheme="majorHAnsi" w:cstheme="majorHAnsi"/>
        </w:rPr>
        <w:t>).</w:t>
      </w:r>
    </w:p>
    <w:p w:rsidR="00DC30DE" w:rsidRDefault="00DC30DE" w:rsidP="00504374">
      <w:pPr>
        <w:jc w:val="both"/>
        <w:rPr>
          <w:rFonts w:asciiTheme="majorHAnsi" w:hAnsiTheme="majorHAnsi" w:cstheme="majorHAnsi"/>
          <w:b/>
          <w:sz w:val="24"/>
        </w:rPr>
      </w:pP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DISCUSSION</w:t>
      </w:r>
    </w:p>
    <w:p w:rsidR="008B1A72" w:rsidRDefault="008B1A72" w:rsidP="00504374">
      <w:pPr>
        <w:spacing w:line="480" w:lineRule="auto"/>
        <w:jc w:val="both"/>
        <w:rPr>
          <w:rFonts w:asciiTheme="majorHAnsi" w:hAnsiTheme="majorHAnsi" w:cstheme="majorHAnsi"/>
        </w:rPr>
      </w:pPr>
    </w:p>
    <w:p w:rsidR="00FC4EE4" w:rsidRDefault="003720E2" w:rsidP="00504374">
      <w:pPr>
        <w:spacing w:line="480" w:lineRule="auto"/>
        <w:jc w:val="both"/>
        <w:rPr>
          <w:rFonts w:asciiTheme="majorHAnsi" w:hAnsiTheme="majorHAnsi" w:cstheme="majorHAnsi"/>
        </w:rPr>
      </w:pPr>
      <w:r>
        <w:rPr>
          <w:rFonts w:asciiTheme="majorHAnsi" w:hAnsiTheme="majorHAnsi" w:cstheme="majorHAnsi"/>
        </w:rPr>
        <w:t xml:space="preserve">Mice in each group were given a target dose of </w:t>
      </w:r>
      <w:r w:rsidR="008B1A72">
        <w:rPr>
          <w:rFonts w:asciiTheme="majorHAnsi" w:hAnsiTheme="majorHAnsi" w:cstheme="majorHAnsi"/>
        </w:rPr>
        <w:t>2</w:t>
      </w:r>
      <w:r>
        <w:rPr>
          <w:rFonts w:asciiTheme="majorHAnsi" w:hAnsiTheme="majorHAnsi" w:cstheme="majorHAnsi"/>
        </w:rPr>
        <w:t xml:space="preserve"> </w:t>
      </w:r>
      <w:proofErr w:type="spellStart"/>
      <w:r>
        <w:rPr>
          <w:rFonts w:asciiTheme="majorHAnsi" w:hAnsiTheme="majorHAnsi" w:cstheme="majorHAnsi"/>
        </w:rPr>
        <w:t>nCi</w:t>
      </w:r>
      <w:proofErr w:type="spellEnd"/>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as a worst case scenario estimate</w:t>
      </w:r>
      <w:r w:rsidR="00B9671C">
        <w:rPr>
          <w:rFonts w:asciiTheme="majorHAnsi" w:hAnsiTheme="majorHAnsi" w:cstheme="majorHAnsi"/>
        </w:rPr>
        <w:t xml:space="preserve"> (with decay still occurring)</w:t>
      </w:r>
      <w:r w:rsidR="005F772F">
        <w:rPr>
          <w:rFonts w:asciiTheme="majorHAnsi" w:hAnsiTheme="majorHAnsi" w:cstheme="majorHAnsi"/>
        </w:rPr>
        <w:t xml:space="preserve">. </w:t>
      </w:r>
      <w:r w:rsidR="008B1A72">
        <w:rPr>
          <w:rFonts w:asciiTheme="majorHAnsi" w:hAnsiTheme="majorHAnsi" w:cstheme="majorHAnsi"/>
        </w:rPr>
        <w:t xml:space="preserve">To </w:t>
      </w:r>
      <w:r w:rsidR="00044576">
        <w:rPr>
          <w:rFonts w:asciiTheme="majorHAnsi" w:hAnsiTheme="majorHAnsi" w:cstheme="majorHAnsi"/>
        </w:rPr>
        <w:t>estimate</w:t>
      </w:r>
      <w:r w:rsidR="008B1A72">
        <w:rPr>
          <w:rFonts w:asciiTheme="majorHAnsi" w:hAnsiTheme="majorHAnsi" w:cstheme="majorHAnsi"/>
        </w:rPr>
        <w:t xml:space="preserve"> </w:t>
      </w:r>
      <w:r w:rsidR="00DF21AC">
        <w:rPr>
          <w:rFonts w:asciiTheme="majorHAnsi" w:hAnsiTheme="majorHAnsi" w:cstheme="majorHAnsi"/>
        </w:rPr>
        <w:t>dose toxicity</w:t>
      </w:r>
      <w:r w:rsidR="008B1A72">
        <w:rPr>
          <w:rFonts w:asciiTheme="majorHAnsi" w:hAnsiTheme="majorHAnsi" w:cstheme="majorHAnsi"/>
        </w:rPr>
        <w:t xml:space="preserve"> for NOD SCID mice with an antibody-DOTA</w:t>
      </w:r>
      <w:r w:rsidR="00DF21AC">
        <w:rPr>
          <w:rFonts w:asciiTheme="majorHAnsi" w:hAnsiTheme="majorHAnsi" w:cstheme="majorHAnsi"/>
        </w:rPr>
        <w:t>-Ac</w:t>
      </w:r>
      <w:r w:rsidR="008B1A72">
        <w:rPr>
          <w:rFonts w:asciiTheme="majorHAnsi" w:hAnsiTheme="majorHAnsi" w:cstheme="majorHAnsi"/>
        </w:rPr>
        <w:t xml:space="preserve"> conjugate, we extrapolated an estimated future dose using</w:t>
      </w:r>
      <w:r w:rsidR="00460E9F">
        <w:rPr>
          <w:rFonts w:asciiTheme="majorHAnsi" w:hAnsiTheme="majorHAnsi" w:cstheme="majorHAnsi"/>
        </w:rPr>
        <w:t xml:space="preserve"> an</w:t>
      </w:r>
      <w:r>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w:t>
      </w:r>
      <w:proofErr w:type="spellStart"/>
      <w:r w:rsidR="00F42A11">
        <w:rPr>
          <w:rFonts w:asciiTheme="majorHAnsi" w:hAnsiTheme="majorHAnsi" w:cstheme="majorHAnsi"/>
        </w:rPr>
        <w:t>nCi</w:t>
      </w:r>
      <w:proofErr w:type="spellEnd"/>
      <w:r w:rsidR="008B1A72">
        <w:rPr>
          <w:rFonts w:asciiTheme="majorHAnsi" w:hAnsiTheme="majorHAnsi" w:cstheme="majorHAnsi"/>
        </w:rPr>
        <w:t>/g Ac-225 injection</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 (</w:t>
      </w:r>
      <w:r w:rsidR="005F772F" w:rsidRPr="00304F19">
        <w:rPr>
          <w:rFonts w:asciiTheme="majorHAnsi" w:hAnsiTheme="majorHAnsi" w:cstheme="majorHAnsi"/>
          <w:highlight w:val="yellow"/>
        </w:rPr>
        <w:t>cite Lakes 2019 Ac-225, mcDevitt2001 science</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toxic effects of pure Ac-225 (no Ac-227) out to 35 days, it </w:t>
      </w:r>
      <w:r w:rsidR="00DF21AC">
        <w:rPr>
          <w:rFonts w:asciiTheme="majorHAnsi" w:hAnsiTheme="majorHAnsi" w:cstheme="majorHAnsi"/>
        </w:rPr>
        <w:t>may be</w:t>
      </w:r>
      <w:r w:rsidR="00FC4EE4">
        <w:rPr>
          <w:rFonts w:asciiTheme="majorHAnsi" w:hAnsiTheme="majorHAnsi" w:cstheme="majorHAnsi"/>
        </w:rPr>
        <w:t xml:space="preserve"> assumed that toxic effects</w:t>
      </w:r>
      <w:r w:rsidR="005F772F">
        <w:rPr>
          <w:rFonts w:asciiTheme="majorHAnsi" w:hAnsiTheme="majorHAnsi" w:cstheme="majorHAnsi"/>
        </w:rPr>
        <w:t xml:space="preserve"> of only Ac-225</w:t>
      </w:r>
      <w:r w:rsidR="00FC4EE4">
        <w:rPr>
          <w:rFonts w:asciiTheme="majorHAnsi" w:hAnsiTheme="majorHAnsi" w:cstheme="majorHAnsi"/>
        </w:rPr>
        <w:t xml:space="preserve"> beyond 35 days are negligible compared to acute effects due to the short half-life of Ac-225 (10 days). Therefore, acute dose rates up to 35 days may be taken as guideline estimates for an organ tolerated dose rates. </w:t>
      </w:r>
      <w:r w:rsidR="005F772F">
        <w:rPr>
          <w:rFonts w:asciiTheme="majorHAnsi" w:hAnsiTheme="majorHAnsi" w:cstheme="majorHAnsi"/>
        </w:rPr>
        <w:t>This does not speak for long term dose effects of Ac-227, however, which may not be comparable to acute effects.</w:t>
      </w:r>
      <w:r w:rsidR="005F772F" w:rsidRPr="005F772F">
        <w:rPr>
          <w:rFonts w:asciiTheme="majorHAnsi" w:hAnsiTheme="majorHAnsi" w:cstheme="majorHAnsi"/>
        </w:rPr>
        <w:t xml:space="preserve"> </w:t>
      </w:r>
      <w:r w:rsidR="005F772F">
        <w:rPr>
          <w:rFonts w:asciiTheme="majorHAnsi" w:hAnsiTheme="majorHAnsi" w:cstheme="majorHAnsi"/>
        </w:rPr>
        <w:t>For this, it is helpful to look at XXXXXXXXXXXX (study of long term toxicity of alpha emitter per organ?)</w:t>
      </w:r>
    </w:p>
    <w:p w:rsidR="00FC4EE4" w:rsidRDefault="00FC4EE4" w:rsidP="00504374">
      <w:pPr>
        <w:spacing w:line="480" w:lineRule="auto"/>
        <w:jc w:val="both"/>
        <w:rPr>
          <w:rFonts w:asciiTheme="majorHAnsi" w:hAnsiTheme="majorHAnsi" w:cstheme="majorHAnsi"/>
        </w:rPr>
      </w:pP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 showed expected biodistribution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81F16">
        <w:rPr>
          <w:rFonts w:asciiTheme="majorHAnsi" w:hAnsiTheme="majorHAnsi" w:cstheme="majorHAnsi"/>
        </w:rPr>
        <w:t xml:space="preserve"> (CITE ADC DISTRIBUTION)</w:t>
      </w:r>
      <w:r w:rsidR="00272FF3">
        <w:rPr>
          <w:rFonts w:asciiTheme="majorHAnsi" w:hAnsiTheme="majorHAnsi" w:cstheme="majorHAnsi"/>
        </w:rPr>
        <w:t xml:space="preserve">. </w:t>
      </w:r>
      <w:r>
        <w:rPr>
          <w:rFonts w:asciiTheme="majorHAnsi" w:hAnsiTheme="majorHAnsi" w:cstheme="majorHAnsi"/>
        </w:rPr>
        <w:t>Also typical was DOTA-Ac complex biodistribution, where</w:t>
      </w:r>
      <w:r w:rsidR="002E414A">
        <w:rPr>
          <w:rFonts w:asciiTheme="majorHAnsi" w:hAnsiTheme="majorHAnsi" w:cstheme="majorHAnsi"/>
        </w:rPr>
        <w:t xml:space="preserve"> </w:t>
      </w:r>
      <w:r>
        <w:rPr>
          <w:rFonts w:asciiTheme="majorHAnsi" w:hAnsiTheme="majorHAnsi" w:cstheme="majorHAnsi"/>
        </w:rPr>
        <w:t xml:space="preserve">DOTA has </w:t>
      </w:r>
      <w:r w:rsidR="002E414A">
        <w:rPr>
          <w:rFonts w:asciiTheme="majorHAnsi" w:hAnsiTheme="majorHAnsi" w:cstheme="majorHAnsi"/>
        </w:rPr>
        <w:t>shown rapid clearance</w:t>
      </w:r>
      <w:r w:rsidR="00304F19">
        <w:rPr>
          <w:rFonts w:asciiTheme="majorHAnsi" w:hAnsiTheme="majorHAnsi" w:cstheme="majorHAnsi"/>
        </w:rPr>
        <w:t xml:space="preserve"> in both our study and in literature</w:t>
      </w:r>
      <w:r w:rsidR="002E414A">
        <w:rPr>
          <w:rFonts w:asciiTheme="majorHAnsi" w:hAnsiTheme="majorHAnsi" w:cstheme="majorHAnsi"/>
        </w:rPr>
        <w:t xml:space="preserve"> compared to antibodies</w:t>
      </w:r>
      <w:r w:rsidR="00304F19">
        <w:rPr>
          <w:rFonts w:asciiTheme="majorHAnsi" w:hAnsiTheme="majorHAnsi" w:cstheme="majorHAnsi"/>
        </w:rPr>
        <w:t xml:space="preserve"> (</w:t>
      </w:r>
      <w:r w:rsidR="00304F19" w:rsidRPr="00304F19">
        <w:rPr>
          <w:rFonts w:asciiTheme="majorHAnsi" w:hAnsiTheme="majorHAnsi" w:cstheme="majorHAnsi"/>
          <w:highlight w:val="yellow"/>
        </w:rPr>
        <w:t xml:space="preserve">cite Actinium-225 in targeted alpha-particle therapeutic applications – </w:t>
      </w:r>
      <w:proofErr w:type="spellStart"/>
      <w:r w:rsidR="00304F19" w:rsidRPr="00304F19">
        <w:rPr>
          <w:rFonts w:asciiTheme="majorHAnsi" w:hAnsiTheme="majorHAnsi" w:cstheme="majorHAnsi"/>
          <w:highlight w:val="yellow"/>
        </w:rPr>
        <w:t>Scheinberg</w:t>
      </w:r>
      <w:proofErr w:type="spellEnd"/>
      <w:r w:rsidR="00304F19" w:rsidRPr="00304F19">
        <w:rPr>
          <w:rFonts w:asciiTheme="majorHAnsi" w:hAnsiTheme="majorHAnsi" w:cstheme="majorHAnsi"/>
          <w:highlight w:val="yellow"/>
        </w:rPr>
        <w:t xml:space="preserve"> 2011</w:t>
      </w:r>
      <w:r w:rsidR="00304F19">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DF21AC">
        <w:rPr>
          <w:rFonts w:asciiTheme="majorHAnsi" w:hAnsiTheme="majorHAnsi" w:cstheme="majorHAnsi"/>
        </w:rPr>
        <w:t>E</w:t>
      </w:r>
      <w:r>
        <w:rPr>
          <w:rFonts w:asciiTheme="majorHAnsi" w:hAnsiTheme="majorHAnsi" w:cstheme="majorHAnsi"/>
        </w:rPr>
        <w:t xml:space="preserve">ven though renal clearance is the main mechanism </w:t>
      </w:r>
      <w:r w:rsidR="00DF21AC">
        <w:rPr>
          <w:rFonts w:asciiTheme="majorHAnsi" w:hAnsiTheme="majorHAnsi" w:cstheme="majorHAnsi"/>
        </w:rPr>
        <w:t>(see</w:t>
      </w:r>
      <w:r>
        <w:rPr>
          <w:rFonts w:asciiTheme="majorHAnsi" w:hAnsiTheme="majorHAnsi" w:cstheme="majorHAnsi"/>
        </w:rPr>
        <w:t xml:space="preserve"> kidney uptake in </w:t>
      </w:r>
      <w:r>
        <w:rPr>
          <w:rFonts w:asciiTheme="majorHAnsi" w:hAnsiTheme="majorHAnsi" w:cstheme="majorHAnsi"/>
          <w:b/>
        </w:rPr>
        <w:t>Figure 2B/E</w:t>
      </w:r>
      <w:r w:rsidR="00270D54">
        <w:rPr>
          <w:rFonts w:asciiTheme="majorHAnsi" w:hAnsiTheme="majorHAnsi" w:cstheme="majorHAnsi"/>
        </w:rPr>
        <w:t>.</w:t>
      </w:r>
      <w:r w:rsidR="00DF21AC">
        <w:rPr>
          <w:rFonts w:asciiTheme="majorHAnsi" w:hAnsiTheme="majorHAnsi" w:cstheme="majorHAnsi"/>
        </w:rPr>
        <w:t xml:space="preserve">), the quicker clearance results in </w:t>
      </w:r>
      <w:r w:rsidR="00BB0C69">
        <w:rPr>
          <w:rFonts w:asciiTheme="majorHAnsi" w:hAnsiTheme="majorHAnsi" w:cstheme="majorHAnsi"/>
        </w:rPr>
        <w:t xml:space="preserve">greater than an order of magnitude lower </w:t>
      </w:r>
      <w:r w:rsidR="00DF21AC">
        <w:rPr>
          <w:rFonts w:asciiTheme="majorHAnsi" w:hAnsiTheme="majorHAnsi" w:cstheme="majorHAnsi"/>
        </w:rPr>
        <w:t>kidney dose</w:t>
      </w:r>
      <w:r w:rsidR="00BB0C69">
        <w:rPr>
          <w:rFonts w:asciiTheme="majorHAnsi" w:hAnsiTheme="majorHAnsi" w:cstheme="majorHAnsi"/>
        </w:rPr>
        <w:t xml:space="preserve"> (see </w:t>
      </w:r>
      <w:r w:rsidR="00BB0C69">
        <w:rPr>
          <w:rFonts w:asciiTheme="majorHAnsi" w:hAnsiTheme="majorHAnsi" w:cstheme="majorHAnsi"/>
          <w:b/>
        </w:rPr>
        <w:t>Figure 4D/G</w:t>
      </w:r>
      <w:r w:rsidR="00BB0C69">
        <w:rPr>
          <w:rFonts w:asciiTheme="majorHAnsi" w:hAnsiTheme="majorHAnsi" w:cstheme="majorHAnsi"/>
        </w:rPr>
        <w:t>.)</w:t>
      </w:r>
      <w:r w:rsidR="00DF21AC">
        <w:rPr>
          <w:rFonts w:asciiTheme="majorHAnsi" w:hAnsiTheme="majorHAnsi" w:cstheme="majorHAnsi"/>
        </w:rPr>
        <w:t>, and is more highly tolera</w:t>
      </w:r>
      <w:r w:rsidR="00BB0C69">
        <w:rPr>
          <w:rFonts w:asciiTheme="majorHAnsi" w:hAnsiTheme="majorHAnsi" w:cstheme="majorHAnsi"/>
        </w:rPr>
        <w:t>ted than in antibody drug conju</w:t>
      </w:r>
      <w:r w:rsidR="00DF21AC">
        <w:rPr>
          <w:rFonts w:asciiTheme="majorHAnsi" w:hAnsiTheme="majorHAnsi" w:cstheme="majorHAnsi"/>
        </w:rPr>
        <w:t>gates.</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BE4B84">
        <w:rPr>
          <w:rFonts w:asciiTheme="majorHAnsi" w:hAnsiTheme="majorHAnsi" w:cstheme="majorHAnsi"/>
        </w:rPr>
        <w:t>rapid</w:t>
      </w:r>
      <w:r w:rsidR="00270D54">
        <w:rPr>
          <w:rFonts w:asciiTheme="majorHAnsi" w:hAnsiTheme="majorHAnsi" w:cstheme="majorHAnsi"/>
        </w:rPr>
        <w:t xml:space="preserve"> hepatic clearance, and thus liver and solid excreta show the largest portions of distribution (</w:t>
      </w:r>
      <w:r w:rsidR="00270D54" w:rsidRPr="00270D54">
        <w:rPr>
          <w:rFonts w:asciiTheme="majorHAnsi" w:hAnsiTheme="majorHAnsi" w:cstheme="majorHAnsi"/>
          <w:highlight w:val="yellow"/>
        </w:rPr>
        <w:t xml:space="preserve">cite Rees2018 </w:t>
      </w:r>
      <w:proofErr w:type="spellStart"/>
      <w:r w:rsidR="00270D54" w:rsidRPr="00270D54">
        <w:rPr>
          <w:rFonts w:asciiTheme="majorHAnsi" w:hAnsiTheme="majorHAnsi" w:cstheme="majorHAnsi"/>
          <w:highlight w:val="yellow"/>
        </w:rPr>
        <w:t>sci</w:t>
      </w:r>
      <w:proofErr w:type="spellEnd"/>
      <w:r w:rsidR="00270D54" w:rsidRPr="00270D54">
        <w:rPr>
          <w:rFonts w:asciiTheme="majorHAnsi" w:hAnsiTheme="majorHAnsi" w:cstheme="majorHAnsi"/>
          <w:highlight w:val="yellow"/>
        </w:rPr>
        <w:t xml:space="preserve"> reports</w:t>
      </w:r>
      <w:r w:rsidR="00044576">
        <w:rPr>
          <w:rFonts w:asciiTheme="majorHAnsi" w:hAnsiTheme="majorHAnsi" w:cstheme="majorHAnsi"/>
        </w:rPr>
        <w:t>).</w:t>
      </w:r>
    </w:p>
    <w:p w:rsidR="00270D54" w:rsidRDefault="00270D54" w:rsidP="00504374">
      <w:pPr>
        <w:spacing w:line="480" w:lineRule="auto"/>
        <w:jc w:val="both"/>
        <w:rPr>
          <w:rFonts w:asciiTheme="majorHAnsi" w:hAnsiTheme="majorHAnsi" w:cstheme="majorHAnsi"/>
        </w:rPr>
      </w:pPr>
    </w:p>
    <w:p w:rsidR="00270D54" w:rsidRDefault="00270D54" w:rsidP="00504374">
      <w:pPr>
        <w:spacing w:line="480" w:lineRule="auto"/>
        <w:jc w:val="both"/>
        <w:rPr>
          <w:rFonts w:asciiTheme="majorHAnsi" w:hAnsiTheme="majorHAnsi" w:cstheme="majorHAnsi"/>
        </w:rPr>
      </w:pPr>
    </w:p>
    <w:p w:rsidR="009D3005" w:rsidRDefault="009D3005" w:rsidP="00504374">
      <w:pPr>
        <w:spacing w:line="480" w:lineRule="auto"/>
        <w:jc w:val="both"/>
        <w:rPr>
          <w:rFonts w:asciiTheme="majorHAnsi" w:hAnsiTheme="majorHAnsi" w:cstheme="majorHAnsi"/>
        </w:rPr>
      </w:pPr>
    </w:p>
    <w:p w:rsidR="009651F3" w:rsidRDefault="009651F3" w:rsidP="00504374">
      <w:pPr>
        <w:pStyle w:val="ListParagraph"/>
        <w:numPr>
          <w:ilvl w:val="0"/>
          <w:numId w:val="3"/>
        </w:numPr>
        <w:spacing w:line="480" w:lineRule="auto"/>
        <w:jc w:val="both"/>
        <w:rPr>
          <w:rFonts w:asciiTheme="majorHAnsi" w:hAnsiTheme="majorHAnsi" w:cstheme="majorHAnsi"/>
        </w:rPr>
      </w:pPr>
      <w:r>
        <w:rPr>
          <w:rFonts w:asciiTheme="majorHAnsi" w:hAnsiTheme="majorHAnsi" w:cstheme="majorHAnsi"/>
        </w:rPr>
        <w:t>How much dose is too much dose? What are current safe limits based on literature?</w:t>
      </w:r>
    </w:p>
    <w:p w:rsidR="009651F3" w:rsidRDefault="00EB5409" w:rsidP="00504374">
      <w:pPr>
        <w:spacing w:line="480" w:lineRule="auto"/>
        <w:jc w:val="both"/>
        <w:rPr>
          <w:rFonts w:asciiTheme="majorHAnsi" w:hAnsiTheme="majorHAnsi" w:cstheme="majorHAnsi"/>
        </w:rPr>
      </w:pPr>
      <w:r>
        <w:rPr>
          <w:rFonts w:asciiTheme="majorHAnsi" w:hAnsiTheme="majorHAnsi" w:cstheme="majorHAnsi"/>
        </w:rPr>
        <w:t>The International Committee of Radiation Protection(</w:t>
      </w:r>
      <w:r w:rsidR="00BB0C69">
        <w:rPr>
          <w:rFonts w:asciiTheme="majorHAnsi" w:hAnsiTheme="majorHAnsi" w:cstheme="majorHAnsi"/>
        </w:rPr>
        <w:t>ICRP</w:t>
      </w:r>
      <w:r>
        <w:rPr>
          <w:rFonts w:asciiTheme="majorHAnsi" w:hAnsiTheme="majorHAnsi" w:cstheme="majorHAnsi"/>
        </w:rPr>
        <w:t>)</w:t>
      </w:r>
      <w:r w:rsidR="00BB0C69">
        <w:rPr>
          <w:rFonts w:asciiTheme="majorHAnsi" w:hAnsiTheme="majorHAnsi" w:cstheme="majorHAnsi"/>
        </w:rPr>
        <w:t xml:space="preserve"> defines </w:t>
      </w:r>
      <w:r>
        <w:rPr>
          <w:rFonts w:asciiTheme="majorHAnsi" w:hAnsiTheme="majorHAnsi" w:cstheme="majorHAnsi"/>
        </w:rPr>
        <w:t xml:space="preserve">the ‘threshold dose’ as an amount of radiation dose to cause an observable effect in only 1% of </w:t>
      </w:r>
      <w:r w:rsidR="00CE02B6">
        <w:rPr>
          <w:rFonts w:asciiTheme="majorHAnsi" w:hAnsiTheme="majorHAnsi" w:cstheme="majorHAnsi"/>
        </w:rPr>
        <w:t>individuals (estimated dose for 1% i</w:t>
      </w:r>
      <w:r>
        <w:rPr>
          <w:rFonts w:asciiTheme="majorHAnsi" w:hAnsiTheme="majorHAnsi" w:cstheme="majorHAnsi"/>
        </w:rPr>
        <w:t>ncidence, ED</w:t>
      </w:r>
      <w:r>
        <w:rPr>
          <w:rFonts w:asciiTheme="majorHAnsi" w:hAnsiTheme="majorHAnsi" w:cstheme="majorHAnsi"/>
          <w:vertAlign w:val="subscript"/>
        </w:rPr>
        <w:t>1</w:t>
      </w:r>
      <w:r>
        <w:rPr>
          <w:rFonts w:asciiTheme="majorHAnsi" w:hAnsiTheme="majorHAnsi" w:cstheme="majorHAnsi"/>
        </w:rPr>
        <w:t>)</w:t>
      </w:r>
      <w:r w:rsidR="00CE02B6">
        <w:rPr>
          <w:rFonts w:asciiTheme="majorHAnsi" w:hAnsiTheme="majorHAnsi" w:cstheme="majorHAnsi"/>
        </w:rPr>
        <w:t>, but not so far as to say there is no biological effect below that threshold</w:t>
      </w:r>
      <w:r>
        <w:rPr>
          <w:rFonts w:asciiTheme="majorHAnsi" w:hAnsiTheme="majorHAnsi" w:cstheme="majorHAnsi"/>
        </w:rPr>
        <w:t xml:space="preserve"> (</w:t>
      </w:r>
      <w:r w:rsidRPr="00EB5409">
        <w:rPr>
          <w:rFonts w:asciiTheme="majorHAnsi" w:hAnsiTheme="majorHAnsi" w:cstheme="majorHAnsi"/>
          <w:highlight w:val="yellow"/>
        </w:rPr>
        <w:t>CITE ICRP</w:t>
      </w:r>
      <w:r>
        <w:rPr>
          <w:rFonts w:asciiTheme="majorHAnsi" w:hAnsiTheme="majorHAnsi" w:cstheme="majorHAnsi"/>
        </w:rPr>
        <w:t>).</w:t>
      </w:r>
      <w:r w:rsidR="00CE02B6">
        <w:rPr>
          <w:rFonts w:asciiTheme="majorHAnsi" w:hAnsiTheme="majorHAnsi" w:cstheme="majorHAnsi"/>
        </w:rPr>
        <w:t xml:space="preserve"> </w:t>
      </w:r>
    </w:p>
    <w:p w:rsidR="00BB0C69" w:rsidRDefault="00BB0C69"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r>
        <w:rPr>
          <w:rFonts w:asciiTheme="majorHAnsi" w:hAnsiTheme="majorHAnsi" w:cstheme="majorHAnsi"/>
        </w:rPr>
        <w:t xml:space="preserve">In general, low LET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5478DA" w:rsidRPr="005478DA">
        <w:rPr>
          <w:rFonts w:asciiTheme="majorHAnsi" w:hAnsiTheme="majorHAnsi" w:cstheme="majorHAnsi"/>
          <w:highlight w:val="yellow"/>
        </w:rPr>
        <w:t>cite ICRP</w:t>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w:t>
      </w:r>
      <w:r w:rsidR="005478DA" w:rsidRPr="005478DA">
        <w:rPr>
          <w:rFonts w:asciiTheme="majorHAnsi" w:hAnsiTheme="majorHAnsi" w:cstheme="majorHAnsi"/>
          <w:highlight w:val="yellow"/>
        </w:rPr>
        <w:t>cite?</w:t>
      </w:r>
      <w:r w:rsidR="005478DA">
        <w:rPr>
          <w:rFonts w:asciiTheme="majorHAnsi" w:hAnsiTheme="majorHAnsi" w:cstheme="majorHAnsi"/>
        </w:rPr>
        <w:t>). However, high LET radiation retains its potency even at low doses due to direct DNA lesion mechanisms (</w:t>
      </w:r>
      <w:r w:rsidR="005478DA" w:rsidRPr="005478DA">
        <w:rPr>
          <w:rFonts w:asciiTheme="majorHAnsi" w:hAnsiTheme="majorHAnsi" w:cstheme="majorHAnsi"/>
          <w:highlight w:val="yellow"/>
        </w:rPr>
        <w:t>cite?</w:t>
      </w:r>
      <w:r w:rsidR="005478DA">
        <w:rPr>
          <w:rFonts w:asciiTheme="majorHAnsi" w:hAnsiTheme="majorHAnsi" w:cstheme="majorHAnsi"/>
        </w:rPr>
        <w:t xml:space="preserve">). </w:t>
      </w: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 xml:space="preserve">Different tissues’ proliferation rate greatly influences the </w:t>
      </w:r>
      <w:proofErr w:type="spellStart"/>
      <w:r>
        <w:rPr>
          <w:rFonts w:asciiTheme="majorHAnsi" w:hAnsiTheme="majorHAnsi" w:cstheme="majorHAnsi"/>
        </w:rPr>
        <w:t>radiotolerance</w:t>
      </w:r>
      <w:proofErr w:type="spellEnd"/>
      <w:r>
        <w:rPr>
          <w:rFonts w:asciiTheme="majorHAnsi" w:hAnsiTheme="majorHAnsi" w:cstheme="majorHAnsi"/>
        </w:rPr>
        <w:t xml:space="preserv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6479C4" w:rsidRDefault="006479C4" w:rsidP="00504374">
      <w:pPr>
        <w:spacing w:line="480" w:lineRule="auto"/>
        <w:jc w:val="both"/>
        <w:rPr>
          <w:rFonts w:asciiTheme="majorHAnsi" w:hAnsiTheme="majorHAnsi" w:cstheme="majorHAnsi"/>
        </w:rPr>
      </w:pPr>
    </w:p>
    <w:p w:rsidR="006479C4" w:rsidRDefault="006479C4" w:rsidP="00504374">
      <w:pPr>
        <w:spacing w:line="480" w:lineRule="auto"/>
        <w:jc w:val="both"/>
        <w:rPr>
          <w:rFonts w:asciiTheme="majorHAnsi" w:hAnsiTheme="majorHAnsi" w:cstheme="majorHAnsi"/>
        </w:rPr>
      </w:pP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w:t>
      </w:r>
      <w:proofErr w:type="spellStart"/>
      <w:r>
        <w:rPr>
          <w:rFonts w:asciiTheme="majorHAnsi" w:hAnsiTheme="majorHAnsi" w:cstheme="majorHAnsi"/>
        </w:rPr>
        <w:t>Gy</w:t>
      </w:r>
      <w:proofErr w:type="spellEnd"/>
      <w:r>
        <w:rPr>
          <w:rFonts w:asciiTheme="majorHAnsi" w:hAnsiTheme="majorHAnsi" w:cstheme="majorHAnsi"/>
        </w:rPr>
        <w:t xml:space="preserve"> with medical assistance, or 3.3-4.5 </w:t>
      </w:r>
      <w:proofErr w:type="spellStart"/>
      <w:r>
        <w:rPr>
          <w:rFonts w:asciiTheme="majorHAnsi" w:hAnsiTheme="majorHAnsi" w:cstheme="majorHAnsi"/>
        </w:rPr>
        <w:t>Gy</w:t>
      </w:r>
      <w:proofErr w:type="spellEnd"/>
      <w:r>
        <w:rPr>
          <w:rFonts w:asciiTheme="majorHAnsi" w:hAnsiTheme="majorHAnsi" w:cstheme="majorHAnsi"/>
        </w:rPr>
        <w:t xml:space="preserve"> without (</w:t>
      </w:r>
      <w:r w:rsidRPr="006479C4">
        <w:rPr>
          <w:highlight w:val="yellow"/>
        </w:rPr>
        <w:t>UNSCEAR Annex G, 1988</w:t>
      </w:r>
      <w:r>
        <w:t>, ICRP)</w:t>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BB0C69" w:rsidP="00504374">
      <w:pPr>
        <w:spacing w:line="480" w:lineRule="auto"/>
        <w:jc w:val="both"/>
        <w:rPr>
          <w:rFonts w:asciiTheme="majorHAnsi" w:hAnsiTheme="majorHAnsi" w:cstheme="majorHAnsi"/>
        </w:rPr>
      </w:pP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 xml:space="preserve">Behr 1999 (High-linear energy transfer (LET) alpha versus low-LET beta emitters in </w:t>
      </w:r>
      <w:proofErr w:type="spellStart"/>
      <w:r w:rsidRPr="00304F19">
        <w:rPr>
          <w:rFonts w:asciiTheme="majorHAnsi" w:hAnsiTheme="majorHAnsi" w:cstheme="majorHAnsi"/>
          <w:highlight w:val="yellow"/>
        </w:rPr>
        <w:t>radioimmunotherapy</w:t>
      </w:r>
      <w:proofErr w:type="spellEnd"/>
      <w:r w:rsidRPr="00304F19">
        <w:rPr>
          <w:rFonts w:asciiTheme="majorHAnsi" w:hAnsiTheme="majorHAnsi" w:cstheme="majorHAnsi"/>
          <w:highlight w:val="yellow"/>
        </w:rPr>
        <w:t xml:space="preserve">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Initial blood dose 5-8 </w:t>
      </w:r>
      <w:proofErr w:type="spellStart"/>
      <w:r>
        <w:rPr>
          <w:rFonts w:asciiTheme="majorHAnsi" w:hAnsiTheme="majorHAnsi" w:cstheme="majorHAnsi"/>
        </w:rPr>
        <w:t>Gy</w:t>
      </w:r>
      <w:proofErr w:type="spellEnd"/>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w:t>
      </w:r>
      <w:proofErr w:type="spellStart"/>
      <w:r>
        <w:rPr>
          <w:rFonts w:asciiTheme="majorHAnsi" w:hAnsiTheme="majorHAnsi" w:cstheme="majorHAnsi"/>
        </w:rPr>
        <w:t>Gy</w:t>
      </w:r>
      <w:proofErr w:type="spellEnd"/>
      <w:r>
        <w:rPr>
          <w:rFonts w:asciiTheme="majorHAnsi" w:hAnsiTheme="majorHAnsi" w:cstheme="majorHAnsi"/>
        </w:rPr>
        <w:t xml:space="preserve"> over </w:t>
      </w:r>
      <w:r w:rsidR="009D3005">
        <w:rPr>
          <w:rFonts w:asciiTheme="majorHAnsi" w:hAnsiTheme="majorHAnsi" w:cstheme="majorHAnsi"/>
        </w:rPr>
        <w:t>for Bi-213-Fab’ fragments</w:t>
      </w:r>
    </w:p>
    <w:p w:rsidR="009651F3" w:rsidRDefault="009651F3" w:rsidP="00504374">
      <w:pPr>
        <w:spacing w:line="480" w:lineRule="auto"/>
        <w:jc w:val="both"/>
        <w:rPr>
          <w:rFonts w:asciiTheme="majorHAnsi" w:hAnsiTheme="majorHAnsi" w:cstheme="majorHAnsi"/>
        </w:rPr>
      </w:pPr>
    </w:p>
    <w:p w:rsidR="009D3005" w:rsidRDefault="009D3005"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C16D83" w:rsidRDefault="006479C4" w:rsidP="00504374">
      <w:pPr>
        <w:spacing w:line="480" w:lineRule="auto"/>
        <w:jc w:val="both"/>
        <w:rPr>
          <w:rFonts w:asciiTheme="majorHAnsi" w:hAnsiTheme="majorHAnsi" w:cstheme="majorHAnsi"/>
        </w:rPr>
      </w:pPr>
      <w:r>
        <w:rPr>
          <w:rFonts w:asciiTheme="majorHAnsi" w:hAnsiTheme="majorHAnsi" w:cstheme="majorHAnsi"/>
        </w:rPr>
        <w:t xml:space="preserve">In the Unites States, the </w:t>
      </w:r>
      <w:r w:rsidR="00F70C61">
        <w:rPr>
          <w:rFonts w:asciiTheme="majorHAnsi" w:hAnsiTheme="majorHAnsi" w:cstheme="majorHAnsi"/>
        </w:rPr>
        <w:t xml:space="preserve">annual </w:t>
      </w:r>
      <w:r>
        <w:rPr>
          <w:rFonts w:asciiTheme="majorHAnsi" w:hAnsiTheme="majorHAnsi" w:cstheme="majorHAnsi"/>
        </w:rPr>
        <w:t xml:space="preserve">radiation exposure limits for radiation workers is </w:t>
      </w:r>
      <w:r w:rsidR="00F70C61">
        <w:rPr>
          <w:rFonts w:asciiTheme="majorHAnsi" w:hAnsiTheme="majorHAnsi" w:cstheme="majorHAnsi"/>
        </w:rPr>
        <w:t xml:space="preserve">50 </w:t>
      </w:r>
      <w:proofErr w:type="spellStart"/>
      <w:r w:rsidR="00F70C61">
        <w:rPr>
          <w:rFonts w:asciiTheme="majorHAnsi" w:hAnsiTheme="majorHAnsi" w:cstheme="majorHAnsi"/>
        </w:rPr>
        <w:t>mSv</w:t>
      </w:r>
      <w:proofErr w:type="spellEnd"/>
      <w:r w:rsidR="00F70C61">
        <w:rPr>
          <w:rFonts w:asciiTheme="majorHAnsi" w:hAnsiTheme="majorHAnsi" w:cstheme="majorHAnsi"/>
        </w:rPr>
        <w:t xml:space="preserve"> for whole body exposure (</w:t>
      </w:r>
      <w:r w:rsidR="00F70C61" w:rsidRPr="00F70C61">
        <w:rPr>
          <w:rFonts w:asciiTheme="majorHAnsi" w:hAnsiTheme="majorHAnsi" w:cstheme="majorHAnsi"/>
          <w:highlight w:val="yellow"/>
        </w:rPr>
        <w:t>cite OSHA.gov</w:t>
      </w:r>
      <w:r w:rsidR="00F70C61">
        <w:rPr>
          <w:rFonts w:asciiTheme="majorHAnsi" w:hAnsiTheme="majorHAnsi" w:cstheme="majorHAnsi"/>
        </w:rPr>
        <w:t>), which if taken as alpha radiation</w:t>
      </w:r>
      <w:r w:rsidR="00765788">
        <w:rPr>
          <w:rFonts w:asciiTheme="majorHAnsi" w:hAnsiTheme="majorHAnsi" w:cstheme="majorHAnsi"/>
        </w:rPr>
        <w:t xml:space="preserve"> (20:1 equivalency for </w:t>
      </w:r>
      <w:proofErr w:type="spellStart"/>
      <w:r w:rsidR="00765788">
        <w:rPr>
          <w:rFonts w:asciiTheme="majorHAnsi" w:hAnsiTheme="majorHAnsi" w:cstheme="majorHAnsi"/>
        </w:rPr>
        <w:t>Sv</w:t>
      </w:r>
      <w:proofErr w:type="gramStart"/>
      <w:r w:rsidR="00765788">
        <w:rPr>
          <w:rFonts w:asciiTheme="majorHAnsi" w:hAnsiTheme="majorHAnsi" w:cstheme="majorHAnsi"/>
        </w:rPr>
        <w:t>:Gy</w:t>
      </w:r>
      <w:proofErr w:type="spellEnd"/>
      <w:proofErr w:type="gramEnd"/>
      <w:r w:rsidR="00765788">
        <w:rPr>
          <w:rFonts w:asciiTheme="majorHAnsi" w:hAnsiTheme="majorHAnsi" w:cstheme="majorHAnsi"/>
        </w:rPr>
        <w:t xml:space="preserve"> with alpha radiation)</w:t>
      </w:r>
      <w:r w:rsidR="00F70C61">
        <w:rPr>
          <w:rFonts w:asciiTheme="majorHAnsi" w:hAnsiTheme="majorHAnsi" w:cstheme="majorHAnsi"/>
        </w:rPr>
        <w:t xml:space="preserve">, is the equivalence of approximately 2.5 </w:t>
      </w:r>
      <w:proofErr w:type="spellStart"/>
      <w:r w:rsidR="00F70C61">
        <w:rPr>
          <w:rFonts w:asciiTheme="majorHAnsi" w:hAnsiTheme="majorHAnsi" w:cstheme="majorHAnsi"/>
        </w:rPr>
        <w:t>mGy</w:t>
      </w:r>
      <w:proofErr w:type="spellEnd"/>
      <w:r w:rsidR="00F70C61">
        <w:rPr>
          <w:rFonts w:asciiTheme="majorHAnsi" w:hAnsiTheme="majorHAnsi" w:cstheme="majorHAnsi"/>
        </w:rPr>
        <w:t xml:space="preserve">. At this dose exposure, the risk of death is not measurably increased. However, the risk of diseases typically treated via radiotherapy greatly outweighs the risk of the therapy itself. For radiotherapy patients using </w:t>
      </w:r>
      <w:proofErr w:type="spellStart"/>
      <w:r w:rsidR="00F70C61">
        <w:rPr>
          <w:rFonts w:asciiTheme="majorHAnsi" w:hAnsiTheme="majorHAnsi" w:cstheme="majorHAnsi"/>
        </w:rPr>
        <w:t>Zevalin</w:t>
      </w:r>
      <w:proofErr w:type="spellEnd"/>
      <w:r w:rsidR="00F70C61">
        <w:rPr>
          <w:rFonts w:asciiTheme="majorHAnsi" w:hAnsiTheme="majorHAnsi" w:cstheme="majorHAnsi"/>
        </w:rPr>
        <w:t xml:space="preserve"> (anti-CD20 conjugate with In-111/Y-</w:t>
      </w:r>
      <w:r w:rsidR="00F70C61">
        <w:rPr>
          <w:rFonts w:asciiTheme="majorHAnsi" w:hAnsiTheme="majorHAnsi" w:cstheme="majorHAnsi"/>
        </w:rPr>
        <w:lastRenderedPageBreak/>
        <w:t xml:space="preserve">90), doses </w:t>
      </w:r>
      <w:r w:rsidR="007F2318">
        <w:rPr>
          <w:rFonts w:asciiTheme="majorHAnsi" w:hAnsiTheme="majorHAnsi" w:cstheme="majorHAnsi"/>
        </w:rPr>
        <w:t xml:space="preserve">are much greater. After an imaging dose of 5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 In-111, and a therapeutic dose of 0.4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/kg Y-90, dose ranges received were: spleen 4.2-23.0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liver 2.6-12.0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lungs 1.4-5.3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kidneys 0-0.66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0.29-1.2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red marrow</w:t>
      </w:r>
      <w:r w:rsidR="00F70C61">
        <w:rPr>
          <w:rFonts w:asciiTheme="majorHAnsi" w:hAnsiTheme="majorHAnsi" w:cstheme="majorHAnsi"/>
        </w:rPr>
        <w:t xml:space="preserve"> (</w:t>
      </w:r>
      <w:r w:rsidR="00F70C61" w:rsidRPr="00F70C61">
        <w:rPr>
          <w:rFonts w:asciiTheme="majorHAnsi" w:hAnsiTheme="majorHAnsi" w:cstheme="majorHAnsi"/>
          <w:highlight w:val="yellow"/>
        </w:rPr>
        <w:t xml:space="preserve">cite Wiseman 2002, Cancer.  Radiation dosimetry results for </w:t>
      </w:r>
      <w:proofErr w:type="spellStart"/>
      <w:r w:rsidR="00F70C61" w:rsidRPr="00F70C61">
        <w:rPr>
          <w:rFonts w:asciiTheme="majorHAnsi" w:hAnsiTheme="majorHAnsi" w:cstheme="majorHAnsi"/>
          <w:highlight w:val="yellow"/>
        </w:rPr>
        <w:t>Zevalin</w:t>
      </w:r>
      <w:proofErr w:type="spellEnd"/>
      <w:r w:rsidR="00F70C61" w:rsidRPr="00F70C61">
        <w:rPr>
          <w:rFonts w:asciiTheme="majorHAnsi" w:hAnsiTheme="majorHAnsi" w:cstheme="majorHAnsi"/>
          <w:highlight w:val="yellow"/>
        </w:rPr>
        <w:t xml:space="preserve"> </w:t>
      </w:r>
      <w:proofErr w:type="spellStart"/>
      <w:r w:rsidR="00F70C61" w:rsidRPr="00F70C61">
        <w:rPr>
          <w:rFonts w:asciiTheme="majorHAnsi" w:hAnsiTheme="majorHAnsi" w:cstheme="majorHAnsi"/>
          <w:highlight w:val="yellow"/>
        </w:rPr>
        <w:t>radioimmunotherapy</w:t>
      </w:r>
      <w:proofErr w:type="spellEnd"/>
      <w:r w:rsidR="00F70C61" w:rsidRPr="00F70C61">
        <w:rPr>
          <w:rFonts w:asciiTheme="majorHAnsi" w:hAnsiTheme="majorHAnsi" w:cstheme="majorHAnsi"/>
          <w:highlight w:val="yellow"/>
        </w:rPr>
        <w:t xml:space="preserve"> of rituximab-refractory non-Hodgkin lymphoma</w:t>
      </w:r>
      <w:r w:rsidR="00F70C61">
        <w:rPr>
          <w:rFonts w:asciiTheme="majorHAnsi" w:hAnsiTheme="majorHAnsi" w:cstheme="majorHAnsi"/>
        </w:rPr>
        <w:t>)</w:t>
      </w:r>
      <w:r w:rsidR="007F2318">
        <w:rPr>
          <w:rFonts w:asciiTheme="majorHAnsi" w:hAnsiTheme="majorHAnsi" w:cstheme="majorHAnsi"/>
        </w:rPr>
        <w:t>. Considering the short half-lives for In-111 (67.3 hours) and Y-90 (64.1 hours), these doses can be considered as acute.</w:t>
      </w:r>
      <w:r w:rsidR="00D274B8">
        <w:rPr>
          <w:rFonts w:asciiTheme="majorHAnsi" w:hAnsiTheme="majorHAnsi" w:cstheme="majorHAnsi"/>
        </w:rPr>
        <w:t xml:space="preserve"> Comparing our mouse data to these values, it is clear that the short term Ac-225 dose is similar or less than the </w:t>
      </w:r>
      <w:proofErr w:type="spellStart"/>
      <w:r w:rsidR="00D274B8">
        <w:rPr>
          <w:rFonts w:asciiTheme="majorHAnsi" w:hAnsiTheme="majorHAnsi" w:cstheme="majorHAnsi"/>
        </w:rPr>
        <w:t>Zevalin</w:t>
      </w:r>
      <w:proofErr w:type="spellEnd"/>
      <w:r w:rsidR="00D274B8">
        <w:rPr>
          <w:rFonts w:asciiTheme="majorHAnsi" w:hAnsiTheme="majorHAnsi" w:cstheme="majorHAnsi"/>
        </w:rPr>
        <w:t xml:space="preserve"> example, with the largest maximum daily dose of Trastuzumab-DOTA-Ac-225 </w:t>
      </w:r>
      <w:r w:rsidR="00D42F03">
        <w:rPr>
          <w:rFonts w:asciiTheme="majorHAnsi" w:hAnsiTheme="majorHAnsi" w:cstheme="majorHAnsi"/>
        </w:rPr>
        <w:t>with an upper end 95% CI of</w:t>
      </w:r>
      <w:r w:rsidR="00D274B8">
        <w:rPr>
          <w:rFonts w:asciiTheme="majorHAnsi" w:hAnsiTheme="majorHAnsi" w:cstheme="majorHAnsi"/>
        </w:rPr>
        <w:t xml:space="preserve"> </w:t>
      </w:r>
      <w:r w:rsidR="00D42F03">
        <w:rPr>
          <w:rFonts w:asciiTheme="majorHAnsi" w:hAnsiTheme="majorHAnsi" w:cstheme="majorHAnsi"/>
        </w:rPr>
        <w:t>23.8</w:t>
      </w:r>
      <w:r w:rsidR="00D274B8">
        <w:rPr>
          <w:rFonts w:asciiTheme="majorHAnsi" w:hAnsiTheme="majorHAnsi" w:cstheme="majorHAnsi"/>
        </w:rPr>
        <w:t xml:space="preserve">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 cumulative dose, or upper end</w:t>
      </w:r>
      <w:r w:rsidR="00D42F03">
        <w:rPr>
          <w:rFonts w:asciiTheme="majorHAnsi" w:hAnsiTheme="majorHAnsi" w:cstheme="majorHAnsi"/>
        </w:rPr>
        <w:t xml:space="preserve"> 95% CI</w:t>
      </w:r>
      <w:r w:rsidR="00D274B8">
        <w:rPr>
          <w:rFonts w:asciiTheme="majorHAnsi" w:hAnsiTheme="majorHAnsi" w:cstheme="majorHAnsi"/>
        </w:rPr>
        <w:t xml:space="preserve"> of 1.</w:t>
      </w:r>
      <w:r w:rsidR="00D42F03">
        <w:rPr>
          <w:rFonts w:asciiTheme="majorHAnsi" w:hAnsiTheme="majorHAnsi" w:cstheme="majorHAnsi"/>
        </w:rPr>
        <w:t>0</w:t>
      </w:r>
      <w:r w:rsidR="00D274B8">
        <w:rPr>
          <w:rFonts w:asciiTheme="majorHAnsi" w:hAnsiTheme="majorHAnsi" w:cstheme="majorHAnsi"/>
        </w:rPr>
        <w:t xml:space="preserve">5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/day. </w:t>
      </w:r>
      <w:r w:rsidR="00CB6D0D">
        <w:rPr>
          <w:rFonts w:asciiTheme="majorHAnsi" w:hAnsiTheme="majorHAnsi" w:cstheme="majorHAnsi"/>
        </w:rPr>
        <w:t>A 5% increase in liver disease occurs in humans with typical gamma radiation tre</w:t>
      </w:r>
      <w:r w:rsidR="00E26EAB">
        <w:rPr>
          <w:rFonts w:asciiTheme="majorHAnsi" w:hAnsiTheme="majorHAnsi" w:cstheme="majorHAnsi"/>
        </w:rPr>
        <w:t>atment of total doses up to 28</w:t>
      </w:r>
      <w:r w:rsidR="00CB6D0D">
        <w:rPr>
          <w:rFonts w:asciiTheme="majorHAnsi" w:hAnsiTheme="majorHAnsi" w:cstheme="majorHAnsi"/>
        </w:rPr>
        <w:t xml:space="preserve"> </w:t>
      </w:r>
      <w:proofErr w:type="spellStart"/>
      <w:r w:rsidR="00CB6D0D">
        <w:rPr>
          <w:rFonts w:asciiTheme="majorHAnsi" w:hAnsiTheme="majorHAnsi" w:cstheme="majorHAnsi"/>
        </w:rPr>
        <w:t>Gy</w:t>
      </w:r>
      <w:proofErr w:type="spellEnd"/>
      <w:r w:rsidR="00CB6D0D">
        <w:rPr>
          <w:rFonts w:asciiTheme="majorHAnsi" w:hAnsiTheme="majorHAnsi" w:cstheme="majorHAnsi"/>
        </w:rPr>
        <w:t xml:space="preserve"> (</w:t>
      </w:r>
      <w:r w:rsidR="00CB6D0D" w:rsidRPr="00E26EAB">
        <w:rPr>
          <w:rFonts w:asciiTheme="majorHAnsi" w:hAnsiTheme="majorHAnsi" w:cstheme="majorHAnsi"/>
          <w:highlight w:val="yellow"/>
        </w:rPr>
        <w:t xml:space="preserve">cite </w:t>
      </w:r>
      <w:r w:rsidR="00E26EAB" w:rsidRPr="00E26EAB">
        <w:rPr>
          <w:rFonts w:asciiTheme="majorHAnsi" w:hAnsiTheme="majorHAnsi" w:cstheme="majorHAnsi"/>
          <w:highlight w:val="yellow"/>
        </w:rPr>
        <w:t>Pan 2010 - Radiation-Associated Liver Injury</w:t>
      </w:r>
      <w:r w:rsidR="00CB6D0D">
        <w:rPr>
          <w:rFonts w:asciiTheme="majorHAnsi" w:hAnsiTheme="majorHAnsi" w:cstheme="majorHAnsi"/>
        </w:rPr>
        <w:t>)</w:t>
      </w:r>
      <w:r w:rsidR="00E26EAB">
        <w:rPr>
          <w:rFonts w:asciiTheme="majorHAnsi" w:hAnsiTheme="majorHAnsi" w:cstheme="majorHAnsi"/>
        </w:rPr>
        <w:t>.</w:t>
      </w:r>
    </w:p>
    <w:p w:rsidR="00C16D83" w:rsidRDefault="00C16D83" w:rsidP="00504374">
      <w:pPr>
        <w:spacing w:line="480" w:lineRule="auto"/>
        <w:jc w:val="both"/>
        <w:rPr>
          <w:rFonts w:asciiTheme="majorHAnsi" w:hAnsiTheme="majorHAnsi" w:cstheme="majorHAnsi"/>
        </w:rPr>
      </w:pPr>
      <w:r>
        <w:rPr>
          <w:rFonts w:asciiTheme="majorHAnsi" w:hAnsiTheme="majorHAnsi" w:cstheme="majorHAnsi"/>
        </w:rPr>
        <w:t>While acute doses XXXXXXXX, long term doses deplete the stem cell compartments, and increase proliferation of multipotent cells (</w:t>
      </w:r>
      <w:r w:rsidRPr="00C16D83">
        <w:rPr>
          <w:rFonts w:asciiTheme="majorHAnsi" w:hAnsiTheme="majorHAnsi" w:cstheme="majorHAnsi"/>
          <w:highlight w:val="yellow"/>
        </w:rPr>
        <w:t xml:space="preserve">ICRP, </w:t>
      </w:r>
      <w:r w:rsidRPr="00C16D83">
        <w:rPr>
          <w:highlight w:val="yellow"/>
        </w:rPr>
        <w:t>(</w:t>
      </w:r>
      <w:proofErr w:type="spellStart"/>
      <w:r w:rsidRPr="00C16D83">
        <w:rPr>
          <w:highlight w:val="yellow"/>
        </w:rPr>
        <w:t>Fliedner</w:t>
      </w:r>
      <w:proofErr w:type="spellEnd"/>
      <w:r w:rsidRPr="00C16D83">
        <w:rPr>
          <w:highlight w:val="yellow"/>
        </w:rPr>
        <w:t xml:space="preserve"> et al., 2002)</w:t>
      </w:r>
      <w:r>
        <w:t>)</w:t>
      </w:r>
      <w:r>
        <w:rPr>
          <w:rFonts w:asciiTheme="majorHAnsi" w:hAnsiTheme="majorHAnsi" w:cstheme="majorHAnsi"/>
        </w:rPr>
        <w:t>. It has been shown that long term dosing allows for a greater total cumulative dose compared to acute doses, and dose rate is indicative of dose tolerance (</w:t>
      </w:r>
      <w:r w:rsidRPr="00C16D83">
        <w:rPr>
          <w:rFonts w:asciiTheme="majorHAnsi" w:hAnsiTheme="majorHAnsi" w:cstheme="majorHAnsi"/>
          <w:highlight w:val="yellow"/>
        </w:rPr>
        <w:t>c</w:t>
      </w:r>
      <w:r>
        <w:rPr>
          <w:rFonts w:asciiTheme="majorHAnsi" w:hAnsiTheme="majorHAnsi" w:cstheme="majorHAnsi"/>
          <w:highlight w:val="yellow"/>
        </w:rPr>
        <w:t>i</w:t>
      </w:r>
      <w:r w:rsidRPr="00C16D83">
        <w:rPr>
          <w:rFonts w:asciiTheme="majorHAnsi" w:hAnsiTheme="majorHAnsi" w:cstheme="majorHAnsi"/>
          <w:highlight w:val="yellow"/>
        </w:rPr>
        <w:t xml:space="preserve">te ICRP, </w:t>
      </w:r>
      <w:proofErr w:type="spellStart"/>
      <w:r w:rsidRPr="00C16D83">
        <w:rPr>
          <w:highlight w:val="yellow"/>
        </w:rPr>
        <w:t>Muksinova</w:t>
      </w:r>
      <w:proofErr w:type="spellEnd"/>
      <w:r w:rsidRPr="00C16D83">
        <w:rPr>
          <w:highlight w:val="yellow"/>
        </w:rPr>
        <w:t xml:space="preserve"> and </w:t>
      </w:r>
      <w:proofErr w:type="spellStart"/>
      <w:r w:rsidRPr="00C16D83">
        <w:rPr>
          <w:highlight w:val="yellow"/>
        </w:rPr>
        <w:t>Mushkachyova</w:t>
      </w:r>
      <w:proofErr w:type="spellEnd"/>
      <w:r w:rsidRPr="00C16D83">
        <w:rPr>
          <w:highlight w:val="yellow"/>
        </w:rPr>
        <w:t>, 1990</w:t>
      </w:r>
      <w:r>
        <w:t>)</w:t>
      </w:r>
      <w:r>
        <w:rPr>
          <w:rFonts w:asciiTheme="majorHAnsi" w:hAnsiTheme="majorHAnsi" w:cstheme="majorHAnsi"/>
        </w:rPr>
        <w:t xml:space="preserve">. </w:t>
      </w:r>
    </w:p>
    <w:p w:rsidR="00C16D83" w:rsidRDefault="00C16D83" w:rsidP="00504374">
      <w:pPr>
        <w:spacing w:line="480" w:lineRule="auto"/>
        <w:jc w:val="both"/>
        <w:rPr>
          <w:rFonts w:asciiTheme="majorHAnsi" w:hAnsiTheme="majorHAnsi" w:cstheme="majorHAnsi"/>
        </w:rPr>
      </w:pPr>
    </w:p>
    <w:p w:rsidR="00C16D83" w:rsidRDefault="00C16D83" w:rsidP="00504374">
      <w:pPr>
        <w:spacing w:line="480" w:lineRule="auto"/>
        <w:jc w:val="both"/>
        <w:rPr>
          <w:rFonts w:asciiTheme="majorHAnsi" w:hAnsiTheme="majorHAnsi" w:cstheme="majorHAnsi"/>
        </w:rPr>
      </w:pPr>
    </w:p>
    <w:p w:rsidR="00DB6C0A" w:rsidRDefault="00765788" w:rsidP="00504374">
      <w:pPr>
        <w:spacing w:line="480" w:lineRule="auto"/>
        <w:jc w:val="both"/>
        <w:rPr>
          <w:rFonts w:asciiTheme="majorHAnsi" w:hAnsiTheme="majorHAnsi" w:cstheme="majorHAnsi"/>
        </w:rPr>
      </w:pPr>
      <w:r>
        <w:rPr>
          <w:rFonts w:asciiTheme="majorHAnsi" w:hAnsiTheme="majorHAnsi" w:cstheme="majorHAnsi"/>
        </w:rPr>
        <w:t>Considering l</w:t>
      </w:r>
      <w:r w:rsidR="003217EB">
        <w:rPr>
          <w:rFonts w:asciiTheme="majorHAnsi" w:hAnsiTheme="majorHAnsi" w:cstheme="majorHAnsi"/>
        </w:rPr>
        <w:t xml:space="preserve">ong term Ac-227 </w:t>
      </w:r>
      <w:r>
        <w:rPr>
          <w:rFonts w:asciiTheme="majorHAnsi" w:hAnsiTheme="majorHAnsi" w:cstheme="majorHAnsi"/>
        </w:rPr>
        <w:t>exposure is</w:t>
      </w:r>
      <w:r w:rsidR="003217EB">
        <w:rPr>
          <w:rFonts w:asciiTheme="majorHAnsi" w:hAnsiTheme="majorHAnsi" w:cstheme="majorHAnsi"/>
        </w:rPr>
        <w:t xml:space="preserve"> not directly comparable</w:t>
      </w:r>
      <w:r>
        <w:rPr>
          <w:rFonts w:asciiTheme="majorHAnsi" w:hAnsiTheme="majorHAnsi" w:cstheme="majorHAnsi"/>
        </w:rPr>
        <w:t>, estimates may still be made to long term safe exposure rates</w:t>
      </w:r>
      <w:r w:rsidR="003217EB">
        <w:rPr>
          <w:rFonts w:asciiTheme="majorHAnsi" w:hAnsiTheme="majorHAnsi" w:cstheme="majorHAnsi"/>
        </w:rPr>
        <w:t>.</w:t>
      </w:r>
      <w:r>
        <w:rPr>
          <w:rFonts w:asciiTheme="majorHAnsi" w:hAnsiTheme="majorHAnsi" w:cstheme="majorHAnsi"/>
        </w:rPr>
        <w:t xml:space="preserve"> T</w:t>
      </w:r>
      <w:r w:rsidR="003217EB">
        <w:rPr>
          <w:rFonts w:asciiTheme="majorHAnsi" w:hAnsiTheme="majorHAnsi" w:cstheme="majorHAnsi"/>
        </w:rPr>
        <w:t xml:space="preserve">he </w:t>
      </w:r>
      <w:r>
        <w:rPr>
          <w:rFonts w:asciiTheme="majorHAnsi" w:hAnsiTheme="majorHAnsi" w:cstheme="majorHAnsi"/>
        </w:rPr>
        <w:t xml:space="preserve">Trastuzumab-DOTA-Ac-227 </w:t>
      </w:r>
      <w:r w:rsidR="003217EB">
        <w:rPr>
          <w:rFonts w:asciiTheme="majorHAnsi" w:hAnsiTheme="majorHAnsi" w:cstheme="majorHAnsi"/>
        </w:rPr>
        <w:t xml:space="preserve">dose per day is in the order of </w:t>
      </w:r>
      <w:r>
        <w:rPr>
          <w:rFonts w:asciiTheme="majorHAnsi" w:hAnsiTheme="majorHAnsi" w:cstheme="majorHAnsi"/>
        </w:rPr>
        <w:t>5</w:t>
      </w:r>
      <w:r w:rsidR="003217EB">
        <w:rPr>
          <w:rFonts w:asciiTheme="majorHAnsi" w:hAnsiTheme="majorHAnsi" w:cstheme="majorHAnsi"/>
        </w:rPr>
        <w:t xml:space="preserve"> </w:t>
      </w:r>
      <w:proofErr w:type="spellStart"/>
      <w:r w:rsidR="003217EB">
        <w:rPr>
          <w:rFonts w:asciiTheme="majorHAnsi" w:hAnsiTheme="majorHAnsi" w:cstheme="majorHAnsi"/>
        </w:rPr>
        <w:t>mGy</w:t>
      </w:r>
      <w:proofErr w:type="spellEnd"/>
      <w:r w:rsidR="003217EB">
        <w:rPr>
          <w:rFonts w:asciiTheme="majorHAnsi" w:hAnsiTheme="majorHAnsi" w:cstheme="majorHAnsi"/>
        </w:rPr>
        <w:t>/day between 100-7000 days</w:t>
      </w:r>
      <w:r>
        <w:rPr>
          <w:rFonts w:asciiTheme="majorHAnsi" w:hAnsiTheme="majorHAnsi" w:cstheme="majorHAnsi"/>
        </w:rPr>
        <w:t xml:space="preserve"> for the highest exposed order, the spleen, and 2 </w:t>
      </w:r>
      <w:proofErr w:type="spellStart"/>
      <w:r>
        <w:rPr>
          <w:rFonts w:asciiTheme="majorHAnsi" w:hAnsiTheme="majorHAnsi" w:cstheme="majorHAnsi"/>
        </w:rPr>
        <w:t>mGy</w:t>
      </w:r>
      <w:proofErr w:type="spellEnd"/>
      <w:r>
        <w:rPr>
          <w:rFonts w:asciiTheme="majorHAnsi" w:hAnsiTheme="majorHAnsi" w:cstheme="majorHAnsi"/>
        </w:rPr>
        <w:t xml:space="preserve"> for the liver at maximum</w:t>
      </w:r>
      <w:r w:rsidR="00042F11">
        <w:rPr>
          <w:rFonts w:asciiTheme="majorHAnsi" w:hAnsiTheme="majorHAnsi" w:cstheme="majorHAnsi"/>
        </w:rPr>
        <w:t xml:space="preserve"> (</w:t>
      </w:r>
      <w:r w:rsidR="00042F11">
        <w:rPr>
          <w:rFonts w:asciiTheme="majorHAnsi" w:hAnsiTheme="majorHAnsi" w:cstheme="majorHAnsi"/>
          <w:b/>
        </w:rPr>
        <w:t>Figure 5</w:t>
      </w:r>
      <w:r w:rsidR="00042F11">
        <w:rPr>
          <w:rFonts w:asciiTheme="majorHAnsi" w:hAnsiTheme="majorHAnsi" w:cstheme="majorHAnsi"/>
        </w:rPr>
        <w:t>)</w:t>
      </w:r>
      <w:r w:rsidR="003217EB">
        <w:rPr>
          <w:rFonts w:asciiTheme="majorHAnsi" w:hAnsiTheme="majorHAnsi" w:cstheme="majorHAnsi"/>
        </w:rPr>
        <w:t>.</w:t>
      </w:r>
      <w:r>
        <w:rPr>
          <w:rFonts w:asciiTheme="majorHAnsi" w:hAnsiTheme="majorHAnsi" w:cstheme="majorHAnsi"/>
        </w:rPr>
        <w:t xml:space="preserve"> This corresponds to </w:t>
      </w:r>
      <w:r w:rsidR="00042F11">
        <w:rPr>
          <w:rFonts w:asciiTheme="majorHAnsi" w:hAnsiTheme="majorHAnsi" w:cstheme="majorHAnsi"/>
        </w:rPr>
        <w:t xml:space="preserve">an approximate maximum peak of </w:t>
      </w:r>
      <w:r>
        <w:rPr>
          <w:rFonts w:asciiTheme="majorHAnsi" w:hAnsiTheme="majorHAnsi" w:cstheme="majorHAnsi"/>
        </w:rPr>
        <w:t xml:space="preserve">1.8 </w:t>
      </w:r>
      <w:proofErr w:type="spellStart"/>
      <w:r>
        <w:rPr>
          <w:rFonts w:asciiTheme="majorHAnsi" w:hAnsiTheme="majorHAnsi" w:cstheme="majorHAnsi"/>
        </w:rPr>
        <w:t>Gy</w:t>
      </w:r>
      <w:proofErr w:type="spellEnd"/>
      <w:r>
        <w:rPr>
          <w:rFonts w:asciiTheme="majorHAnsi" w:hAnsiTheme="majorHAnsi" w:cstheme="majorHAnsi"/>
        </w:rPr>
        <w:t xml:space="preserve">/year for the spleen, and 0.73 </w:t>
      </w:r>
      <w:proofErr w:type="spellStart"/>
      <w:r>
        <w:rPr>
          <w:rFonts w:asciiTheme="majorHAnsi" w:hAnsiTheme="majorHAnsi" w:cstheme="majorHAnsi"/>
        </w:rPr>
        <w:t>Gy</w:t>
      </w:r>
      <w:proofErr w:type="spellEnd"/>
      <w:r>
        <w:rPr>
          <w:rFonts w:asciiTheme="majorHAnsi" w:hAnsiTheme="majorHAnsi" w:cstheme="majorHAnsi"/>
        </w:rPr>
        <w:t xml:space="preserve">/year for the liver. </w:t>
      </w:r>
      <w:r w:rsidR="00DB6C0A">
        <w:rPr>
          <w:rFonts w:asciiTheme="majorHAnsi" w:hAnsiTheme="majorHAnsi" w:cstheme="majorHAnsi"/>
        </w:rPr>
        <w:t xml:space="preserve">Chronic radiation syndrome for humans requires an annual full-body dose of 0.7-1.0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per year, and cumulative dose greater than 2-3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for 2-3 years (</w:t>
      </w:r>
      <w:r w:rsidR="00DB6C0A" w:rsidRPr="00AF6DC9">
        <w:rPr>
          <w:rFonts w:asciiTheme="majorHAnsi" w:hAnsiTheme="majorHAnsi" w:cstheme="majorHAnsi"/>
          <w:b/>
          <w:highlight w:val="yellow"/>
        </w:rPr>
        <w:t xml:space="preserve">cite ICRP, </w:t>
      </w:r>
      <w:proofErr w:type="spellStart"/>
      <w:r w:rsidR="00DB6C0A" w:rsidRPr="00AF6DC9">
        <w:rPr>
          <w:highlight w:val="yellow"/>
        </w:rPr>
        <w:t>Barabanova</w:t>
      </w:r>
      <w:proofErr w:type="spellEnd"/>
      <w:r w:rsidR="00DB6C0A" w:rsidRPr="00AF6DC9">
        <w:rPr>
          <w:highlight w:val="yellow"/>
        </w:rPr>
        <w:t xml:space="preserve"> et al., 2007</w:t>
      </w:r>
      <w:r w:rsidR="00DB6C0A">
        <w:t xml:space="preserve"> - Chronic radiation </w:t>
      </w:r>
      <w:proofErr w:type="spellStart"/>
      <w:r w:rsidR="00DB6C0A">
        <w:t>sickeness</w:t>
      </w:r>
      <w:proofErr w:type="spellEnd"/>
      <w:r w:rsidR="00DB6C0A">
        <w:t xml:space="preserve"> 1479 due to uniform irradiation. Moscow</w:t>
      </w:r>
      <w:r w:rsidR="00DB6C0A">
        <w:rPr>
          <w:rFonts w:asciiTheme="majorHAnsi" w:hAnsiTheme="majorHAnsi" w:cstheme="majorHAnsi"/>
        </w:rPr>
        <w:t xml:space="preserve">). While these individual organ </w:t>
      </w:r>
      <w:r w:rsidR="00DB6C0A">
        <w:rPr>
          <w:rFonts w:asciiTheme="majorHAnsi" w:hAnsiTheme="majorHAnsi" w:cstheme="majorHAnsi"/>
        </w:rPr>
        <w:lastRenderedPageBreak/>
        <w:t xml:space="preserve">values are greater than this, </w:t>
      </w:r>
      <w:r w:rsidR="00042F11">
        <w:rPr>
          <w:rFonts w:asciiTheme="majorHAnsi" w:hAnsiTheme="majorHAnsi" w:cstheme="majorHAnsi"/>
        </w:rPr>
        <w:t xml:space="preserve">the spleen and liver organ radiation exposure equivalency is 0.05 (whole body is 1), which produces approximately 0.09 </w:t>
      </w:r>
      <w:proofErr w:type="spellStart"/>
      <w:r w:rsidR="00E26EAB">
        <w:rPr>
          <w:rFonts w:asciiTheme="majorHAnsi" w:hAnsiTheme="majorHAnsi" w:cstheme="majorHAnsi"/>
        </w:rPr>
        <w:t>Sv</w:t>
      </w:r>
      <w:proofErr w:type="spellEnd"/>
      <w:r w:rsidR="00042F11">
        <w:rPr>
          <w:rFonts w:asciiTheme="majorHAnsi" w:hAnsiTheme="majorHAnsi" w:cstheme="majorHAnsi"/>
        </w:rPr>
        <w:t xml:space="preserve">/year for the spleen and 0.037 </w:t>
      </w:r>
      <w:proofErr w:type="spellStart"/>
      <w:r w:rsidR="00E26EAB">
        <w:rPr>
          <w:rFonts w:asciiTheme="majorHAnsi" w:hAnsiTheme="majorHAnsi" w:cstheme="majorHAnsi"/>
        </w:rPr>
        <w:t>Sv</w:t>
      </w:r>
      <w:proofErr w:type="spellEnd"/>
      <w:r w:rsidR="00042F11">
        <w:rPr>
          <w:rFonts w:asciiTheme="majorHAnsi" w:hAnsiTheme="majorHAnsi" w:cstheme="majorHAnsi"/>
        </w:rPr>
        <w:t>/year for the liver.</w:t>
      </w:r>
      <w:r w:rsidR="00DB6C0A">
        <w:rPr>
          <w:rFonts w:asciiTheme="majorHAnsi" w:hAnsiTheme="majorHAnsi" w:cstheme="majorHAnsi"/>
        </w:rPr>
        <w:t xml:space="preserve"> </w:t>
      </w:r>
      <w:r w:rsidR="00CB6D0D">
        <w:rPr>
          <w:rFonts w:asciiTheme="majorHAnsi" w:hAnsiTheme="majorHAnsi" w:cstheme="majorHAnsi"/>
        </w:rPr>
        <w:t>Considering this as the worst case scenario and that the dose is highly confined to these spaces, the side effects are more likely to be on the safe end with less chance of leu</w:t>
      </w:r>
      <w:r w:rsidR="00E26EAB">
        <w:rPr>
          <w:rFonts w:asciiTheme="majorHAnsi" w:hAnsiTheme="majorHAnsi" w:cstheme="majorHAnsi"/>
        </w:rPr>
        <w:t>k</w:t>
      </w:r>
      <w:r w:rsidR="00CB6D0D">
        <w:rPr>
          <w:rFonts w:asciiTheme="majorHAnsi" w:hAnsiTheme="majorHAnsi" w:cstheme="majorHAnsi"/>
        </w:rPr>
        <w:t xml:space="preserve">openia or </w:t>
      </w:r>
      <w:r w:rsidR="00E26EAB">
        <w:rPr>
          <w:rFonts w:asciiTheme="majorHAnsi" w:hAnsiTheme="majorHAnsi" w:cstheme="majorHAnsi"/>
        </w:rPr>
        <w:t xml:space="preserve">other immune suppression common with bone marrow exposure (cite  - </w:t>
      </w:r>
      <w:proofErr w:type="spellStart"/>
      <w:r w:rsidR="00E26EAB">
        <w:t>Guskova</w:t>
      </w:r>
      <w:proofErr w:type="spellEnd"/>
      <w:r w:rsidR="00E26EAB">
        <w:t xml:space="preserve"> and </w:t>
      </w:r>
      <w:proofErr w:type="spellStart"/>
      <w:r w:rsidR="00E26EAB">
        <w:t>Baysogolov</w:t>
      </w:r>
      <w:proofErr w:type="spellEnd"/>
      <w:r w:rsidR="00E26EAB">
        <w:t>, 1971 – Radiation sickness classification</w:t>
      </w:r>
      <w:r w:rsidR="00E26EAB">
        <w:rPr>
          <w:rFonts w:asciiTheme="majorHAnsi" w:hAnsiTheme="majorHAnsi" w:cstheme="majorHAnsi"/>
        </w:rPr>
        <w:t>)</w:t>
      </w:r>
      <w:r w:rsidR="00CB6D0D">
        <w:rPr>
          <w:rFonts w:asciiTheme="majorHAnsi" w:hAnsiTheme="majorHAnsi" w:cstheme="majorHAnsi"/>
        </w:rPr>
        <w:t>.</w:t>
      </w:r>
    </w:p>
    <w:p w:rsidR="009651F3" w:rsidRDefault="009651F3" w:rsidP="00504374">
      <w:pPr>
        <w:spacing w:line="480" w:lineRule="auto"/>
        <w:jc w:val="both"/>
        <w:rPr>
          <w:rFonts w:asciiTheme="majorHAnsi" w:hAnsiTheme="majorHAnsi" w:cstheme="majorHAnsi"/>
        </w:rPr>
      </w:pPr>
    </w:p>
    <w:p w:rsidR="000867BD" w:rsidRDefault="000867BD" w:rsidP="00504374">
      <w:pPr>
        <w:spacing w:line="480" w:lineRule="auto"/>
        <w:jc w:val="both"/>
        <w:rPr>
          <w:rFonts w:asciiTheme="majorHAnsi" w:hAnsiTheme="majorHAnsi" w:cstheme="majorHAnsi"/>
        </w:rPr>
      </w:pPr>
    </w:p>
    <w:p w:rsidR="00F32DFA" w:rsidRDefault="00B51AEF" w:rsidP="00504374">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F32DFA" w:rsidRDefault="00F32DFA" w:rsidP="00504374">
      <w:pPr>
        <w:spacing w:line="480" w:lineRule="auto"/>
        <w:jc w:val="both"/>
        <w:rPr>
          <w:rFonts w:asciiTheme="majorHAnsi" w:hAnsiTheme="majorHAnsi" w:cstheme="majorHAnsi"/>
        </w:rPr>
      </w:pPr>
    </w:p>
    <w:p w:rsidR="00F32DFA" w:rsidRDefault="00F32DFA" w:rsidP="00504374">
      <w:pPr>
        <w:spacing w:line="480" w:lineRule="auto"/>
        <w:jc w:val="both"/>
        <w:rPr>
          <w:rFonts w:asciiTheme="majorHAnsi" w:hAnsiTheme="majorHAnsi" w:cstheme="majorHAnsi"/>
        </w:rPr>
      </w:pPr>
      <w:r>
        <w:rPr>
          <w:rFonts w:asciiTheme="majorHAnsi" w:hAnsiTheme="majorHAnsi" w:cstheme="majorHAnsi"/>
        </w:rPr>
        <w:t>dose</w:t>
      </w:r>
    </w:p>
    <w:p w:rsidR="00F32DFA" w:rsidRPr="005720C6" w:rsidRDefault="00F32DFA" w:rsidP="00504374">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sidR="005A7BA4">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DC30DE" w:rsidRDefault="00DC30DE" w:rsidP="00504374">
      <w:pPr>
        <w:spacing w:line="480" w:lineRule="auto"/>
        <w:jc w:val="both"/>
        <w:rPr>
          <w:rFonts w:asciiTheme="majorHAnsi" w:hAnsiTheme="majorHAnsi" w:cstheme="majorHAnsi"/>
        </w:rPr>
      </w:pPr>
    </w:p>
    <w:p w:rsidR="00DC30DE" w:rsidRDefault="00DC30DE" w:rsidP="00504374">
      <w:pPr>
        <w:spacing w:line="480" w:lineRule="auto"/>
        <w:jc w:val="both"/>
        <w:rPr>
          <w:rFonts w:asciiTheme="majorHAnsi" w:hAnsiTheme="majorHAnsi" w:cstheme="majorHAnsi"/>
        </w:rPr>
      </w:pPr>
    </w:p>
    <w:p w:rsidR="00DC30DE" w:rsidRPr="005720C6" w:rsidRDefault="00DC30DE" w:rsidP="00504374">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w:t>
      </w:r>
      <w:proofErr w:type="spellStart"/>
      <w:r w:rsidRPr="005720C6">
        <w:rPr>
          <w:rFonts w:asciiTheme="majorHAnsi" w:hAnsiTheme="majorHAnsi" w:cstheme="majorHAnsi"/>
        </w:rPr>
        <w:t>Tras</w:t>
      </w:r>
      <w:proofErr w:type="spellEnd"/>
      <w:r w:rsidRPr="005720C6">
        <w:rPr>
          <w:rFonts w:asciiTheme="majorHAnsi" w:hAnsiTheme="majorHAnsi" w:cstheme="majorHAnsi"/>
        </w:rPr>
        <w:t xml:space="preserve">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 xml:space="preserve">r the </w:t>
      </w:r>
      <w:r>
        <w:rPr>
          <w:rFonts w:asciiTheme="majorHAnsi" w:hAnsiTheme="majorHAnsi" w:cstheme="majorHAnsi"/>
        </w:rPr>
        <w:lastRenderedPageBreak/>
        <w:t>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DE5901" w:rsidRDefault="00DE5901" w:rsidP="00504374">
      <w:pPr>
        <w:spacing w:line="480" w:lineRule="auto"/>
        <w:jc w:val="both"/>
        <w:rPr>
          <w:rFonts w:asciiTheme="majorHAnsi" w:hAnsiTheme="majorHAnsi" w:cstheme="majorHAnsi"/>
        </w:rPr>
      </w:pPr>
    </w:p>
    <w:p w:rsidR="003F08F5" w:rsidRDefault="003F08F5" w:rsidP="00504374">
      <w:pPr>
        <w:spacing w:line="480" w:lineRule="auto"/>
        <w:jc w:val="both"/>
        <w:rPr>
          <w:rFonts w:asciiTheme="majorHAnsi" w:hAnsiTheme="majorHAnsi" w:cstheme="majorHAnsi"/>
        </w:rPr>
      </w:pPr>
      <w:r>
        <w:rPr>
          <w:rFonts w:asciiTheme="majorHAnsi" w:hAnsiTheme="majorHAnsi" w:cstheme="majorHAnsi"/>
        </w:rPr>
        <w:t xml:space="preserve">As can be seen in LR for all three tested constructs, </w:t>
      </w:r>
      <w:r w:rsidR="008F235B">
        <w:rPr>
          <w:rFonts w:asciiTheme="majorHAnsi" w:hAnsiTheme="majorHAnsi" w:cstheme="majorHAnsi"/>
        </w:rPr>
        <w:t xml:space="preserve">while </w:t>
      </w:r>
      <w:r>
        <w:rPr>
          <w:rFonts w:asciiTheme="majorHAnsi" w:hAnsiTheme="majorHAnsi" w:cstheme="majorHAnsi"/>
        </w:rPr>
        <w:t xml:space="preserve">LR </w:t>
      </w:r>
      <w:r w:rsidR="008F235B">
        <w:rPr>
          <w:rFonts w:asciiTheme="majorHAnsi" w:hAnsiTheme="majorHAnsi" w:cstheme="majorHAnsi"/>
        </w:rPr>
        <w:t xml:space="preserve">is calculated via %RD/g ratios, LR is not directly dependent upon the absolute %RD/g between constructs. For instance, while DOTA-Ac shows much lower activity than </w:t>
      </w:r>
      <w:proofErr w:type="spellStart"/>
      <w:r w:rsidR="008F235B">
        <w:rPr>
          <w:rFonts w:asciiTheme="majorHAnsi" w:hAnsiTheme="majorHAnsi" w:cstheme="majorHAnsi"/>
        </w:rPr>
        <w:t>Trastuzumab</w:t>
      </w:r>
      <w:proofErr w:type="spellEnd"/>
      <w:r w:rsidR="008F235B">
        <w:rPr>
          <w:rFonts w:asciiTheme="majorHAnsi" w:hAnsiTheme="majorHAnsi" w:cstheme="majorHAnsi"/>
        </w:rPr>
        <w:t>-DOTA-Ac and</w:t>
      </w:r>
      <w:r w:rsidR="006043F9">
        <w:rPr>
          <w:rFonts w:asciiTheme="majorHAnsi" w:hAnsiTheme="majorHAnsi" w:cstheme="majorHAnsi"/>
        </w:rPr>
        <w:t xml:space="preserve"> the</w:t>
      </w:r>
      <w:r w:rsidR="008F235B">
        <w:rPr>
          <w:rFonts w:asciiTheme="majorHAnsi" w:hAnsiTheme="majorHAnsi" w:cstheme="majorHAnsi"/>
        </w:rPr>
        <w:t xml:space="preserve"> </w:t>
      </w:r>
      <w:r w:rsidR="006043F9">
        <w:rPr>
          <w:rFonts w:asciiTheme="majorHAnsi" w:hAnsiTheme="majorHAnsi" w:cstheme="majorHAnsi"/>
        </w:rPr>
        <w:t xml:space="preserve">DOTA-Ac </w:t>
      </w:r>
      <w:r w:rsidR="008F235B">
        <w:rPr>
          <w:rFonts w:asciiTheme="majorHAnsi" w:hAnsiTheme="majorHAnsi" w:cstheme="majorHAnsi"/>
        </w:rPr>
        <w:t xml:space="preserve">LR </w:t>
      </w:r>
      <w:r w:rsidR="006043F9">
        <w:rPr>
          <w:rFonts w:asciiTheme="majorHAnsi" w:hAnsiTheme="majorHAnsi" w:cstheme="majorHAnsi"/>
        </w:rPr>
        <w:t xml:space="preserve">is </w:t>
      </w:r>
      <w:r w:rsidR="008F235B">
        <w:rPr>
          <w:rFonts w:asciiTheme="majorHAnsi" w:hAnsiTheme="majorHAnsi" w:cstheme="majorHAnsi"/>
        </w:rPr>
        <w:t>below 1</w:t>
      </w:r>
      <w:r w:rsidR="006043F9">
        <w:rPr>
          <w:rFonts w:asciiTheme="majorHAnsi" w:hAnsiTheme="majorHAnsi" w:cstheme="majorHAnsi"/>
        </w:rPr>
        <w:t xml:space="preserve"> and </w:t>
      </w:r>
      <w:proofErr w:type="spellStart"/>
      <w:r w:rsidR="006043F9">
        <w:rPr>
          <w:rFonts w:asciiTheme="majorHAnsi" w:hAnsiTheme="majorHAnsi" w:cstheme="majorHAnsi"/>
        </w:rPr>
        <w:t>Trastuzumab</w:t>
      </w:r>
      <w:proofErr w:type="spellEnd"/>
      <w:r w:rsidR="006043F9">
        <w:rPr>
          <w:rFonts w:asciiTheme="majorHAnsi" w:hAnsiTheme="majorHAnsi" w:cstheme="majorHAnsi"/>
        </w:rPr>
        <w:t xml:space="preserve">-DOTA-Ac at or greater than 1, the HOPO-Ac control has several tissues with sub-10 %RD/g that are greater than 1 (blood, heart, lungs). Therefore, it is a factor other than activity counting conditions that is creating isotopic localization. </w:t>
      </w:r>
      <w:r w:rsidR="000668AB">
        <w:rPr>
          <w:rFonts w:asciiTheme="majorHAnsi" w:hAnsiTheme="majorHAnsi" w:cstheme="majorHAnsi"/>
        </w:rPr>
        <w:t xml:space="preserve">The trend these LR data do seem to follow is the rate of excretion from the animal. DOTA-Ac is the quickest to clear, HOPO-Ac the second quickest, and </w:t>
      </w:r>
      <w:proofErr w:type="spellStart"/>
      <w:r w:rsidR="000668AB">
        <w:rPr>
          <w:rFonts w:asciiTheme="majorHAnsi" w:hAnsiTheme="majorHAnsi" w:cstheme="majorHAnsi"/>
        </w:rPr>
        <w:t>Trastuzumab</w:t>
      </w:r>
      <w:proofErr w:type="spellEnd"/>
      <w:r w:rsidR="000668AB">
        <w:rPr>
          <w:rFonts w:asciiTheme="majorHAnsi" w:hAnsiTheme="majorHAnsi" w:cstheme="majorHAnsi"/>
        </w:rPr>
        <w:t>-DOTA-Ac is the slowest.</w:t>
      </w:r>
      <w:r w:rsidR="00E965F7">
        <w:rPr>
          <w:rFonts w:asciiTheme="majorHAnsi" w:hAnsiTheme="majorHAnsi" w:cstheme="majorHAnsi"/>
        </w:rPr>
        <w:t xml:space="preserve"> Since %RD/G is not based on the initial injected amount, but the amount recovered in total at the final time point, this is not simply due to rapid decay of Ac-225 vs Ac-227. One possibility may be</w:t>
      </w:r>
      <w:r w:rsidR="00543223">
        <w:rPr>
          <w:rFonts w:asciiTheme="majorHAnsi" w:hAnsiTheme="majorHAnsi" w:cstheme="majorHAnsi"/>
        </w:rPr>
        <w:t xml:space="preserve"> differences due to</w:t>
      </w:r>
      <w:r w:rsidR="00DE5901">
        <w:rPr>
          <w:rFonts w:asciiTheme="majorHAnsi" w:hAnsiTheme="majorHAnsi" w:cstheme="majorHAnsi"/>
        </w:rPr>
        <w:t xml:space="preserve"> ligand-metal</w:t>
      </w:r>
      <w:r w:rsidR="00543223">
        <w:rPr>
          <w:rFonts w:asciiTheme="majorHAnsi" w:hAnsiTheme="majorHAnsi" w:cstheme="majorHAnsi"/>
        </w:rPr>
        <w:t xml:space="preserve"> recoil effects, for </w:t>
      </w:r>
      <w:r w:rsidR="007C435E">
        <w:rPr>
          <w:rFonts w:asciiTheme="majorHAnsi" w:hAnsiTheme="majorHAnsi" w:cstheme="majorHAnsi"/>
        </w:rPr>
        <w:t xml:space="preserve">Ac-227 </w:t>
      </w:r>
      <w:r w:rsidR="00543223">
        <w:rPr>
          <w:rFonts w:asciiTheme="majorHAnsi" w:hAnsiTheme="majorHAnsi" w:cstheme="majorHAnsi"/>
        </w:rPr>
        <w:t xml:space="preserve">should have greater 1st decay stability </w:t>
      </w:r>
      <w:r w:rsidR="007C435E">
        <w:rPr>
          <w:rFonts w:asciiTheme="majorHAnsi" w:hAnsiTheme="majorHAnsi" w:cstheme="majorHAnsi"/>
        </w:rPr>
        <w:t xml:space="preserve">vs Ac-225. </w:t>
      </w:r>
      <w:r w:rsidR="00DE5901">
        <w:rPr>
          <w:rFonts w:asciiTheme="majorHAnsi" w:hAnsiTheme="majorHAnsi" w:cstheme="majorHAnsi"/>
        </w:rPr>
        <w:t>T</w:t>
      </w:r>
      <w:r w:rsidR="007C435E">
        <w:rPr>
          <w:rFonts w:asciiTheme="majorHAnsi" w:hAnsiTheme="majorHAnsi" w:cstheme="majorHAnsi"/>
        </w:rPr>
        <w:t>he initial decay of Ac-227 to Th-227</w:t>
      </w:r>
      <w:r w:rsidR="00E965F7">
        <w:rPr>
          <w:rFonts w:asciiTheme="majorHAnsi" w:hAnsiTheme="majorHAnsi" w:cstheme="majorHAnsi"/>
        </w:rPr>
        <w:t xml:space="preserve"> is</w:t>
      </w:r>
      <w:r w:rsidR="007C435E">
        <w:rPr>
          <w:rFonts w:asciiTheme="majorHAnsi" w:hAnsiTheme="majorHAnsi" w:cstheme="majorHAnsi"/>
        </w:rPr>
        <w:t xml:space="preserve"> a beta</w:t>
      </w:r>
      <w:r w:rsidR="00543223">
        <w:rPr>
          <w:rFonts w:asciiTheme="majorHAnsi" w:hAnsiTheme="majorHAnsi" w:cstheme="majorHAnsi"/>
        </w:rPr>
        <w:t xml:space="preserve"> (44.8 </w:t>
      </w:r>
      <w:proofErr w:type="spellStart"/>
      <w:r w:rsidR="00543223">
        <w:rPr>
          <w:rFonts w:asciiTheme="majorHAnsi" w:hAnsiTheme="majorHAnsi" w:cstheme="majorHAnsi"/>
        </w:rPr>
        <w:t>keV</w:t>
      </w:r>
      <w:proofErr w:type="spellEnd"/>
      <w:r w:rsidR="00543223">
        <w:rPr>
          <w:rFonts w:asciiTheme="majorHAnsi" w:hAnsiTheme="majorHAnsi" w:cstheme="majorHAnsi"/>
        </w:rPr>
        <w:t>)</w:t>
      </w:r>
      <w:r w:rsidR="007C435E">
        <w:rPr>
          <w:rFonts w:asciiTheme="majorHAnsi" w:hAnsiTheme="majorHAnsi" w:cstheme="majorHAnsi"/>
        </w:rPr>
        <w:t xml:space="preserve"> and much</w:t>
      </w:r>
      <w:r w:rsidR="00E965F7">
        <w:rPr>
          <w:rFonts w:asciiTheme="majorHAnsi" w:hAnsiTheme="majorHAnsi" w:cstheme="majorHAnsi"/>
        </w:rPr>
        <w:t xml:space="preserve"> less energetic</w:t>
      </w:r>
      <w:r w:rsidR="007C435E">
        <w:rPr>
          <w:rFonts w:asciiTheme="majorHAnsi" w:hAnsiTheme="majorHAnsi" w:cstheme="majorHAnsi"/>
        </w:rPr>
        <w:t xml:space="preserve"> than the Ac-225 to Fr-221 alpha decay</w:t>
      </w:r>
      <w:r w:rsidR="00543223">
        <w:rPr>
          <w:rFonts w:asciiTheme="majorHAnsi" w:hAnsiTheme="majorHAnsi" w:cstheme="majorHAnsi"/>
        </w:rPr>
        <w:t xml:space="preserve"> (5.94 MeV)</w:t>
      </w:r>
      <w:r w:rsidR="007C435E">
        <w:rPr>
          <w:rFonts w:asciiTheme="majorHAnsi" w:hAnsiTheme="majorHAnsi" w:cstheme="majorHAnsi"/>
        </w:rPr>
        <w:t xml:space="preserve">, </w:t>
      </w:r>
      <w:r w:rsidR="00DE5901">
        <w:rPr>
          <w:rFonts w:asciiTheme="majorHAnsi" w:hAnsiTheme="majorHAnsi" w:cstheme="majorHAnsi"/>
        </w:rPr>
        <w:t xml:space="preserve">thus </w:t>
      </w:r>
      <w:r w:rsidR="007C435E">
        <w:rPr>
          <w:rFonts w:asciiTheme="majorHAnsi" w:hAnsiTheme="majorHAnsi" w:cstheme="majorHAnsi"/>
        </w:rPr>
        <w:t>Th</w:t>
      </w:r>
      <w:r w:rsidR="00504374">
        <w:rPr>
          <w:rFonts w:asciiTheme="majorHAnsi" w:hAnsiTheme="majorHAnsi" w:cstheme="majorHAnsi"/>
        </w:rPr>
        <w:t>-227</w:t>
      </w:r>
      <w:r w:rsidR="00543223">
        <w:rPr>
          <w:rFonts w:asciiTheme="majorHAnsi" w:hAnsiTheme="majorHAnsi" w:cstheme="majorHAnsi"/>
        </w:rPr>
        <w:t xml:space="preserve"> (half-life = 18.7 days) construct</w:t>
      </w:r>
      <w:r w:rsidR="00504374">
        <w:rPr>
          <w:rFonts w:asciiTheme="majorHAnsi" w:hAnsiTheme="majorHAnsi" w:cstheme="majorHAnsi"/>
        </w:rPr>
        <w:t xml:space="preserve"> </w:t>
      </w:r>
      <w:r w:rsidR="00543223">
        <w:rPr>
          <w:rFonts w:asciiTheme="majorHAnsi" w:hAnsiTheme="majorHAnsi" w:cstheme="majorHAnsi"/>
        </w:rPr>
        <w:t>may</w:t>
      </w:r>
      <w:r w:rsidR="00504374">
        <w:rPr>
          <w:rFonts w:asciiTheme="majorHAnsi" w:hAnsiTheme="majorHAnsi" w:cstheme="majorHAnsi"/>
        </w:rPr>
        <w:t xml:space="preserve"> persist longer in solution relative to </w:t>
      </w:r>
      <w:r w:rsidR="00543223">
        <w:rPr>
          <w:rFonts w:asciiTheme="majorHAnsi" w:hAnsiTheme="majorHAnsi" w:cstheme="majorHAnsi"/>
        </w:rPr>
        <w:t xml:space="preserve">Fr-221 (half-life = 4.8 minutes) which may destroy </w:t>
      </w:r>
      <w:r w:rsidR="000E016E">
        <w:rPr>
          <w:rFonts w:asciiTheme="majorHAnsi" w:hAnsiTheme="majorHAnsi" w:cstheme="majorHAnsi"/>
        </w:rPr>
        <w:t xml:space="preserve">or escape </w:t>
      </w:r>
      <w:r w:rsidR="00543223">
        <w:rPr>
          <w:rFonts w:asciiTheme="majorHAnsi" w:hAnsiTheme="majorHAnsi" w:cstheme="majorHAnsi"/>
        </w:rPr>
        <w:t>the ligand</w:t>
      </w:r>
      <w:r w:rsidR="000E016E">
        <w:rPr>
          <w:rFonts w:asciiTheme="majorHAnsi" w:hAnsiTheme="majorHAnsi" w:cstheme="majorHAnsi"/>
        </w:rPr>
        <w:t xml:space="preserve"> </w:t>
      </w:r>
      <w:r w:rsidR="000E016E">
        <w:rPr>
          <w:rFonts w:asciiTheme="majorHAnsi" w:hAnsiTheme="majorHAnsi" w:cstheme="majorHAnsi"/>
        </w:rPr>
        <w:t>(</w:t>
      </w:r>
      <w:r w:rsidR="000E016E" w:rsidRPr="00687C85">
        <w:rPr>
          <w:rFonts w:asciiTheme="majorHAnsi" w:hAnsiTheme="majorHAnsi" w:cstheme="majorHAnsi"/>
          <w:highlight w:val="yellow"/>
        </w:rPr>
        <w:t>CITE recoil effects of Ac-225</w:t>
      </w:r>
      <w:r w:rsidR="000E016E">
        <w:rPr>
          <w:rFonts w:asciiTheme="majorHAnsi" w:hAnsiTheme="majorHAnsi" w:cstheme="majorHAnsi"/>
        </w:rPr>
        <w:t>)</w:t>
      </w:r>
      <w:r w:rsidR="00687C85">
        <w:rPr>
          <w:rFonts w:asciiTheme="majorHAnsi" w:hAnsiTheme="majorHAnsi" w:cstheme="majorHAnsi"/>
        </w:rPr>
        <w:t>.</w:t>
      </w:r>
      <w:r w:rsidR="00CC6756">
        <w:rPr>
          <w:rFonts w:asciiTheme="majorHAnsi" w:hAnsiTheme="majorHAnsi" w:cstheme="majorHAnsi"/>
        </w:rPr>
        <w:t xml:space="preserve"> </w:t>
      </w:r>
      <w:r w:rsidR="003F2504">
        <w:rPr>
          <w:rFonts w:asciiTheme="majorHAnsi" w:hAnsiTheme="majorHAnsi" w:cstheme="majorHAnsi"/>
        </w:rPr>
        <w:t xml:space="preserve">Modeling the fraction of activity produced from decays prior to the first alpha decay in each Ac-225 and Ac-227 decay chains produces </w:t>
      </w:r>
      <w:r w:rsidR="003F2504">
        <w:rPr>
          <w:rFonts w:asciiTheme="majorHAnsi" w:hAnsiTheme="majorHAnsi" w:cstheme="majorHAnsi"/>
          <w:b/>
        </w:rPr>
        <w:t>Figure S</w:t>
      </w:r>
      <w:r w:rsidR="00CD587F">
        <w:rPr>
          <w:rFonts w:asciiTheme="majorHAnsi" w:hAnsiTheme="majorHAnsi" w:cstheme="majorHAnsi"/>
          <w:b/>
        </w:rPr>
        <w:t>8</w:t>
      </w:r>
      <w:bookmarkStart w:id="0" w:name="_GoBack"/>
      <w:bookmarkEnd w:id="0"/>
      <w:r w:rsidR="003F2504" w:rsidRPr="003F2504">
        <w:rPr>
          <w:rFonts w:asciiTheme="majorHAnsi" w:hAnsiTheme="majorHAnsi" w:cstheme="majorHAnsi"/>
        </w:rPr>
        <w:t>.</w:t>
      </w:r>
      <w:r w:rsidR="003F2504">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biodistribution maximum time points of 6 to 10 days. If isotope localization is due to this</w:t>
      </w:r>
      <w:r w:rsidR="00CC6756">
        <w:rPr>
          <w:rFonts w:asciiTheme="majorHAnsi" w:hAnsiTheme="majorHAnsi" w:cstheme="majorHAnsi"/>
        </w:rPr>
        <w:t>, changes in LR may be due to free metal scavenging</w:t>
      </w:r>
      <w:r w:rsidR="00DE5901">
        <w:rPr>
          <w:rFonts w:asciiTheme="majorHAnsi" w:hAnsiTheme="majorHAnsi" w:cstheme="majorHAnsi"/>
        </w:rPr>
        <w:t xml:space="preserve"> post-recoil (</w:t>
      </w:r>
      <w:r w:rsidR="00DE5901" w:rsidRPr="00DE5901">
        <w:rPr>
          <w:rFonts w:asciiTheme="majorHAnsi" w:hAnsiTheme="majorHAnsi" w:cstheme="majorHAnsi"/>
          <w:highlight w:val="yellow"/>
        </w:rPr>
        <w:t>cite isotopic localization changes</w:t>
      </w:r>
      <w:r w:rsidR="00DE5901">
        <w:rPr>
          <w:rFonts w:asciiTheme="majorHAnsi" w:hAnsiTheme="majorHAnsi" w:cstheme="majorHAnsi"/>
        </w:rPr>
        <w:t>)</w:t>
      </w:r>
      <w:r w:rsidR="00CC6756">
        <w:rPr>
          <w:rFonts w:asciiTheme="majorHAnsi" w:hAnsiTheme="majorHAnsi" w:cstheme="majorHAnsi"/>
        </w:rPr>
        <w:t>. This could be tested through further experimentation in mice with variations of actinium</w:t>
      </w:r>
      <w:r w:rsidR="00DE5901">
        <w:rPr>
          <w:rFonts w:asciiTheme="majorHAnsi" w:hAnsiTheme="majorHAnsi" w:cstheme="majorHAnsi"/>
        </w:rPr>
        <w:t xml:space="preserve"> isotopes</w:t>
      </w:r>
      <w:r w:rsidR="00CC6756">
        <w:rPr>
          <w:rFonts w:asciiTheme="majorHAnsi" w:hAnsiTheme="majorHAnsi" w:cstheme="majorHAnsi"/>
        </w:rPr>
        <w:t xml:space="preserve"> dose in weak ligand carrier solutions</w:t>
      </w:r>
      <w:r w:rsidR="00DE5901">
        <w:rPr>
          <w:rFonts w:asciiTheme="majorHAnsi" w:hAnsiTheme="majorHAnsi" w:cstheme="majorHAnsi"/>
        </w:rPr>
        <w:t xml:space="preserve"> to promote biomolecular scavenging</w:t>
      </w:r>
      <w:r w:rsidR="00CC6756">
        <w:rPr>
          <w:rFonts w:asciiTheme="majorHAnsi" w:hAnsiTheme="majorHAnsi" w:cstheme="majorHAnsi"/>
        </w:rPr>
        <w:t>.</w:t>
      </w:r>
      <w:r w:rsidR="00C66364">
        <w:rPr>
          <w:rFonts w:asciiTheme="majorHAnsi" w:hAnsiTheme="majorHAnsi" w:cstheme="majorHAnsi"/>
        </w:rPr>
        <w:t xml:space="preserve"> </w:t>
      </w:r>
    </w:p>
    <w:p w:rsidR="003F08F5" w:rsidRDefault="003F08F5" w:rsidP="00504374">
      <w:pPr>
        <w:spacing w:line="480" w:lineRule="auto"/>
        <w:jc w:val="both"/>
        <w:rPr>
          <w:rFonts w:asciiTheme="majorHAnsi" w:hAnsiTheme="majorHAnsi" w:cstheme="majorHAnsi"/>
        </w:rPr>
      </w:pPr>
    </w:p>
    <w:p w:rsidR="003F08F5" w:rsidRDefault="003F08F5" w:rsidP="00504374">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C91C83" w:rsidRPr="00C91C83" w:rsidRDefault="004B0392" w:rsidP="00504374">
      <w:pPr>
        <w:widowControl w:val="0"/>
        <w:autoSpaceDE w:val="0"/>
        <w:autoSpaceDN w:val="0"/>
        <w:adjustRightInd w:val="0"/>
        <w:spacing w:line="480" w:lineRule="auto"/>
        <w:jc w:val="both"/>
        <w:rPr>
          <w:rFonts w:ascii="Calibri Light" w:hAnsi="Calibri Light" w:cs="Calibri Light"/>
          <w:noProof/>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C91C83" w:rsidRPr="00C91C83">
        <w:rPr>
          <w:rFonts w:ascii="Calibri Light" w:hAnsi="Calibri Light" w:cs="Calibri Light"/>
          <w:noProof/>
          <w:szCs w:val="24"/>
        </w:rPr>
        <w:t>Use the "Insert Citation" button to add citations to this document.</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883B0B" w:rsidP="00504374">
      <w:pPr>
        <w:spacing w:line="480" w:lineRule="auto"/>
        <w:jc w:val="both"/>
        <w:rPr>
          <w:rFonts w:asciiTheme="majorHAnsi" w:hAnsiTheme="majorHAnsi" w:cstheme="majorHAnsi"/>
        </w:rPr>
      </w:pPr>
      <w:r>
        <w:rPr>
          <w:rFonts w:asciiTheme="majorHAnsi" w:hAnsiTheme="majorHAnsi"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98pt">
            <v:imagedata r:id="rId9" o:title="Ac-225_Decay_Chain"/>
          </v:shape>
        </w:pict>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w:t>
      </w:r>
      <w:proofErr w:type="gramStart"/>
      <w:r w:rsidR="00841B05">
        <w:rPr>
          <w:rFonts w:asciiTheme="majorHAnsi" w:hAnsiTheme="majorHAnsi" w:cstheme="majorHAnsi"/>
        </w:rPr>
        <w:t>Species</w:t>
      </w:r>
      <w:r w:rsidR="002F6861">
        <w:rPr>
          <w:rFonts w:asciiTheme="majorHAnsi" w:hAnsiTheme="majorHAnsi" w:cstheme="majorHAnsi"/>
        </w:rPr>
        <w:t>(</w:t>
      </w:r>
      <w:proofErr w:type="gramEnd"/>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883B0B" w:rsidP="00504374">
      <w:pPr>
        <w:jc w:val="both"/>
        <w:rPr>
          <w:rFonts w:asciiTheme="majorHAnsi" w:hAnsiTheme="majorHAnsi" w:cstheme="majorHAnsi"/>
        </w:rPr>
      </w:pPr>
      <w:r>
        <w:rPr>
          <w:rFonts w:asciiTheme="majorHAnsi" w:hAnsiTheme="majorHAnsi" w:cstheme="majorHAnsi"/>
          <w:noProof/>
        </w:rPr>
        <w:lastRenderedPageBreak/>
        <w:pict>
          <v:shape id="_x0000_i1026" type="#_x0000_t75" style="width:468pt;height:195.75pt">
            <v:imagedata r:id="rId12" o:title="RDperGeqnew"/>
          </v:shape>
        </w:pict>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883B0B" w:rsidP="00504374">
      <w:pPr>
        <w:spacing w:line="480" w:lineRule="auto"/>
        <w:jc w:val="both"/>
        <w:rPr>
          <w:rFonts w:asciiTheme="majorHAnsi" w:hAnsiTheme="majorHAnsi" w:cstheme="majorHAnsi"/>
          <w:b/>
        </w:rPr>
      </w:pPr>
      <w:r>
        <w:rPr>
          <w:rFonts w:asciiTheme="majorHAnsi" w:hAnsiTheme="majorHAnsi" w:cstheme="majorHAnsi"/>
          <w:b/>
        </w:rPr>
        <w:lastRenderedPageBreak/>
        <w:pict>
          <v:shape id="_x0000_i1027" type="#_x0000_t75" style="width:467.25pt;height:133.5pt">
            <v:imagedata r:id="rId13" o:title="localizationRatioNew"/>
          </v:shape>
        </w:pict>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proofErr w:type="gramStart"/>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roofErr w:type="gramEnd"/>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883B0B" w:rsidP="00504374">
      <w:pPr>
        <w:jc w:val="both"/>
        <w:rPr>
          <w:rFonts w:asciiTheme="majorHAnsi" w:hAnsiTheme="majorHAnsi" w:cstheme="majorHAnsi"/>
        </w:rPr>
      </w:pPr>
      <w:r>
        <w:rPr>
          <w:rFonts w:asciiTheme="majorHAnsi" w:hAnsiTheme="majorHAnsi" w:cstheme="majorHAnsi"/>
          <w:noProof/>
        </w:rPr>
        <w:lastRenderedPageBreak/>
        <w:pict>
          <v:shape id="_x0000_i1028" type="#_x0000_t75" style="width:467.25pt;height:425.25pt">
            <v:imagedata r:id="rId14" o:title="dose1Letters"/>
          </v:shape>
        </w:pict>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883B0B" w:rsidP="00504374">
      <w:pPr>
        <w:spacing w:line="480" w:lineRule="auto"/>
        <w:jc w:val="both"/>
        <w:rPr>
          <w:rFonts w:asciiTheme="majorHAnsi" w:hAnsiTheme="majorHAnsi" w:cstheme="majorHAnsi"/>
        </w:rPr>
      </w:pPr>
      <w:r>
        <w:rPr>
          <w:rFonts w:asciiTheme="majorHAnsi" w:hAnsiTheme="majorHAnsi" w:cstheme="majorHAnsi"/>
        </w:rPr>
        <w:lastRenderedPageBreak/>
        <w:pict>
          <v:shape id="_x0000_i1029" type="#_x0000_t75" style="width:468pt;height:435.75pt">
            <v:imagedata r:id="rId15" o:title="dose2Letters"/>
          </v:shape>
        </w:pict>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883B0B" w:rsidP="00504374">
      <w:pPr>
        <w:jc w:val="both"/>
        <w:rPr>
          <w:rFonts w:asciiTheme="majorHAnsi" w:hAnsiTheme="majorHAnsi" w:cstheme="majorHAnsi"/>
          <w:b/>
          <w:sz w:val="24"/>
        </w:rPr>
      </w:pPr>
      <w:r>
        <w:rPr>
          <w:rFonts w:asciiTheme="majorHAnsi" w:hAnsiTheme="majorHAnsi" w:cstheme="majorHAnsi"/>
          <w:b/>
          <w:noProof/>
          <w:sz w:val="24"/>
        </w:rPr>
        <w:lastRenderedPageBreak/>
        <w:pict>
          <v:shape id="_x0000_i1030" type="#_x0000_t75" style="width:468pt;height:150.75pt">
            <v:imagedata r:id="rId16" o:title="doseEq"/>
          </v:shape>
        </w:pict>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883B0B" w:rsidP="00504374">
      <w:pPr>
        <w:spacing w:line="480" w:lineRule="auto"/>
        <w:jc w:val="both"/>
        <w:rPr>
          <w:rFonts w:asciiTheme="majorHAnsi" w:hAnsiTheme="majorHAnsi" w:cstheme="majorHAnsi"/>
        </w:rPr>
      </w:pPr>
      <w:r>
        <w:rPr>
          <w:rFonts w:asciiTheme="majorHAnsi" w:hAnsiTheme="majorHAnsi" w:cstheme="majorHAnsi"/>
        </w:rPr>
        <w:pict>
          <v:shape id="_x0000_i1031" type="#_x0000_t75" style="width:234.75pt;height:240pt">
            <v:imagedata r:id="rId17" o:title="ave MeV per count"/>
          </v:shape>
        </w:pict>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883B0B" w:rsidP="00504374">
      <w:pPr>
        <w:jc w:val="both"/>
        <w:rPr>
          <w:rFonts w:asciiTheme="majorHAnsi" w:hAnsiTheme="majorHAnsi" w:cstheme="majorHAnsi"/>
        </w:rPr>
      </w:pPr>
      <w:r>
        <w:rPr>
          <w:rFonts w:asciiTheme="majorHAnsi" w:hAnsiTheme="majorHAnsi" w:cstheme="majorHAnsi"/>
          <w:noProof/>
        </w:rPr>
        <w:lastRenderedPageBreak/>
        <w:pict>
          <v:shape id="_x0000_i1032" type="#_x0000_t75" style="width:467.25pt;height:297.75pt">
            <v:imagedata r:id="rId18" o:title="BioD_combo_2"/>
          </v:shape>
        </w:pict>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Ac-225 and 1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CD587F"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pict>
          <v:shape id="_x0000_i1033" type="#_x0000_t75" style="width:468pt;height:105.75pt">
            <v:imagedata r:id="rId19" o:title="HOPO_RDperG"/>
          </v:shape>
        </w:pict>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6C7A50">
        <w:rPr>
          <w:rFonts w:asciiTheme="majorHAnsi" w:hAnsiTheme="majorHAnsi" w:cstheme="majorHAnsi"/>
        </w:rPr>
        <w:t xml:space="preserve"> </w:t>
      </w:r>
      <w:r w:rsidR="006C7A50">
        <w:rPr>
          <w:rFonts w:asciiTheme="majorHAnsi" w:hAnsiTheme="majorHAnsi" w:cstheme="majorHAnsi"/>
          <w:i/>
        </w:rPr>
        <w:t>HOPO-Ac.</w:t>
      </w:r>
      <w:r w:rsidR="006C7A50">
        <w:rPr>
          <w:rFonts w:asciiTheme="majorHAnsi" w:hAnsiTheme="majorHAnsi" w:cstheme="majorHAnsi"/>
        </w:rPr>
        <w:t xml:space="preserve"> 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3.97-4.54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which remained steady after 125 days (A). HOPO-Ac-227 at 125 days showed an increasing mean dose of 0.323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0.30-0.36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and after 7946 days, a mean of 22.4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20.3-24.5 </w:t>
      </w:r>
      <w:proofErr w:type="spellStart"/>
      <w:r w:rsidR="006C7A50">
        <w:rPr>
          <w:rFonts w:asciiTheme="majorHAnsi" w:hAnsiTheme="majorHAnsi" w:cstheme="majorHAnsi"/>
        </w:rPr>
        <w:t>Gy</w:t>
      </w:r>
      <w:proofErr w:type="spellEnd"/>
      <w:r w:rsidR="006C7A50">
        <w:rPr>
          <w:rFonts w:asciiTheme="majorHAnsi" w:hAnsiTheme="majorHAnsi" w:cstheme="majorHAnsi"/>
        </w:rPr>
        <w:t>)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w14:anchorId="2100D86F" id="Group 197" o:spid="_x0000_s1029" style="position:absolute;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CD587F">
        <w:rPr>
          <w:rFonts w:asciiTheme="majorHAnsi" w:hAnsiTheme="majorHAnsi" w:cstheme="majorHAnsi"/>
          <w:b/>
        </w:rPr>
        <w:pict>
          <v:shape id="_x0000_i1034" type="#_x0000_t75" style="width:468pt;height:453pt">
            <v:imagedata r:id="rId21" o:title="doseS1"/>
          </v:shape>
        </w:pict>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id="Group 59" o:spid="_x0000_s1033" style="position:absolute;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CD587F">
        <w:rPr>
          <w:rFonts w:asciiTheme="majorHAnsi" w:hAnsiTheme="majorHAnsi" w:cstheme="majorHAnsi"/>
          <w:b/>
        </w:rPr>
        <w:pict>
          <v:shape id="_x0000_i1035" type="#_x0000_t75" style="width:467.25pt;height:451.5pt">
            <v:imagedata r:id="rId22" o:title="doseS2"/>
          </v:shape>
        </w:pict>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0.249-0.258) at 1.33 days (</w:t>
      </w:r>
      <w:r w:rsidR="006C7A50" w:rsidRPr="006C7A50">
        <w:rPr>
          <w:rFonts w:asciiTheme="majorHAnsi" w:hAnsiTheme="majorHAnsi" w:cstheme="majorHAnsi"/>
        </w:rPr>
        <w:t>A</w:t>
      </w:r>
      <w:r w:rsidR="006C7A50">
        <w:rPr>
          <w:rFonts w:asciiTheme="majorHAnsi" w:hAnsiTheme="majorHAnsi" w:cstheme="majorHAnsi"/>
        </w:rPr>
        <w:t xml:space="preserve">) in the liver, whereas HOPO-Ac-227 showed a maximal mean of 0.039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CD587F" w:rsidP="00504374">
      <w:pPr>
        <w:jc w:val="both"/>
        <w:rPr>
          <w:rFonts w:asciiTheme="majorHAnsi" w:hAnsiTheme="majorHAnsi" w:cstheme="majorHAnsi"/>
          <w:b/>
        </w:rPr>
      </w:pPr>
      <w:r>
        <w:rPr>
          <w:rFonts w:asciiTheme="majorHAnsi" w:hAnsiTheme="majorHAnsi" w:cstheme="majorHAnsi"/>
          <w:b/>
        </w:rPr>
        <w:lastRenderedPageBreak/>
        <w:pict>
          <v:shape id="_x0000_i1036" type="#_x0000_t75" style="width:468pt;height:364.5pt">
            <v:imagedata r:id="rId23" o:title="doseEqHOPO"/>
          </v:shape>
        </w:pict>
      </w:r>
    </w:p>
    <w:p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proofErr w:type="gramStart"/>
      <w:r>
        <w:rPr>
          <w:rFonts w:asciiTheme="majorHAnsi" w:hAnsiTheme="majorHAnsi" w:cstheme="majorHAnsi"/>
        </w:rPr>
        <w:t>HOPO days until dose equivalence (Ac-227/Ac-225).</w:t>
      </w:r>
      <w:proofErr w:type="gramEnd"/>
    </w:p>
    <w:p w:rsidR="00CD587F" w:rsidRDefault="00CD587F">
      <w:pPr>
        <w:rPr>
          <w:rFonts w:asciiTheme="majorHAnsi" w:hAnsiTheme="majorHAnsi" w:cstheme="majorHAnsi"/>
        </w:rPr>
      </w:pPr>
      <w:r>
        <w:rPr>
          <w:rFonts w:asciiTheme="majorHAnsi" w:hAnsiTheme="majorHAnsi" w:cstheme="majorHAnsi"/>
        </w:rPr>
        <w:br w:type="page"/>
      </w:r>
    </w:p>
    <w:p w:rsidR="00CD587F" w:rsidRDefault="00CD587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5943600"/>
            <wp:effectExtent l="0" t="0" r="0" b="0"/>
            <wp:docPr id="5" name="Picture 5" descr="C:\Users\Andrew\Documents\Projects\225227\Figures\complexStabilityEst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Documents\Projects\225227\Figures\complexStabilityEstim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F3C1B" w:rsidRDefault="00CD587F" w:rsidP="00504374">
      <w:pPr>
        <w:jc w:val="both"/>
        <w:rPr>
          <w:rFonts w:asciiTheme="majorHAnsi" w:hAnsiTheme="majorHAnsi" w:cstheme="majorHAnsi"/>
          <w:b/>
        </w:rPr>
      </w:pPr>
      <w:r>
        <w:rPr>
          <w:rFonts w:asciiTheme="majorHAnsi" w:hAnsiTheme="majorHAnsi" w:cstheme="majorHAnsi"/>
          <w:b/>
        </w:rPr>
        <w:t>Figure S8.</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xmlns:cx="http://schemas.microsoft.com/office/drawing/2014/chartex" xmlns:w15="http://schemas.microsoft.com/office/word/2012/wordml" xmlns:w16se="http://schemas.microsoft.com/office/word/2015/wordml/symex">
            <w:pict>
              <v:group w14:anchorId="7E266524" id="Group 35" o:spid="_x0000_s1036" style="position:absolute;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xmlns:cx="http://schemas.microsoft.com/office/drawing/2014/chartex" xmlns:w15="http://schemas.microsoft.com/office/word/2012/wordml" xmlns:w16se="http://schemas.microsoft.com/office/word/2015/wordml/symex">
            <w:pict>
              <v:group w14:anchorId="4115C15D"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87F"/>
    <w:rsid w:val="00031F3A"/>
    <w:rsid w:val="00042F11"/>
    <w:rsid w:val="00044576"/>
    <w:rsid w:val="00065026"/>
    <w:rsid w:val="000668AB"/>
    <w:rsid w:val="00066B20"/>
    <w:rsid w:val="00081F16"/>
    <w:rsid w:val="00082B36"/>
    <w:rsid w:val="000867BD"/>
    <w:rsid w:val="000B26C0"/>
    <w:rsid w:val="000E016E"/>
    <w:rsid w:val="000E31FA"/>
    <w:rsid w:val="000F047C"/>
    <w:rsid w:val="00101D64"/>
    <w:rsid w:val="00112CFC"/>
    <w:rsid w:val="00113F18"/>
    <w:rsid w:val="001400E2"/>
    <w:rsid w:val="00143FE0"/>
    <w:rsid w:val="0015344D"/>
    <w:rsid w:val="00155432"/>
    <w:rsid w:val="001707AE"/>
    <w:rsid w:val="001A49A2"/>
    <w:rsid w:val="001B6560"/>
    <w:rsid w:val="001C51D0"/>
    <w:rsid w:val="001D1790"/>
    <w:rsid w:val="001D4AE3"/>
    <w:rsid w:val="001E75F4"/>
    <w:rsid w:val="00223A76"/>
    <w:rsid w:val="00237E06"/>
    <w:rsid w:val="00241575"/>
    <w:rsid w:val="002443D0"/>
    <w:rsid w:val="0025683D"/>
    <w:rsid w:val="0026230D"/>
    <w:rsid w:val="00270D54"/>
    <w:rsid w:val="00272FF3"/>
    <w:rsid w:val="00276FC0"/>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5009C2"/>
    <w:rsid w:val="00504374"/>
    <w:rsid w:val="005104C0"/>
    <w:rsid w:val="00526BC6"/>
    <w:rsid w:val="00536F26"/>
    <w:rsid w:val="00543223"/>
    <w:rsid w:val="005478DA"/>
    <w:rsid w:val="00563D98"/>
    <w:rsid w:val="005704EE"/>
    <w:rsid w:val="005720C6"/>
    <w:rsid w:val="00582129"/>
    <w:rsid w:val="005A7BA4"/>
    <w:rsid w:val="005C6C33"/>
    <w:rsid w:val="005F1DCF"/>
    <w:rsid w:val="005F5EFB"/>
    <w:rsid w:val="005F772F"/>
    <w:rsid w:val="006012E3"/>
    <w:rsid w:val="006043F9"/>
    <w:rsid w:val="0062220D"/>
    <w:rsid w:val="00633C1F"/>
    <w:rsid w:val="006479C4"/>
    <w:rsid w:val="00657B63"/>
    <w:rsid w:val="00667620"/>
    <w:rsid w:val="00677A09"/>
    <w:rsid w:val="00681DC6"/>
    <w:rsid w:val="00687C85"/>
    <w:rsid w:val="00690B7B"/>
    <w:rsid w:val="006A1879"/>
    <w:rsid w:val="006B024D"/>
    <w:rsid w:val="006C1847"/>
    <w:rsid w:val="006C7A50"/>
    <w:rsid w:val="00706049"/>
    <w:rsid w:val="00722B68"/>
    <w:rsid w:val="007565E7"/>
    <w:rsid w:val="00765788"/>
    <w:rsid w:val="00782A95"/>
    <w:rsid w:val="00782E1D"/>
    <w:rsid w:val="00787894"/>
    <w:rsid w:val="0079797F"/>
    <w:rsid w:val="007A00B2"/>
    <w:rsid w:val="007C120E"/>
    <w:rsid w:val="007C435E"/>
    <w:rsid w:val="007C5A41"/>
    <w:rsid w:val="007E3A6C"/>
    <w:rsid w:val="007F2318"/>
    <w:rsid w:val="00803EB3"/>
    <w:rsid w:val="00804805"/>
    <w:rsid w:val="00827A42"/>
    <w:rsid w:val="00841B05"/>
    <w:rsid w:val="00861B35"/>
    <w:rsid w:val="0086594B"/>
    <w:rsid w:val="008807CD"/>
    <w:rsid w:val="00883B0B"/>
    <w:rsid w:val="0089058B"/>
    <w:rsid w:val="00896D09"/>
    <w:rsid w:val="008A3CE1"/>
    <w:rsid w:val="008B1A72"/>
    <w:rsid w:val="008B1E20"/>
    <w:rsid w:val="008C03B5"/>
    <w:rsid w:val="008C67B8"/>
    <w:rsid w:val="008C7A7C"/>
    <w:rsid w:val="008C7C57"/>
    <w:rsid w:val="008E4DE5"/>
    <w:rsid w:val="008F235B"/>
    <w:rsid w:val="009273B0"/>
    <w:rsid w:val="00936059"/>
    <w:rsid w:val="009651F3"/>
    <w:rsid w:val="00965420"/>
    <w:rsid w:val="009770CC"/>
    <w:rsid w:val="00980AF2"/>
    <w:rsid w:val="009B3AF2"/>
    <w:rsid w:val="009B5463"/>
    <w:rsid w:val="009B57A8"/>
    <w:rsid w:val="009D3005"/>
    <w:rsid w:val="009E563F"/>
    <w:rsid w:val="009E5990"/>
    <w:rsid w:val="009E5B8D"/>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51AEF"/>
    <w:rsid w:val="00B535CB"/>
    <w:rsid w:val="00B614C6"/>
    <w:rsid w:val="00B721EB"/>
    <w:rsid w:val="00B9671C"/>
    <w:rsid w:val="00BA53AD"/>
    <w:rsid w:val="00BB0C69"/>
    <w:rsid w:val="00BB313B"/>
    <w:rsid w:val="00BD2433"/>
    <w:rsid w:val="00BE3D23"/>
    <w:rsid w:val="00BE4B84"/>
    <w:rsid w:val="00BF4891"/>
    <w:rsid w:val="00C06710"/>
    <w:rsid w:val="00C12BBB"/>
    <w:rsid w:val="00C16D83"/>
    <w:rsid w:val="00C25F05"/>
    <w:rsid w:val="00C53CAB"/>
    <w:rsid w:val="00C61142"/>
    <w:rsid w:val="00C6542C"/>
    <w:rsid w:val="00C66364"/>
    <w:rsid w:val="00C73F8F"/>
    <w:rsid w:val="00C769C3"/>
    <w:rsid w:val="00C81EF2"/>
    <w:rsid w:val="00C875BC"/>
    <w:rsid w:val="00C90718"/>
    <w:rsid w:val="00C91C83"/>
    <w:rsid w:val="00CA2C43"/>
    <w:rsid w:val="00CB6D0D"/>
    <w:rsid w:val="00CC6756"/>
    <w:rsid w:val="00CC765A"/>
    <w:rsid w:val="00CD587F"/>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6EAB"/>
    <w:rsid w:val="00E507F2"/>
    <w:rsid w:val="00E87AE7"/>
    <w:rsid w:val="00E91DBE"/>
    <w:rsid w:val="00E922DD"/>
    <w:rsid w:val="00E965F7"/>
    <w:rsid w:val="00EB5409"/>
    <w:rsid w:val="00EC658F"/>
    <w:rsid w:val="00EE3F64"/>
    <w:rsid w:val="00F053C3"/>
    <w:rsid w:val="00F17823"/>
    <w:rsid w:val="00F32DFA"/>
    <w:rsid w:val="00F340EB"/>
    <w:rsid w:val="00F360BB"/>
    <w:rsid w:val="00F419C4"/>
    <w:rsid w:val="00F42A11"/>
    <w:rsid w:val="00F54B35"/>
    <w:rsid w:val="00F70C61"/>
    <w:rsid w:val="00F802DD"/>
    <w:rsid w:val="00FB11F2"/>
    <w:rsid w:val="00FB1FE2"/>
    <w:rsid w:val="00FB3CD8"/>
    <w:rsid w:val="00FB4FF0"/>
    <w:rsid w:val="00FC4EE4"/>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wllakes@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rjabergel@lbl.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9860B-1481-4D33-ACE0-699D7642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21597</TotalTime>
  <Pages>36</Pages>
  <Words>3662</Words>
  <Characters>20878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cp:lastModifiedBy>
  <cp:revision>85</cp:revision>
  <dcterms:created xsi:type="dcterms:W3CDTF">2019-07-16T19:51:00Z</dcterms:created>
  <dcterms:modified xsi:type="dcterms:W3CDTF">2019-08-02T21:14:00Z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