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5DBF9" w14:textId="77777777"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14:paraId="1A84B268" w14:textId="77777777" w:rsidR="00D72D66" w:rsidRDefault="00D72D66" w:rsidP="00504374">
      <w:pPr>
        <w:spacing w:line="480" w:lineRule="auto"/>
        <w:jc w:val="both"/>
        <w:rPr>
          <w:rFonts w:asciiTheme="majorHAnsi" w:hAnsiTheme="majorHAnsi" w:cstheme="majorHAnsi"/>
          <w:b/>
        </w:rPr>
      </w:pPr>
    </w:p>
    <w:p w14:paraId="6FBCF62D" w14:textId="77777777" w:rsidR="008C67B8" w:rsidRPr="00C06710" w:rsidRDefault="004D0AE6" w:rsidP="00504374">
      <w:pPr>
        <w:spacing w:line="480" w:lineRule="auto"/>
        <w:jc w:val="both"/>
        <w:rPr>
          <w:rFonts w:asciiTheme="majorHAnsi" w:hAnsiTheme="majorHAnsi" w:cstheme="majorHAnsi"/>
          <w:b/>
        </w:rPr>
      </w:pPr>
      <w:r>
        <w:rPr>
          <w:rFonts w:asciiTheme="majorHAnsi" w:hAnsiTheme="majorHAnsi" w:cstheme="majorHAnsi"/>
          <w:b/>
        </w:rPr>
        <w:t>Ac-227 Dose of Accelerator Generated</w:t>
      </w:r>
      <w:r w:rsidR="00C91C83">
        <w:rPr>
          <w:rFonts w:asciiTheme="majorHAnsi" w:hAnsiTheme="majorHAnsi" w:cstheme="majorHAnsi"/>
          <w:b/>
        </w:rPr>
        <w:t xml:space="preserve"> Ac-225 in Mice</w:t>
      </w:r>
    </w:p>
    <w:p w14:paraId="3F3D179B" w14:textId="77777777"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14:paraId="25BF6782"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14:paraId="3AF2A3AB" w14:textId="77777777"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14:paraId="097DAEDE" w14:textId="77777777" w:rsidR="00D72D66" w:rsidRPr="00D72D66" w:rsidRDefault="00D72D66" w:rsidP="00504374">
      <w:pPr>
        <w:spacing w:line="480" w:lineRule="auto"/>
        <w:jc w:val="both"/>
        <w:rPr>
          <w:rFonts w:asciiTheme="majorHAnsi" w:hAnsiTheme="majorHAnsi" w:cstheme="majorHAnsi"/>
        </w:rPr>
      </w:pPr>
    </w:p>
    <w:p w14:paraId="35AA22A9" w14:textId="77777777"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14:paraId="5B008715" w14:textId="77777777"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14:paraId="3E4B1ABA" w14:textId="77777777" w:rsidR="00C12BBB" w:rsidRDefault="00C12BBB" w:rsidP="00504374">
      <w:pPr>
        <w:spacing w:line="480" w:lineRule="auto"/>
        <w:jc w:val="both"/>
        <w:rPr>
          <w:rFonts w:asciiTheme="majorHAnsi" w:hAnsiTheme="majorHAnsi" w:cstheme="majorHAnsi"/>
          <w:b/>
        </w:rPr>
      </w:pPr>
    </w:p>
    <w:p w14:paraId="624D3333" w14:textId="3FE56D94" w:rsidR="00C12BBB" w:rsidRDefault="00C12BBB" w:rsidP="00504374">
      <w:pPr>
        <w:spacing w:line="480" w:lineRule="auto"/>
        <w:jc w:val="both"/>
        <w:rPr>
          <w:rFonts w:asciiTheme="majorHAnsi" w:hAnsiTheme="majorHAnsi" w:cstheme="majorHAnsi"/>
          <w:b/>
        </w:rPr>
      </w:pPr>
    </w:p>
    <w:p w14:paraId="46B21F5E" w14:textId="77777777"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r w:rsidR="00C91C83">
        <w:rPr>
          <w:rFonts w:asciiTheme="majorHAnsi" w:hAnsiTheme="majorHAnsi" w:cstheme="majorHAnsi"/>
        </w:rPr>
        <w:t>xxxx</w:t>
      </w:r>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xxxx</w:t>
      </w:r>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r w:rsidR="00C91C83">
        <w:rPr>
          <w:rFonts w:asciiTheme="majorHAnsi" w:hAnsiTheme="majorHAnsi" w:cstheme="majorHAnsi"/>
        </w:rPr>
        <w:t>xxxx.</w:t>
      </w:r>
      <w:r w:rsidR="00BE3D23">
        <w:rPr>
          <w:rFonts w:asciiTheme="majorHAnsi" w:hAnsiTheme="majorHAnsi" w:cstheme="majorHAnsi"/>
        </w:rPr>
        <w:t xml:space="preserve"> </w:t>
      </w:r>
      <w:r w:rsidR="00BE3D23">
        <w:rPr>
          <w:rFonts w:asciiTheme="majorHAnsi" w:hAnsiTheme="majorHAnsi" w:cstheme="majorHAnsi"/>
          <w:b/>
        </w:rPr>
        <w:t xml:space="preserve">References: </w:t>
      </w:r>
      <w:r w:rsidR="00C91C83">
        <w:rPr>
          <w:rFonts w:asciiTheme="majorHAnsi" w:hAnsiTheme="majorHAnsi" w:cstheme="majorHAnsi"/>
        </w:rPr>
        <w:t>xxxx</w:t>
      </w:r>
    </w:p>
    <w:p w14:paraId="3A6A2BF2" w14:textId="77777777"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14:paraId="1624B1BE" w14:textId="77777777"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14:paraId="18C37CCC" w14:textId="77777777"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14:paraId="1E976F7C" w14:textId="77777777"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14:paraId="329CA590"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14:paraId="3E886406"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14:paraId="11720470" w14:textId="77777777" w:rsidR="0029181E" w:rsidRDefault="0029181E" w:rsidP="0029181E">
      <w:pPr>
        <w:spacing w:line="480" w:lineRule="auto"/>
        <w:jc w:val="both"/>
        <w:rPr>
          <w:rFonts w:asciiTheme="majorHAnsi" w:hAnsiTheme="majorHAnsi" w:cstheme="majorHAnsi"/>
        </w:rPr>
      </w:pPr>
      <w:r>
        <w:rPr>
          <w:rFonts w:asciiTheme="majorHAnsi" w:hAnsiTheme="majorHAnsi" w:cstheme="majorHAnsi"/>
        </w:rPr>
        <w:t>With three different Ac-225 constructs, we model the worst case scenario future dose rate for Ac-227 contamination in Ac-225 doses in mice out to one Ac-227 half life, 21.77 years.</w:t>
      </w:r>
    </w:p>
    <w:p w14:paraId="5E20F063" w14:textId="77777777" w:rsidR="00DC487F" w:rsidRPr="00C06710" w:rsidRDefault="00DC487F" w:rsidP="00504374">
      <w:pPr>
        <w:spacing w:line="480" w:lineRule="auto"/>
        <w:jc w:val="both"/>
        <w:rPr>
          <w:rFonts w:asciiTheme="majorHAnsi" w:hAnsiTheme="majorHAnsi" w:cstheme="majorHAnsi"/>
        </w:rPr>
      </w:pPr>
    </w:p>
    <w:p w14:paraId="30B2EC8B"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B295D85"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14:paraId="5CF5AD07"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14:paraId="57FBCD18"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14:paraId="71F7EC9B" w14:textId="77777777"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14:paraId="4F3CDCCF" w14:textId="0DC24DF1"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w:t>
      </w:r>
      <w:r w:rsidR="0009798D">
        <w:rPr>
          <w:rFonts w:asciiTheme="majorHAnsi" w:hAnsiTheme="majorHAnsi" w:cstheme="majorHAnsi"/>
        </w:rPr>
        <w:t xml:space="preserve"> </w:t>
      </w:r>
      <w:r w:rsidRPr="009E5B8D">
        <w:rPr>
          <w:rFonts w:asciiTheme="majorHAnsi" w:hAnsiTheme="majorHAnsi" w:cstheme="majorHAnsi"/>
        </w:rPr>
        <w:t>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p>
    <w:p w14:paraId="7234C501" w14:textId="6C8363EF" w:rsidR="0009798D" w:rsidRDefault="0009798D" w:rsidP="00504374">
      <w:pPr>
        <w:spacing w:line="480" w:lineRule="auto"/>
        <w:jc w:val="both"/>
        <w:rPr>
          <w:rFonts w:asciiTheme="majorHAnsi" w:hAnsiTheme="majorHAnsi" w:cstheme="majorHAnsi"/>
        </w:rPr>
      </w:pPr>
      <w:r>
        <w:rPr>
          <w:rFonts w:asciiTheme="majorHAnsi" w:hAnsiTheme="majorHAnsi" w:cstheme="majorHAnsi"/>
        </w:rPr>
        <w:t>3) study set up / why</w:t>
      </w:r>
    </w:p>
    <w:p w14:paraId="079DBF30" w14:textId="4D07624C" w:rsidR="0009798D" w:rsidRDefault="0009798D" w:rsidP="00504374">
      <w:pPr>
        <w:spacing w:line="480" w:lineRule="auto"/>
        <w:jc w:val="both"/>
        <w:rPr>
          <w:rFonts w:asciiTheme="majorHAnsi" w:hAnsiTheme="majorHAnsi" w:cstheme="majorHAnsi"/>
        </w:rPr>
      </w:pPr>
      <w:r>
        <w:rPr>
          <w:rFonts w:asciiTheme="majorHAnsi" w:hAnsiTheme="majorHAnsi" w:cstheme="majorHAnsi"/>
        </w:rPr>
        <w:t>Materials tested -&gt; can cite tastuzumab-Ac-225 literature</w:t>
      </w:r>
    </w:p>
    <w:p w14:paraId="4915F03B" w14:textId="77777777" w:rsidR="009E5B8D" w:rsidRDefault="009E5B8D" w:rsidP="000213FF">
      <w:pPr>
        <w:tabs>
          <w:tab w:val="left" w:pos="6660"/>
        </w:tabs>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14:paraId="69ADEEC2" w14:textId="77777777" w:rsidR="009E5B8D" w:rsidRDefault="009E5B8D" w:rsidP="00504374">
      <w:pPr>
        <w:spacing w:line="480" w:lineRule="auto"/>
        <w:jc w:val="both"/>
        <w:rPr>
          <w:rFonts w:asciiTheme="majorHAnsi" w:hAnsiTheme="majorHAnsi" w:cstheme="majorHAnsi"/>
        </w:rPr>
      </w:pPr>
    </w:p>
    <w:p w14:paraId="50AD74D2" w14:textId="77777777" w:rsidR="009E5B8D" w:rsidRPr="00C06710" w:rsidRDefault="009E5B8D" w:rsidP="00504374">
      <w:pPr>
        <w:spacing w:line="480" w:lineRule="auto"/>
        <w:jc w:val="both"/>
        <w:rPr>
          <w:rFonts w:asciiTheme="majorHAnsi" w:hAnsiTheme="majorHAnsi" w:cstheme="majorHAnsi"/>
        </w:rPr>
      </w:pPr>
    </w:p>
    <w:p w14:paraId="29678F28"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14:paraId="04EBB678" w14:textId="77777777"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14:paraId="61C3D144" w14:textId="77777777"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w:t>
      </w:r>
      <w:r w:rsidR="00C351F1">
        <w:rPr>
          <w:rFonts w:asciiTheme="majorHAnsi" w:hAnsiTheme="majorHAnsi" w:cstheme="majorHAnsi"/>
          <w:highlight w:val="yellow"/>
        </w:rPr>
        <w:t>purchased or synthesized?</w:t>
      </w:r>
      <w:r w:rsidRPr="00270D54">
        <w:rPr>
          <w:rFonts w:asciiTheme="majorHAnsi" w:hAnsiTheme="majorHAnsi" w:cstheme="majorHAnsi"/>
          <w:highlight w:val="yellow"/>
        </w:rPr>
        <w:t>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 or purchased?</w:t>
      </w:r>
      <w:r w:rsidR="008E4DE5" w:rsidRPr="008E4DE5">
        <w:rPr>
          <w:rFonts w:asciiTheme="majorHAnsi" w:hAnsiTheme="majorHAnsi" w:cstheme="majorHAnsi"/>
          <w:highlight w:val="yellow"/>
        </w:rPr>
        <w:t>XXXXXXX</w:t>
      </w:r>
      <w:r w:rsidR="008E4DE5">
        <w:rPr>
          <w:rFonts w:asciiTheme="majorHAnsi" w:hAnsiTheme="majorHAnsi" w:cstheme="majorHAnsi"/>
        </w:rPr>
        <w:t xml:space="preserve">. </w:t>
      </w:r>
      <w:r w:rsidR="008E4DE5" w:rsidRPr="008E4DE5">
        <w:rPr>
          <w:rFonts w:asciiTheme="majorHAnsi" w:hAnsiTheme="majorHAnsi" w:cstheme="majorHAnsi"/>
        </w:rPr>
        <w:t>1,4,7,10-Tetraazacyclododecane-1,4,7-tris-acetic acid-10-maleimidoethylacetamide (DOTA-MMA) was purchased from Macrocyclics, Bradford reagent was purchased from Bio-rad, and tris(2-carboxyethyl)phosphine hydrochloride (TCEP HCl), L-glutathione reduced, and all other chemicals were purchased from Sigma-Aldrich.</w:t>
      </w:r>
    </w:p>
    <w:p w14:paraId="303FF5F8" w14:textId="77777777"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14:paraId="20CC03E3" w14:textId="77777777"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10 mL of Ultima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ashed in a furnace, dissolved in nitric acid, and diluted into 10 mL Ultima Gold LLT scintillation cocktail.</w:t>
      </w:r>
    </w:p>
    <w:p w14:paraId="4DBDD84E" w14:textId="77777777"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14:paraId="07201510" w14:textId="77777777"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14:paraId="74D4A96D" w14:textId="77777777"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at 200:1 excess Ligand:Metal.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HCl was added at </w:t>
      </w:r>
      <w:r>
        <w:rPr>
          <w:rFonts w:asciiTheme="majorHAnsi" w:hAnsiTheme="majorHAnsi" w:cstheme="majorHAnsi"/>
        </w:rPr>
        <w:t>200</w:t>
      </w:r>
      <w:r w:rsidR="00677A09" w:rsidRPr="00C06710">
        <w:rPr>
          <w:rFonts w:asciiTheme="majorHAnsi" w:hAnsiTheme="majorHAnsi" w:cstheme="majorHAnsi"/>
        </w:rPr>
        <w:t xml:space="preserve">x excess </w:t>
      </w:r>
      <w:r>
        <w:rPr>
          <w:rFonts w:asciiTheme="majorHAnsi" w:hAnsiTheme="majorHAnsi" w:cstheme="majorHAnsi"/>
        </w:rPr>
        <w:t>Ligand:Metal</w:t>
      </w:r>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retentate were taken for final activity and yield verification. </w:t>
      </w:r>
    </w:p>
    <w:p w14:paraId="1D74B7A8" w14:textId="77777777"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14:paraId="21B661A7" w14:textId="77777777"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14:paraId="6CCD114B" w14:textId="77777777"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14:paraId="121D4AFB" w14:textId="77777777"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14:paraId="08D245D8" w14:textId="77777777"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14:paraId="05CE2DF6" w14:textId="77777777"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r w:rsidR="00C74806" w:rsidRPr="00C74806">
        <w:rPr>
          <w:rFonts w:asciiTheme="majorHAnsi" w:hAnsiTheme="majorHAnsi" w:cstheme="majorHAnsi"/>
          <w:highlight w:val="yellow"/>
        </w:rPr>
        <w:t>xxxxxxxxxxxxxxxxxx</w:t>
      </w:r>
    </w:p>
    <w:p w14:paraId="51C5FC93" w14:textId="77777777"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14:paraId="337774CF" w14:textId="77777777"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The input dose bolus was 200 nCi for Ac-225 and 1 nCi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een real recorded time point values of 1 hr, 4 hr, 24 hr, 4 days, 6 days (and 10 days for Trastuzumab-DOTA only)</w:t>
      </w:r>
      <w:r w:rsidR="005720C6">
        <w:rPr>
          <w:rFonts w:asciiTheme="majorHAnsi" w:hAnsiTheme="majorHAnsi" w:cstheme="majorHAnsi"/>
        </w:rPr>
        <w:t xml:space="preserve">, small step changes </w:t>
      </w:r>
      <w:r w:rsidR="005720C6">
        <w:rPr>
          <w:rFonts w:asciiTheme="majorHAnsi" w:hAnsiTheme="majorHAnsi" w:cstheme="majorHAnsi"/>
        </w:rPr>
        <w:lastRenderedPageBreak/>
        <w:t xml:space="preserve">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Figure Sxxx</w:t>
      </w:r>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14:paraId="08C90823"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14:paraId="2349DF83" w14:textId="77777777"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 (</w:t>
      </w:r>
      <w:r w:rsidR="00C74806" w:rsidRPr="00F66D21">
        <w:rPr>
          <w:rFonts w:asciiTheme="majorHAnsi" w:hAnsiTheme="majorHAnsi" w:cstheme="majorHAnsi"/>
          <w:highlight w:val="yellow"/>
        </w:rPr>
        <w:t>cite Robertsom curr radiopharm 2015 - Development of 225Ac Radiopharmaceuticals: TRIUMF Perspectives and Experiences</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14:paraId="6410724A" w14:textId="77777777"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t>B</w:t>
      </w:r>
      <w:r w:rsidR="00C91C83">
        <w:rPr>
          <w:rFonts w:asciiTheme="majorHAnsi" w:hAnsiTheme="majorHAnsi" w:cstheme="majorHAnsi"/>
          <w:b/>
        </w:rPr>
        <w:t>iodistribution</w:t>
      </w:r>
    </w:p>
    <w:p w14:paraId="65FD6895" w14:textId="77777777"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14:paraId="45A204F4" w14:textId="77777777" w:rsidR="00C61142" w:rsidRDefault="00AD2DFE" w:rsidP="00504374">
      <w:pPr>
        <w:spacing w:line="480" w:lineRule="auto"/>
        <w:jc w:val="both"/>
        <w:rPr>
          <w:rFonts w:asciiTheme="majorHAnsi" w:hAnsiTheme="majorHAnsi" w:cstheme="majorHAnsi"/>
        </w:rPr>
      </w:pPr>
      <w:r>
        <w:rPr>
          <w:rFonts w:asciiTheme="majorHAnsi" w:hAnsiTheme="majorHAnsi" w:cstheme="majorHAnsi"/>
        </w:rPr>
        <w:lastRenderedPageBreak/>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14:paraId="73A4E2E6" w14:textId="77777777"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14:paraId="17A17EBA" w14:textId="77777777"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Trastuzumab-DOTA-Ac LR is beyond the scale due to extremely low activity in the Ac-227 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w:t>
      </w:r>
      <w:r w:rsidR="008807CD">
        <w:rPr>
          <w:rFonts w:asciiTheme="majorHAnsi" w:hAnsiTheme="majorHAnsi" w:cstheme="majorHAnsi"/>
        </w:rPr>
        <w:lastRenderedPageBreak/>
        <w:t>and ART. For the organ with greatest localized uptake with both isotopes, the liver, the LR at the final time point at 6 days was not statistically significant from unity.</w:t>
      </w:r>
    </w:p>
    <w:p w14:paraId="29877213" w14:textId="77777777"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14:paraId="4C3007D6" w14:textId="77777777" w:rsidR="002C4963"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p>
    <w:p w14:paraId="69A97AC6" w14:textId="77777777"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14:paraId="25D7FC8F" w14:textId="24ABB4F5"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DOTA-Ac had the greatest</w:t>
      </w:r>
      <w:r w:rsidR="00FB58CC">
        <w:rPr>
          <w:rFonts w:asciiTheme="majorHAnsi" w:hAnsiTheme="majorHAnsi" w:cstheme="majorHAnsi"/>
        </w:rPr>
        <w:t xml:space="preserve"> cumulative</w:t>
      </w:r>
      <w:r>
        <w:rPr>
          <w:rFonts w:asciiTheme="majorHAnsi" w:hAnsiTheme="majorHAnsi" w:cstheme="majorHAnsi"/>
        </w:rPr>
        <w:t xml:space="preserve">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14:paraId="6A00D2BD" w14:textId="77777777"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14:paraId="3CA17FDE" w14:textId="2669C30E"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and after 7946 days Ac-227 showed a slowing cumulative dose of 33.7 Gy (95% CI 29.6-37.7 Gy)</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w:t>
      </w:r>
      <w:r w:rsidR="002F0417">
        <w:rPr>
          <w:rFonts w:asciiTheme="majorHAnsi" w:hAnsiTheme="majorHAnsi" w:cstheme="majorHAnsi"/>
        </w:rPr>
        <w:t>0.88</w:t>
      </w:r>
      <w:r w:rsidR="00CF2B00">
        <w:rPr>
          <w:rFonts w:asciiTheme="majorHAnsi" w:hAnsiTheme="majorHAnsi" w:cstheme="majorHAnsi"/>
        </w:rPr>
        <w:t xml:space="preserve"> Gy/day (95% CI 0.7</w:t>
      </w:r>
      <w:r w:rsidR="002F0417">
        <w:rPr>
          <w:rFonts w:asciiTheme="majorHAnsi" w:hAnsiTheme="majorHAnsi" w:cstheme="majorHAnsi"/>
        </w:rPr>
        <w:t>1-1.1</w:t>
      </w:r>
      <w:r w:rsidR="00CF2B00">
        <w:rPr>
          <w:rFonts w:asciiTheme="majorHAnsi" w:hAnsiTheme="majorHAnsi" w:cstheme="majorHAnsi"/>
        </w:rPr>
        <w:t xml:space="preserve"> Gy/day) for Trastuzumab-DOTA-Ac-225 </w:t>
      </w:r>
      <w:r w:rsidR="002F0417">
        <w:rPr>
          <w:rFonts w:asciiTheme="majorHAnsi" w:hAnsiTheme="majorHAnsi" w:cstheme="majorHAnsi"/>
        </w:rPr>
        <w:t xml:space="preserve">at 7 days </w:t>
      </w:r>
      <w:r w:rsidR="00CF2B00">
        <w:rPr>
          <w:rFonts w:asciiTheme="majorHAnsi" w:hAnsiTheme="majorHAnsi" w:cstheme="majorHAnsi"/>
        </w:rPr>
        <w:t>(</w:t>
      </w:r>
      <w:r w:rsidR="00CF2B00">
        <w:rPr>
          <w:rFonts w:asciiTheme="majorHAnsi" w:hAnsiTheme="majorHAnsi" w:cstheme="majorHAnsi"/>
          <w:b/>
        </w:rPr>
        <w:t>Figure 3E</w:t>
      </w:r>
      <w:r w:rsidR="002F0417">
        <w:rPr>
          <w:rFonts w:asciiTheme="majorHAnsi" w:hAnsiTheme="majorHAnsi" w:cstheme="majorHAnsi"/>
        </w:rPr>
        <w:t xml:space="preserve">), and at 200 days </w:t>
      </w:r>
      <w:r w:rsidR="002F0417">
        <w:rPr>
          <w:rFonts w:asciiTheme="majorHAnsi" w:hAnsiTheme="majorHAnsi" w:cstheme="majorHAnsi"/>
        </w:rPr>
        <w:lastRenderedPageBreak/>
        <w:t>0.058</w:t>
      </w:r>
      <w:r w:rsidR="00CF2B00">
        <w:rPr>
          <w:rFonts w:asciiTheme="majorHAnsi" w:hAnsiTheme="majorHAnsi" w:cstheme="majorHAnsi"/>
        </w:rPr>
        <w:t xml:space="preserve"> Gy/day (95% CI 0.05</w:t>
      </w:r>
      <w:r w:rsidR="002F0417">
        <w:rPr>
          <w:rFonts w:asciiTheme="majorHAnsi" w:hAnsiTheme="majorHAnsi" w:cstheme="majorHAnsi"/>
        </w:rPr>
        <w:t>1</w:t>
      </w:r>
      <w:r w:rsidR="00CF2B00">
        <w:rPr>
          <w:rFonts w:asciiTheme="majorHAnsi" w:hAnsiTheme="majorHAnsi" w:cstheme="majorHAnsi"/>
        </w:rPr>
        <w:t>-0.06</w:t>
      </w:r>
      <w:r w:rsidR="002F0417">
        <w:rPr>
          <w:rFonts w:asciiTheme="majorHAnsi" w:hAnsiTheme="majorHAnsi" w:cstheme="majorHAnsi"/>
        </w:rPr>
        <w:t>5</w:t>
      </w:r>
      <w:r w:rsidR="00CF2B00">
        <w:rPr>
          <w:rFonts w:asciiTheme="majorHAnsi" w:hAnsiTheme="majorHAnsi" w:cstheme="majorHAnsi"/>
        </w:rPr>
        <w:t xml:space="preserve"> Gy/day) for Trastuzumab-DOTA-Ac-227 (</w:t>
      </w:r>
      <w:r w:rsidR="00CF2B00">
        <w:rPr>
          <w:rFonts w:asciiTheme="majorHAnsi" w:hAnsiTheme="majorHAnsi" w:cstheme="majorHAnsi"/>
          <w:b/>
        </w:rPr>
        <w:t>Figure 3F</w:t>
      </w:r>
      <w:r w:rsidR="00CF2B00">
        <w:rPr>
          <w:rFonts w:asciiTheme="majorHAnsi" w:hAnsiTheme="majorHAnsi" w:cstheme="majorHAnsi"/>
        </w:rPr>
        <w:t>).</w:t>
      </w:r>
      <w:r w:rsidR="00B45EF9">
        <w:rPr>
          <w:rFonts w:asciiTheme="majorHAnsi" w:hAnsiTheme="majorHAnsi" w:cstheme="majorHAnsi"/>
        </w:rPr>
        <w:t xml:space="preserve"> </w:t>
      </w:r>
      <w:r w:rsidR="007B016F">
        <w:rPr>
          <w:rFonts w:asciiTheme="majorHAnsi" w:hAnsiTheme="majorHAnsi" w:cstheme="majorHAnsi"/>
        </w:rPr>
        <w:t>Cumulative d</w:t>
      </w:r>
      <w:r w:rsidR="00B45EF9">
        <w:rPr>
          <w:rFonts w:asciiTheme="majorHAnsi" w:hAnsiTheme="majorHAnsi" w:cstheme="majorHAnsi"/>
        </w:rPr>
        <w:t>ose to the kidneys was</w:t>
      </w:r>
      <w:r w:rsidR="007B016F">
        <w:rPr>
          <w:rFonts w:asciiTheme="majorHAnsi" w:hAnsiTheme="majorHAnsi" w:cstheme="majorHAnsi"/>
        </w:rPr>
        <w:t xml:space="preserve"> found to be</w:t>
      </w:r>
      <w:r w:rsidR="00B45EF9">
        <w:rPr>
          <w:rFonts w:asciiTheme="majorHAnsi" w:hAnsiTheme="majorHAnsi" w:cstheme="majorHAnsi"/>
        </w:rPr>
        <w:t xml:space="preserve"> </w:t>
      </w:r>
      <w:r w:rsidR="007B016F">
        <w:rPr>
          <w:rFonts w:asciiTheme="majorHAnsi" w:hAnsiTheme="majorHAnsi" w:cstheme="majorHAnsi"/>
        </w:rPr>
        <w:t xml:space="preserve">low for both Ac-225 and Ac-227, at 0.54 Gy (95% CI 0.49-0.58 Gy) and 1.42 </w:t>
      </w:r>
      <w:r w:rsidR="00485645">
        <w:rPr>
          <w:rFonts w:asciiTheme="majorHAnsi" w:hAnsiTheme="majorHAnsi" w:cstheme="majorHAnsi"/>
        </w:rPr>
        <w:t>(95% CI 1.35-1.49) respectively, as was the kidney dose per day, with Ac-225 at 3 mGy/day (95% CI 2.9-3.1 mGy/day) and Ac-227 at 54 µGy/day (95% CI 51-56 µGy/day).</w:t>
      </w:r>
    </w:p>
    <w:p w14:paraId="1AB32E02" w14:textId="77777777" w:rsidR="00C74806" w:rsidRDefault="00C74806" w:rsidP="00504374">
      <w:pPr>
        <w:jc w:val="both"/>
        <w:rPr>
          <w:rFonts w:asciiTheme="majorHAnsi" w:hAnsiTheme="majorHAnsi" w:cstheme="majorHAnsi"/>
          <w:b/>
          <w:sz w:val="24"/>
        </w:rPr>
      </w:pPr>
    </w:p>
    <w:p w14:paraId="66F8CBB4"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14:paraId="71ABB571" w14:textId="77777777"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8806D1">
        <w:rPr>
          <w:rFonts w:asciiTheme="majorHAnsi" w:hAnsiTheme="majorHAnsi" w:cstheme="majorHAnsi"/>
        </w:rPr>
        <w:t xml:space="preserve">in time </w:t>
      </w:r>
      <w:r w:rsidR="005F772F">
        <w:rPr>
          <w:rFonts w:asciiTheme="majorHAnsi" w:hAnsiTheme="majorHAnsi" w:cstheme="majorHAnsi"/>
        </w:rPr>
        <w:t>as a worst case scenario estimate</w:t>
      </w:r>
      <w:r w:rsidR="00B9671C">
        <w:rPr>
          <w:rFonts w:asciiTheme="majorHAnsi" w:hAnsiTheme="majorHAnsi" w:cstheme="majorHAnsi"/>
        </w:rPr>
        <w:t xml:space="preserve"> (with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w:t>
      </w:r>
      <w:r w:rsidR="001241BF">
        <w:rPr>
          <w:rFonts w:asciiTheme="majorHAnsi" w:hAnsiTheme="majorHAnsi" w:cstheme="majorHAnsi"/>
        </w:rPr>
        <w:t>maximum tolerated dose (</w:t>
      </w:r>
      <w:r w:rsidR="00323B3C">
        <w:rPr>
          <w:rFonts w:asciiTheme="majorHAnsi" w:hAnsiTheme="majorHAnsi" w:cstheme="majorHAnsi"/>
        </w:rPr>
        <w:t>MTD</w:t>
      </w:r>
      <w:r w:rsidR="001241BF">
        <w:rPr>
          <w:rFonts w:asciiTheme="majorHAnsi" w:hAnsiTheme="majorHAnsi" w:cstheme="majorHAnsi"/>
        </w:rPr>
        <w:t>)</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137814">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w:t>
      </w:r>
      <w:r w:rsidR="001241BF">
        <w:rPr>
          <w:rFonts w:asciiTheme="majorHAnsi" w:hAnsiTheme="majorHAnsi" w:cstheme="majorHAnsi"/>
        </w:rPr>
        <w:t>MTD</w:t>
      </w:r>
      <w:r w:rsidR="00FC4EE4">
        <w:rPr>
          <w:rFonts w:asciiTheme="majorHAnsi" w:hAnsiTheme="majorHAnsi" w:cstheme="majorHAnsi"/>
        </w:rPr>
        <w:t xml:space="preserve"> is based on </w:t>
      </w:r>
      <w:r w:rsidR="00E2330E">
        <w:rPr>
          <w:rFonts w:asciiTheme="majorHAnsi" w:hAnsiTheme="majorHAnsi" w:cstheme="majorHAnsi"/>
        </w:rPr>
        <w:t xml:space="preserve">acute </w:t>
      </w:r>
      <w:r w:rsidR="00FC4EE4">
        <w:rPr>
          <w:rFonts w:asciiTheme="majorHAnsi" w:hAnsiTheme="majorHAnsi" w:cstheme="majorHAnsi"/>
        </w:rPr>
        <w:t xml:space="preserve">effects of Ac-225 (no Ac-227) out to 35 days, </w:t>
      </w:r>
      <w:r w:rsidR="00E2330E">
        <w:rPr>
          <w:rFonts w:asciiTheme="majorHAnsi" w:hAnsiTheme="majorHAnsi" w:cstheme="majorHAnsi"/>
        </w:rPr>
        <w:t>it does not speak for long term dose effects of Ac-227, and is taken only as a</w:t>
      </w:r>
      <w:r w:rsidR="001241BF">
        <w:rPr>
          <w:rFonts w:asciiTheme="majorHAnsi" w:hAnsiTheme="majorHAnsi" w:cstheme="majorHAnsi"/>
        </w:rPr>
        <w:t>n acute</w:t>
      </w:r>
      <w:r w:rsidR="00E2330E">
        <w:rPr>
          <w:rFonts w:asciiTheme="majorHAnsi" w:hAnsiTheme="majorHAnsi" w:cstheme="majorHAnsi"/>
        </w:rPr>
        <w:t xml:space="preserve"> guideline.</w:t>
      </w:r>
      <w:r w:rsidR="001241BF">
        <w:rPr>
          <w:rFonts w:asciiTheme="majorHAnsi" w:hAnsiTheme="majorHAnsi" w:cstheme="majorHAnsi"/>
        </w:rPr>
        <w:t xml:space="preserve"> </w:t>
      </w:r>
    </w:p>
    <w:p w14:paraId="71816E0D" w14:textId="5B725494" w:rsidR="000E698C" w:rsidRDefault="00026BE2" w:rsidP="009D74FB">
      <w:pPr>
        <w:spacing w:line="480" w:lineRule="auto"/>
        <w:jc w:val="both"/>
        <w:rPr>
          <w:rFonts w:asciiTheme="majorHAnsi" w:hAnsiTheme="majorHAnsi" w:cstheme="majorHAnsi"/>
        </w:rPr>
      </w:pPr>
      <w:r>
        <w:rPr>
          <w:rFonts w:asciiTheme="majorHAnsi" w:hAnsiTheme="majorHAnsi" w:cstheme="majorHAnsi"/>
        </w:rPr>
        <w:t xml:space="preserve">In </w:t>
      </w:r>
      <w:r w:rsidR="00D05504">
        <w:rPr>
          <w:rFonts w:asciiTheme="majorHAnsi" w:hAnsiTheme="majorHAnsi" w:cstheme="majorHAnsi"/>
        </w:rPr>
        <w:t>general, for</w:t>
      </w:r>
      <w:r>
        <w:rPr>
          <w:rFonts w:asciiTheme="majorHAnsi" w:hAnsiTheme="majorHAnsi" w:cstheme="majorHAnsi"/>
        </w:rPr>
        <w:t xml:space="preserve"> targeted alpha therapies</w:t>
      </w:r>
      <w:r w:rsidR="00D05504">
        <w:rPr>
          <w:rFonts w:asciiTheme="majorHAnsi" w:hAnsiTheme="majorHAnsi" w:cstheme="majorHAnsi"/>
        </w:rPr>
        <w:t>, the dose limiting factor tends to be</w:t>
      </w:r>
      <w:r>
        <w:rPr>
          <w:rFonts w:asciiTheme="majorHAnsi" w:hAnsiTheme="majorHAnsi" w:cstheme="majorHAnsi"/>
        </w:rPr>
        <w:t xml:space="preserve"> renal toxicity</w:t>
      </w:r>
      <w:r w:rsidR="00D05504">
        <w:rPr>
          <w:rFonts w:asciiTheme="majorHAnsi" w:hAnsiTheme="majorHAnsi" w:cstheme="majorHAnsi"/>
        </w:rPr>
        <w:t>. I</w:t>
      </w:r>
      <w:r>
        <w:rPr>
          <w:rFonts w:asciiTheme="majorHAnsi" w:hAnsiTheme="majorHAnsi" w:cstheme="majorHAnsi"/>
        </w:rPr>
        <w:t>n humans,</w:t>
      </w:r>
      <w:r w:rsidR="00D05504">
        <w:rPr>
          <w:rFonts w:asciiTheme="majorHAnsi" w:hAnsiTheme="majorHAnsi" w:cstheme="majorHAnsi"/>
        </w:rPr>
        <w:t xml:space="preserve"> short half-life radiotherapies typically present a delayed toxicity well beyond the </w:t>
      </w:r>
      <w:r w:rsidR="000E698C">
        <w:rPr>
          <w:rFonts w:asciiTheme="majorHAnsi" w:hAnsiTheme="majorHAnsi" w:cstheme="majorHAnsi"/>
        </w:rPr>
        <w:t xml:space="preserve">decay of the radioisotopes, and is </w:t>
      </w:r>
      <w:r>
        <w:rPr>
          <w:rFonts w:asciiTheme="majorHAnsi" w:hAnsiTheme="majorHAnsi" w:cstheme="majorHAnsi"/>
        </w:rPr>
        <w:t xml:space="preserve">known to occur between months and years after radiation treatment </w:t>
      </w:r>
      <w:r>
        <w:rPr>
          <w:rFonts w:asciiTheme="majorHAnsi" w:hAnsiTheme="majorHAnsi" w:cstheme="majorHAnsi"/>
        </w:rPr>
        <w:fldChar w:fldCharType="begin" w:fldLock="1"/>
      </w:r>
      <w:r w:rsidR="007E09D5">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ICRP","id":"ITEM-2","issue":"1-2","issued":{"date-parts":[["2012"]]},"page":"1-322","title":"ICRP publication 118: ICRP Statement on Tissue Reactions and Early and Late Effects of Radiation in Normal Tissues and Organs Ã¢â‚¬â€</w:instrText>
      </w:r>
      <w:r w:rsidR="007E09D5">
        <w:rPr>
          <w:rFonts w:ascii="Calibri Light" w:hAnsi="Calibri Light" w:cs="Calibri Light"/>
        </w:rPr>
        <w:instrText></w:instrText>
      </w:r>
      <w:r w:rsidR="007E09D5">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5,8&lt;/sup&gt;","plainTextFormattedCitation":"5,8","previouslyFormattedCitation":"&lt;sup&gt;5,7&lt;/sup&gt;"},"properties":{"noteIndex":0},"schema":"https://github.com/citation-style-language/schema/raw/master/csl-citation.json"}</w:instrText>
      </w:r>
      <w:r>
        <w:rPr>
          <w:rFonts w:asciiTheme="majorHAnsi" w:hAnsiTheme="majorHAnsi" w:cstheme="majorHAnsi"/>
        </w:rPr>
        <w:fldChar w:fldCharType="separate"/>
      </w:r>
      <w:r w:rsidR="007E09D5" w:rsidRPr="007E09D5">
        <w:rPr>
          <w:rFonts w:asciiTheme="majorHAnsi" w:hAnsiTheme="majorHAnsi" w:cstheme="majorHAnsi"/>
          <w:noProof/>
          <w:vertAlign w:val="superscript"/>
        </w:rPr>
        <w:t>5,8</w:t>
      </w:r>
      <w:r>
        <w:rPr>
          <w:rFonts w:asciiTheme="majorHAnsi" w:hAnsiTheme="majorHAnsi" w:cstheme="majorHAnsi"/>
        </w:rPr>
        <w:fldChar w:fldCharType="end"/>
      </w:r>
      <w:r w:rsidR="00D05504">
        <w:rPr>
          <w:rFonts w:asciiTheme="majorHAnsi" w:hAnsiTheme="majorHAnsi" w:cstheme="majorHAnsi"/>
        </w:rPr>
        <w:t>.</w:t>
      </w:r>
      <w:r w:rsidR="009874E9">
        <w:rPr>
          <w:rFonts w:asciiTheme="majorHAnsi" w:hAnsiTheme="majorHAnsi" w:cstheme="majorHAnsi"/>
        </w:rPr>
        <w:t xml:space="preserve"> </w:t>
      </w:r>
      <w:r w:rsidR="000E698C">
        <w:rPr>
          <w:rFonts w:asciiTheme="majorHAnsi" w:hAnsiTheme="majorHAnsi" w:cstheme="majorHAnsi"/>
        </w:rPr>
        <w:t>Based upon the literature, we can create ballpark estimates to deter</w:t>
      </w:r>
      <w:r w:rsidR="0048141A">
        <w:rPr>
          <w:rFonts w:asciiTheme="majorHAnsi" w:hAnsiTheme="majorHAnsi" w:cstheme="majorHAnsi"/>
        </w:rPr>
        <w:t>mine for both Ac-225 and Ac-227 if</w:t>
      </w:r>
      <w:r w:rsidR="000E698C">
        <w:rPr>
          <w:rFonts w:asciiTheme="majorHAnsi" w:hAnsiTheme="majorHAnsi" w:cstheme="majorHAnsi"/>
        </w:rPr>
        <w:t xml:space="preserve"> </w:t>
      </w:r>
      <w:r w:rsidR="0048141A">
        <w:rPr>
          <w:rFonts w:asciiTheme="majorHAnsi" w:hAnsiTheme="majorHAnsi" w:cstheme="majorHAnsi"/>
        </w:rPr>
        <w:t>,</w:t>
      </w:r>
      <w:r w:rsidR="000E698C">
        <w:rPr>
          <w:rFonts w:asciiTheme="majorHAnsi" w:hAnsiTheme="majorHAnsi" w:cstheme="majorHAnsi"/>
        </w:rPr>
        <w:t xml:space="preserve">1) is the </w:t>
      </w:r>
      <w:r w:rsidR="0048141A">
        <w:rPr>
          <w:rFonts w:asciiTheme="majorHAnsi" w:hAnsiTheme="majorHAnsi" w:cstheme="majorHAnsi"/>
        </w:rPr>
        <w:t xml:space="preserve">cumulative </w:t>
      </w:r>
      <w:r w:rsidR="000E698C">
        <w:rPr>
          <w:rFonts w:asciiTheme="majorHAnsi" w:hAnsiTheme="majorHAnsi" w:cstheme="majorHAnsi"/>
        </w:rPr>
        <w:t xml:space="preserve">dose to vital organs </w:t>
      </w:r>
      <w:r w:rsidR="0048141A">
        <w:rPr>
          <w:rFonts w:asciiTheme="majorHAnsi" w:hAnsiTheme="majorHAnsi" w:cstheme="majorHAnsi"/>
        </w:rPr>
        <w:t>at or below the acute threshold</w:t>
      </w:r>
      <w:r w:rsidR="000E698C">
        <w:rPr>
          <w:rFonts w:asciiTheme="majorHAnsi" w:hAnsiTheme="majorHAnsi" w:cstheme="majorHAnsi"/>
        </w:rPr>
        <w:t>, and</w:t>
      </w:r>
      <w:r w:rsidR="0048141A">
        <w:rPr>
          <w:rFonts w:asciiTheme="majorHAnsi" w:hAnsiTheme="majorHAnsi" w:cstheme="majorHAnsi"/>
        </w:rPr>
        <w:t xml:space="preserve"> if not,</w:t>
      </w:r>
      <w:r w:rsidR="000E698C">
        <w:rPr>
          <w:rFonts w:asciiTheme="majorHAnsi" w:hAnsiTheme="majorHAnsi" w:cstheme="majorHAnsi"/>
        </w:rPr>
        <w:t xml:space="preserve"> 2) are the dose-per-day values </w:t>
      </w:r>
      <w:r w:rsidR="0048141A">
        <w:rPr>
          <w:rFonts w:asciiTheme="majorHAnsi" w:hAnsiTheme="majorHAnsi" w:cstheme="majorHAnsi"/>
        </w:rPr>
        <w:t>reasonable due to cumulative dose occurring over an extended period.</w:t>
      </w:r>
    </w:p>
    <w:p w14:paraId="0AF2C71D" w14:textId="6B7B77E2" w:rsidR="00F07D79" w:rsidRDefault="00F07D79" w:rsidP="00F07D79">
      <w:pPr>
        <w:spacing w:line="480" w:lineRule="auto"/>
        <w:jc w:val="both"/>
        <w:rPr>
          <w:rFonts w:asciiTheme="majorHAnsi" w:hAnsiTheme="majorHAnsi" w:cstheme="majorHAnsi"/>
        </w:rPr>
      </w:pPr>
      <w:r>
        <w:rPr>
          <w:rFonts w:asciiTheme="majorHAnsi" w:hAnsiTheme="majorHAnsi" w:cstheme="majorHAnsi"/>
        </w:rPr>
        <w:t>Considering small molecule therapies with Ac-225, in human patients off-trial using experimental Ac-225-PSMA-617 peptide conjugate, the maximum</w:t>
      </w:r>
      <w:r w:rsidR="0048141A">
        <w:rPr>
          <w:rFonts w:asciiTheme="majorHAnsi" w:hAnsiTheme="majorHAnsi" w:cstheme="majorHAnsi"/>
        </w:rPr>
        <w:t xml:space="preserve"> cumulative</w:t>
      </w:r>
      <w:r>
        <w:rPr>
          <w:rFonts w:asciiTheme="majorHAnsi" w:hAnsiTheme="majorHAnsi" w:cstheme="majorHAnsi"/>
        </w:rPr>
        <w:t xml:space="preserve"> dose to the kidneys was tolerated at 16.8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lastRenderedPageBreak/>
        <w:t xml:space="preserve">(3.36 Gy) from 3x fractionated ~7.4 MBq doses (200 nCi each, 5.6 Gy/µCi) </w:t>
      </w:r>
      <w:r>
        <w:rPr>
          <w:rFonts w:asciiTheme="majorHAnsi" w:hAnsiTheme="majorHAnsi" w:cstheme="majorHAnsi"/>
        </w:rPr>
        <w:fldChar w:fldCharType="begin" w:fldLock="1"/>
      </w:r>
      <w:r>
        <w:rPr>
          <w:rFonts w:asciiTheme="majorHAnsi" w:hAnsiTheme="majorHAnsi" w:cstheme="majorHAnsi"/>
        </w:rPr>
        <w:instrText>ADDIN CSL_CITATION {"citationItems":[{"id":"ITEM-1","itemData":{"DOI":"10.2967/jnumed.117.191395","ISSN":"0161-5505","abstract":"The aim of this study was to develop a treatment protocol for 225Ac-PSMA-617 α-radiation therapy in advanced-stage, metastatic castration-resistant prostate cancer patients with prostate-specific membrane antigen (PSMA)-positive tumor phenotype. Methods: A dosimetry estimate was calculated on the basis of time-activity curves derived from serially obtained 177Lu-PSMA-617 scans extrapolated to the physical half-life of 225Ac, assuming instant decay of unstable daughter nuclides. Salvage therapies empirically conducted with 50 (n = 4), 100 (n = 4), 150 (n = 2), and 200 kBq/kg (n = 4) of 225Ac-PSMA-617 were evaluated retrospectively regarding toxicity and treatment response. Eight of 14 patients received further cycles in either 2- or 4-mo intervals with identical or deescalated activities. Results: Dosimetry estimates for 1 MBq of 225Ac-PSMA-617 assuming a relative biologic effectiveness of 5 revealed mean doses of 2.3 Sv for salivary glands, 0.7 Sv for kidneys, and 0.05 Sv for red marrow that are composed of 99.4% α, 0.5% β, and 0.1% photon radiation, respectively. In clinical application, severe xerostomia became the dose-limiting toxicity if treatment activity exceeded 100 kBq/kg per cycle. At 100 kBq/kg, the duration of prostate-specific antigen decline was less than 4 mo, but if therapy was repeated every 2 mo patients experienced additive antitumor effects. Treatment activities of 50 kBq/kg were without toxicity but induced insufficient antitumor response in these high-tumor-burden patients. Remarkable antitumor activity by means of objective radiologic response or tumor marker decline was observed in 9 of 11 evaluable patients. Conclusion: For advanced-stage patients, a treatment activity of 100 kBq/kg of 225Ac-PSMA-617 per cycle repeated every 8 wk presents a reasonable trade-off between toxicity and biochemical response.","author":[{"dropping-particle":"","family":"Kratochwil","given":"Clemens","non-dropping-particle":"","parse-names":false,"suffix":""},{"dropping-particle":"","family":"Bruchertseifer","given":"Frank","non-dropping-particle":"","parse-names":false,"suffix":""},{"dropping-particle":"","family":"Rathke","given":"Hendrik","non-dropping-particle":"","parse-names":false,"suffix":""},{"dropping-particle":"","family":"Bronzel","given":"Marcus","non-dropping-particle":"","parse-names":false,"suffix":""},{"dropping-particle":"","family":"Apostolidis","given":"Christos","non-dropping-particle":"","parse-names":false,"suffix":""},{"dropping-particle":"","family":"Weichert","given":"Wilko","non-dropping-particle":"","parse-names":false,"suffix":""},{"dropping-particle":"","family":"Haberkorn","given":"Uwe","non-dropping-particle":"","parse-names":false,"suffix":""},{"dropping-particle":"","family":"Giesel","given":"Frederik L.","non-dropping-particle":"","parse-names":false,"suffix":""},{"dropping-particle":"","family":"Morgenstern","given":"Alfred","non-dropping-particle":"","parse-names":false,"suffix":""}],"container-title":"Journal of Nuclear Medicine","id":"ITEM-1","issue":"10","issued":{"date-parts":[["2017"]]},"page":"1624-1631","title":"Targeted α-Therapy of Metastatic Castration-Resistant Prostate Cancer with 225 Ac-PSMA-617: Dosimetry Estimate and Empiric Dose Finding","type":"article-journal","volume":"58"},"uris":["http://www.mendeley.com/documents/?uuid=17c6b6f6-7102-487d-b853-70017349e828"]},{"id":"ITEM-2","itemData":{"DOI":"10.1007/s00259-018-4167-0","ISSN":"1619-7070","abstract":"Background A remarkable therapeutic efficacy has been demonstrated with 225 Ac-prostate-specific membrane antigen (PSMA)-617 in heavily pre-treated metastatic castration-resistant prostate cancer (mCRPC) patients. We report our experience with 225 Ac-PSMA-617 therapy in chemotherapy-naïve patients with advanced metastatic prostate carcinoma. Methods Seventeen patients with advanced prostate cancer were selected for treatment with 225 Ac-PSMA-617 in 2-month intervals, with initial activity of 8 MBq, then de-escalation to 7 MBq, 6 MBq or 4 MBq in cases of good response. In one patient, activity was escalated to 13 MBq in the third cycle. Fourteen patients had three treatment cycles administered, while in three patients treatment was discontinued after two cycles due to good response. Six out of 17 patients received additional treatments after the third cycle. Prostate-specific antigen (PSA) was measured every 4 weeks for PSA response assessment. 68 Ga-PSMA-PET/CT was used for functional response assessment before each subsequent treatment cycle. Serial full blood count, renal function test, and liver function were obtained to determine treatment-related side effects. Results Good antitumor activity assessed by serum PSA level and 68 Ga-PSMA-PET/CT was seen in 16/17 patients. In 14/17 patients, PSA decline ≥90% was seen after treatment, including seven patients with undetectable serum PSA following two (2/7) or three cycles (5/7) cycles of 225 Ac-PSMA-617. Fifteen of 17 patients had a &gt; 50% decline in lesions avidity for tracer on 68 Ga-PSMA-PET/CT including 11 patients with complete resolution (PET-negative and either stable sclerosis on CT for bone or resolution of lymph node metastases) of all metastatic lesions. Grade 1/2 xerostomia was seen in all patients, and none was severe enough to lead to discontinuation of treatment. One patient had with extensive bone marrow metastases and a background anemia developed a grade 3 anemia while another patient with solitary kidney and pre-treatment grade 3 renal failure developed grade 4 renal toxicity following treatment. The group presented with significant palliation of bone pain and reduced toxicity to salivary glands due to de-escalation. Conclusions 225 Ac-PSMA-617 RLT of chemotherapy-naïve patients with advanced metastatic prostate carcinoma led to a ≥ 90% decline in serum PSA in 82% of patients including 41% of patients with undetectable serum PSA who remained in remission 12 months after therapy. The rem…","author":[{"dropping-particle":"","family":"Lengana","given":"Thabo","non-dropping-particle":"","parse-names":false,"suffix":""},{"dropping-particle":"","family":"Mahapane","given":"Johncy","non-dropping-particle":"","parse-names":false,"suffix":""},{"dropping-particle":"","family":"Lawal","given":"Ismaheel","non-dropping-particle":"","parse-names":false,"suffix":""},{"dropping-particle":"","family":"Vorster","given":"Mariza","non-dropping-particle":"","parse-names":false,"suffix":""},{"dropping-particle":"","family":"Reyneke","given":"Florette","non-dropping-particle":"","parse-names":false,"suffix":""},{"dropping-particle":"","family":"Davis","given":"Cindy","non-dropping-particle":"","parse-names":false,"suffix":""},{"dropping-particle":"","family":"Morgenstern","given":"Alfred","non-dropping-particle":"","parse-names":false,"suffix":""},{"dropping-particle":"","family":"Corbett","given":"Ceceila","non-dropping-particle":"","parse-names":false,"suffix":""},{"dropping-particle":"","family":"Knoesen","given":"Otto","non-dropping-particle":"","parse-names":false,"suffix":""},{"dropping-particle":"","family":"Sathekge","given":"Mike","non-dropping-particle":"","parse-names":false,"suffix":""},{"dropping-particle":"","family":"Bruchertseifer","given":"Frank","non-dropping-particle":"","parse-names":false,"suffix":""}],"container-title":"European Journal of Nuclear Medicine and Molecular Imaging","id":"ITEM-2","issue":"1","issued":{"date-parts":[["2018"]]},"page":"129-138","publisher":"European Journal of Nuclear Medicine and Molecular Imaging","title":"225Ac-PSMA-617 in chemotherapy-naive patients with advanced prostate cancer: a pilot study","type":"article-journal","volume":"46"},"uris":["http://www.mendeley.com/documents/?uuid=fa2e10b7-fd02-4c6f-ab82-ca39048a39b8"]}],"mendeley":{"formattedCitation":"&lt;sup&gt;8,9&lt;/sup&gt;","plainTextFormattedCitation":"8,9","previouslyFormattedCitation":"&lt;sup&gt;7,8&lt;/sup&gt;"},"properties":{"noteIndex":0},"schema":"https://github.com/citation-style-language/schema/raw/master/csl-citation.json"}</w:instrText>
      </w:r>
      <w:r>
        <w:rPr>
          <w:rFonts w:asciiTheme="majorHAnsi" w:hAnsiTheme="majorHAnsi" w:cstheme="majorHAnsi"/>
        </w:rPr>
        <w:fldChar w:fldCharType="separate"/>
      </w:r>
      <w:r w:rsidRPr="007E09D5">
        <w:rPr>
          <w:rFonts w:asciiTheme="majorHAnsi" w:hAnsiTheme="majorHAnsi" w:cstheme="majorHAnsi"/>
          <w:noProof/>
          <w:vertAlign w:val="superscript"/>
        </w:rPr>
        <w:t>8,9</w:t>
      </w:r>
      <w:r>
        <w:rPr>
          <w:rFonts w:asciiTheme="majorHAnsi" w:hAnsiTheme="majorHAnsi" w:cstheme="majorHAnsi"/>
        </w:rPr>
        <w:fldChar w:fldCharType="end"/>
      </w:r>
      <w:r>
        <w:rPr>
          <w:rFonts w:asciiTheme="majorHAnsi" w:hAnsiTheme="majorHAnsi" w:cstheme="majorHAnsi"/>
        </w:rPr>
        <w:t>, with a recognized 27 Sv</w:t>
      </w:r>
      <w:r>
        <w:rPr>
          <w:rFonts w:asciiTheme="majorHAnsi" w:hAnsiTheme="majorHAnsi" w:cstheme="majorHAnsi"/>
          <w:vertAlign w:val="subscript"/>
        </w:rPr>
        <w:t>RBE5</w:t>
      </w:r>
      <w:r>
        <w:rPr>
          <w:rFonts w:asciiTheme="majorHAnsi" w:hAnsiTheme="majorHAnsi" w:cstheme="majorHAnsi"/>
        </w:rPr>
        <w:t xml:space="preserve"> as the MTD (5.4 Gy) </w:t>
      </w:r>
      <w:r>
        <w:rPr>
          <w:rFonts w:asciiTheme="majorHAnsi" w:hAnsiTheme="majorHAnsi" w:cstheme="majorHAnsi"/>
        </w:rPr>
        <w:fldChar w:fldCharType="begin" w:fldLock="1"/>
      </w:r>
      <w:r>
        <w:rPr>
          <w:rFonts w:asciiTheme="majorHAnsi" w:hAnsiTheme="majorHAnsi" w:cstheme="majorHAnsi"/>
        </w:rPr>
        <w:instrText>ADDIN CSL_CITATION {"citationItems":[{"id":"ITEM-1","itemData":{"DOI":"10.1007/s00259-017-3817-y","ISSN":"16197089","abstract":"© 2017, The Author(s). Purpose: PSMA-617 is a small molecule targeting the prostate-specific membrane antigen (PSMA). In this work, we estimate the radiation dosimetry for this ligand labeled with the alpha-emitter213Bi. Methods: Three patients with metastatic prostate cancer underwent PET scans 0.1 h, 1 h, 2 h, 3 h, 4 h and 5 h after injection of68Ga-PSMA-617. Source organs were kidneys, liver, spleen, salivary glands, bladder, red marrow and representative tumor lesions. The imaging nuclide68Ga was extrapolated to the half-life of213Bi. The residence times of213Bi were forwarded to the instable daughter nuclides. OLINDA was used for dosimetry calculation. Results are discussed in comparison to literature data for225Ac-PSMA-617. Results: Assuming a relative biological effectiveness of 5 for alpha radiation, the dosimetry estimate revealed equivalent doses of mean 8.1 SvRBE5/GBq for salivary glands, 8.1 SvRBE5/GBq for kidneys and 0.52 SvRBE5/GBq for red marrow. Liver (1.2 SvRBE5/GBq), spleen (1.4 SvRBE5/GBq), bladder (0.28 SvRBE5/GBq) and other organs (0.26 SvRBE5/GBq) were not dose-limiting. The effective dose is 0.56 SvRBE5/GBq. Tumor lesions were in the range 3.2–9.0 SvRBE5/GBq (median 7.6 SvRBE5/GBq). Kidneys would limit the cumulative treatment activity to 3.7 GBq; red marrow might limit the maximum single fraction to 2 GBq. Despite promising results, the therapeutic index was inferior compared to225Ac-PSMA-617. Conclusions: Dosimetry of213Bi-PSMA-617 is in a range traditionally considered reasonable for clinical application. Nevertheless, compared to225Ac-PSMA-617, it suffers from higher perfusion-dependent off-target radiation and a longer biological half-life of PSMA-617 in dose-limiting organs than the physical half-life of213Bi, rendering this nuclide as a second choice radiolabel for targeted alpha therapy of prostate cancer.","author":[{"dropping-particle":"","family":"Kratochwil","given":"Clemens","non-dropping-particle":"","parse-names":false,"suffix":""},{"dropping-particle":"","family":"Schmidt","given":"Karl","non-dropping-particle":"","parse-names":false,"suffix":""},{"dropping-particle":"","family":"Afshar-Oromieh","given":"Ali","non-dropping-particle":"","parse-names":false,"suffix":""},{"dropping-particle":"","family":"Bruchertseifer","given":"Frank","non-dropping-particle":"","parse-names":false,"suffix":""},{"dropping-particle":"","family":"Rathke","given":"Hendrik","non-dropping-particle":"","parse-names":false,"suffix":""},{"dropping-particle":"","family":"Morgenstern","given":"Alfred","non-dropping-particle":"","parse-names":false,"suffix":""},{"dropping-particle":"","family":"Haberkorn","given":"Uwe","non-dropping-particle":"","parse-names":false,"suffix":""},{"dropping-particle":"","family":"Giesel","given":"Frederik L.","non-dropping-particle":"","parse-names":false,"suffix":""}],"container-title":"European Journal of Nuclear Medicine and Molecular Imaging","id":"ITEM-1","issue":"1","issued":{"date-parts":[["2018"]]},"page":"31-37","publisher":"European Journal of Nuclear Medicine and Molecular Imaging","title":"Targeted alpha therapy of mCRPC: Dosimetry estimate of 213Bismuth-PSMA-617","type":"article-journal","volume":"45"},"uris":["http://www.mendeley.com/documents/?uuid=2d3b16fc-d66f-4bed-bb19-4e0fa68a61da"]}],"mendeley":{"formattedCitation":"&lt;sup&gt;10&lt;/sup&gt;","plainTextFormattedCitation":"10","previouslyFormattedCitation":"&lt;sup&gt;9&lt;/sup&gt;"},"properties":{"noteIndex":0},"schema":"https://github.com/citation-style-language/schema/raw/master/csl-citation.json"}</w:instrText>
      </w:r>
      <w:r>
        <w:rPr>
          <w:rFonts w:asciiTheme="majorHAnsi" w:hAnsiTheme="majorHAnsi" w:cstheme="majorHAnsi"/>
        </w:rPr>
        <w:fldChar w:fldCharType="separate"/>
      </w:r>
      <w:r w:rsidRPr="007E09D5">
        <w:rPr>
          <w:rFonts w:asciiTheme="majorHAnsi" w:hAnsiTheme="majorHAnsi" w:cstheme="majorHAnsi"/>
          <w:noProof/>
          <w:vertAlign w:val="superscript"/>
        </w:rPr>
        <w:t>10</w:t>
      </w:r>
      <w:r>
        <w:rPr>
          <w:rFonts w:asciiTheme="majorHAnsi" w:hAnsiTheme="majorHAnsi" w:cstheme="majorHAnsi"/>
        </w:rPr>
        <w:fldChar w:fldCharType="end"/>
      </w:r>
      <w:r>
        <w:rPr>
          <w:rFonts w:asciiTheme="majorHAnsi" w:hAnsiTheme="majorHAnsi" w:cstheme="majorHAnsi"/>
        </w:rPr>
        <w:t xml:space="preserve">. </w:t>
      </w:r>
      <w:commentRangeStart w:id="0"/>
      <w:r>
        <w:rPr>
          <w:rFonts w:asciiTheme="majorHAnsi" w:hAnsiTheme="majorHAnsi" w:cstheme="majorHAnsi"/>
        </w:rPr>
        <w:t>For protein based Ac-225 radioimmunoconjugates, clinicaltrials.org shows six recruiting/active/completed phase I studies in the United States, however dose estimate data could not be found.</w:t>
      </w:r>
      <w:commentRangeEnd w:id="0"/>
      <w:r>
        <w:rPr>
          <w:rStyle w:val="CommentReference"/>
        </w:rPr>
        <w:commentReference w:id="0"/>
      </w:r>
      <w:r>
        <w:rPr>
          <w:rFonts w:asciiTheme="majorHAnsi" w:hAnsiTheme="majorHAnsi" w:cstheme="majorHAnsi"/>
        </w:rPr>
        <w:t xml:space="preserve"> Nonetheless for an estimate, in mice, there have been a few studies reporting a variety of ranges for radioimmunoconjugate dosimetry. In one study with Ac-225-HuM195 antibody conjugates, an upper-end kidney dose of 27.6 Gy (138 Sv</w:t>
      </w:r>
      <w:r>
        <w:rPr>
          <w:rFonts w:asciiTheme="majorHAnsi" w:hAnsiTheme="majorHAnsi" w:cstheme="majorHAnsi"/>
          <w:vertAlign w:val="subscript"/>
        </w:rPr>
        <w:t>RBE5</w:t>
      </w:r>
      <w:r>
        <w:rPr>
          <w:rFonts w:asciiTheme="majorHAnsi" w:hAnsiTheme="majorHAnsi" w:cstheme="majorHAnsi"/>
        </w:rPr>
        <w:t xml:space="preserve">) was tolerated with the additional administration of a kidney protectant from 350 nCi administration to SCID mice, giving (79 Gy/µCi)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{"citationItems":[{"id":"ITEM-1","itemData":{"DOI":"10.1016/j.ijrobp.2005.11.036","ISSN":"03603016","PMID":"16503385","abstract":"Purpose: Internal irradiation of kidneys as a consequence of radioimmunotherapy, radiation accidents, or nuclear terrorism can result in radiation nephropathy. We attempted to modify pharmacologically, the functional and morphologic changes in mouse kidneys after injection with the actinium (225Ac) nanogenerator, an in vivo generator of α- and β-particle emitting elements. Methods and Materials: The animals were injected with 0.35 μCi of the225Ac nanogenerator, which delivers a dose of 27.6 Gy to the kidneys. Then, they were randomized to receive captopril (angiotensin-converting enzyme inhibitor), L-158,809 (angiotensin II receptor-1 blocker), spironolactone (aldosterone receptor antagonist), or a placebo. Results: Forty weeks after the225Ac injection, the placebo-control mice showed a significant increase in blood urea nitrogen (BUN) (87.6 ± 6.9 mg/dL), dilated Bowman spaces, and tubulolysis with basement membrane thickening. Captopril treatment accentuated the functional (BUN 119.0 ± 4.0 mg/dL; p &lt;0.01 vs. placebo controls) and histopathologic damage. In contrast, L-158,809 offered moderate protection (BUN 66.6 ± 3.9 mg/dL; p = 0.02 vs. placebo controls). Spironolactone treatment, however, significantly prevented the development of histopathologic and functional changes (BUN 31.2 ± 2.5 mg/dL; p &lt;0.001 vs. placebo controls). Conclusions: Low-dose spironolactone and, to a lesser extent, angiotensin receptor-1 blockade can offer renal protection in a mouse model of internal α-particle irradiation. © 2006 Elsevier Inc.","author":[{"dropping-particle":"","family":"Jaggi","given":"Jaspreet Singh","non-dropping-particle":"","parse-names":false,"suffix":""},{"dropping-particle":"V.","family":"Seshan","given":"Surya","non-dropping-particle":"","parse-names":false,"suffix":""},{"dropping-particle":"","family":"McDevitt","given":"Michael R.","non-dropping-particle":"","parse-names":false,"suffix":""},{"dropping-particle":"","family":"Sgouros","given":"George","non-dropping-particle":"","parse-names":false,"suffix":""},{"dropping-particle":"","family":"Hyjek","given":"Elizabeth","non-dropping-particle":"","parse-names":false,"suffix":""},{"dropping-particle":"","family":"Scheinberg","given":"David A.","non-dropping-particle":"","parse-names":false,"suffix":""}],"container-title":"International Journal of Radiation Oncology Biology Physics","id":"ITEM-1","issue":"5","issued":{"date-parts":[["2006"]]},"page":"1503-1512","title":"Mitigation of radiation nephropathy after internal α-particle irradiation of kidneys","type":"article-journal","volume":"64"},"uris":["http://www.mendeley.com/documents/?uuid=5f58edc5-ef9b-4464-9ab6-586b8239a83c"]}],"mendeley":{"formattedCitation":"&lt;sup&gt;11&lt;/sup&gt;","plainTextFormattedCitation":"11","previouslyFormattedCitation":"&lt;sup&gt;10&lt;/sup&gt;"},"properties":{"noteIndex":0},"schema":"https://github.com/citation-style-language/schema/raw/master/csl-citation.json"}</w:instrText>
      </w:r>
      <w:r>
        <w:rPr>
          <w:rFonts w:asciiTheme="majorHAnsi" w:hAnsiTheme="majorHAnsi" w:cstheme="majorHAnsi"/>
        </w:rPr>
        <w:fldChar w:fldCharType="separate"/>
      </w:r>
      <w:r w:rsidRPr="007E09D5">
        <w:rPr>
          <w:rFonts w:asciiTheme="majorHAnsi" w:hAnsiTheme="majorHAnsi" w:cstheme="majorHAnsi"/>
          <w:noProof/>
          <w:vertAlign w:val="superscript"/>
        </w:rPr>
        <w:t>11</w:t>
      </w:r>
      <w:r>
        <w:rPr>
          <w:rFonts w:asciiTheme="majorHAnsi" w:hAnsiTheme="majorHAnsi" w:cstheme="majorHAnsi"/>
        </w:rPr>
        <w:fldChar w:fldCharType="end"/>
      </w:r>
      <w:r>
        <w:rPr>
          <w:rFonts w:asciiTheme="majorHAnsi" w:hAnsiTheme="majorHAnsi" w:cstheme="majorHAnsi"/>
        </w:rPr>
        <w:t xml:space="preserve">. In another with a lower end range, Ac-225-DOTA-anti-PD-L1-BC conjugates delivered to </w:t>
      </w:r>
      <w:r w:rsidRPr="00C026AE">
        <w:rPr>
          <w:rFonts w:asciiTheme="majorHAnsi" w:hAnsiTheme="majorHAnsi" w:cstheme="majorHAnsi"/>
          <w:i/>
        </w:rPr>
        <w:t>neu</w:t>
      </w:r>
      <w:r>
        <w:rPr>
          <w:rFonts w:asciiTheme="majorHAnsi" w:hAnsiTheme="majorHAnsi" w:cstheme="majorHAnsi"/>
        </w:rPr>
        <w:t xml:space="preserve">-N </w:t>
      </w:r>
      <w:r w:rsidRPr="00C026AE">
        <w:rPr>
          <w:rFonts w:asciiTheme="majorHAnsi" w:hAnsiTheme="majorHAnsi" w:cstheme="majorHAnsi"/>
        </w:rPr>
        <w:t>mice</w:t>
      </w:r>
      <w:r>
        <w:rPr>
          <w:rFonts w:asciiTheme="majorHAnsi" w:hAnsiTheme="majorHAnsi" w:cstheme="majorHAnsi"/>
        </w:rPr>
        <w:t xml:space="preserve"> at a 15 kBq dose (405 nCi) created absorbed doses of 9.2 Gy kidneys (22.7 Gy/uCi, 46 Sv</w:t>
      </w:r>
      <w:r>
        <w:rPr>
          <w:rFonts w:asciiTheme="majorHAnsi" w:hAnsiTheme="majorHAnsi" w:cstheme="majorHAnsi"/>
          <w:vertAlign w:val="subscript"/>
        </w:rPr>
        <w:t>RBE5</w:t>
      </w:r>
      <w:r>
        <w:rPr>
          <w:rFonts w:asciiTheme="majorHAnsi" w:hAnsiTheme="majorHAnsi" w:cstheme="majorHAnsi"/>
        </w:rPr>
        <w:t>), 11.1 Gy liver (27.4 Gy/µCi, 55.5 Sv</w:t>
      </w:r>
      <w:r>
        <w:rPr>
          <w:rFonts w:asciiTheme="majorHAnsi" w:hAnsiTheme="majorHAnsi" w:cstheme="majorHAnsi"/>
          <w:vertAlign w:val="subscript"/>
        </w:rPr>
        <w:t>RBE5</w:t>
      </w:r>
      <w:r>
        <w:rPr>
          <w:rFonts w:asciiTheme="majorHAnsi" w:hAnsiTheme="majorHAnsi" w:cstheme="majorHAnsi"/>
        </w:rPr>
        <w:t>), and 2 Gy spleen (4.9 Gy/µCi, 10 Sv</w:t>
      </w:r>
      <w:r>
        <w:rPr>
          <w:rFonts w:asciiTheme="majorHAnsi" w:hAnsiTheme="majorHAnsi" w:cstheme="majorHAnsi"/>
          <w:vertAlign w:val="subscript"/>
        </w:rPr>
        <w:t>RBE5</w:t>
      </w:r>
      <w:r>
        <w:rPr>
          <w:rFonts w:asciiTheme="majorHAnsi" w:hAnsiTheme="majorHAnsi" w:cstheme="majorHAnsi"/>
        </w:rPr>
        <w:t xml:space="preserve">) </w:t>
      </w:r>
      <w:r>
        <w:rPr>
          <w:rFonts w:asciiTheme="majorHAnsi" w:hAnsiTheme="majorHAnsi" w:cstheme="majorHAnsi"/>
        </w:rPr>
        <w:fldChar w:fldCharType="begin" w:fldLock="1"/>
      </w:r>
      <w:r>
        <w:rPr>
          <w:rFonts w:asciiTheme="majorHAnsi" w:hAnsiTheme="majorHAnsi" w:cstheme="majorHAnsi"/>
        </w:rPr>
        <w:instrText>ADDIN CSL_CITATION {"citationItems":[{"id":"ITEM-1","itemData":{"DOI":"10.1186/s13550-017-0303-2","ISSN":"2191219X","abstract":"BACKGROUND Studies combining immune checkpoint inhibitors with external beam radiation have shown a therapeutic advantage over each modality alone. The purpose of these works is to evaluate the potential of targeted delivery of high LET radiation to the tumor microenvironment via an immune checkpoint inhibitor. METHODS The impact of protein concentration on the distribution of 111In-DTPA-anti-PD-L1-BC, an 111In-antibody conjugate targeted to PD-L1, was evaluated in an immunocompetent mouse model of breast cancer. 225Ac-DOTA-anti-PD-L1-BC was evaluated by both macroscale (ex vivo biodistribution) and microscale (alpha-camera images at a protein concentration determined by the 111In data. RESULTS The evaluation of 111In-DTPA-anti-PD-L1-BC at 1, 3, and 10 mg/kg highlighted the impact of protein concentration on the distribution of the labeled antibody, particularly in the blood, spleen, thymus, and tumor. Alpha-camera images for the microscale distribution of 225Ac-DOTA-anti-PD-L1-BC showed a uniform distribution in the liver while highly non-uniform distributions were obtained in the thymus, spleen, kidney, and tumor. At an antibody dose of 3 mg/kg, the liver was dose-limiting with an absorbed dose of 738 mGy/kBq; based upon blood activity concentration measurements, the marrow absorbed dose was 29 mGy/kBq. CONCLUSIONS These studies demonstrate that 225Ac-DOTA-anti-PD-L1-BC is capable of delivering high LET radiation to PD-L1 tumors. The use of a surrogate SPECT agent, 111In-DTPA-anti-PD-L1-BC, is beneficial in optimizing the dose delivered to the tumor sites. Furthermore, an accounting of the microscale distribution of the antibody in preclinical studies was essential to the proper interpretation of organ absorbed doses and their likely relation to biologic effect.","author":[{"dropping-particle":"","family":"Nedrow","given":"Jessie R.","non-dropping-particle":"","parse-names":false,"suffix":""},{"dropping-particle":"","family":"Josefsson","given":"Anders","non-dropping-particle":"","parse-names":false,"suffix":""},{"dropping-particle":"","family":"Park","given":"Sunju","non-dropping-particle":"","parse-names":false,"suffix":""},{"dropping-particle":"","family":"Bäck","given":"Tom","non-dropping-particle":"","parse-names":false,"suffix":""},{"dropping-particle":"","family":"Hobbs","given":"Robert F.","non-dropping-particle":"","parse-names":false,"suffix":""},{"dropping-particle":"","family":"Brayton","given":"Cory","non-dropping-particle":"","parse-names":false,"suffix":""},{"dropping-particle":"","family":"Bruchertseifer","given":"Frank","non-dropping-particle":"","parse-names":false,"suffix":""},{"dropping-particle":"","family":"Morgenstern","given":"Alfred","non-dropping-particle":"","parse-names":false,"suffix":""},{"dropping-particle":"","family":"Sgouros","given":"George","non-dropping-particle":"","parse-names":false,"suffix":""}],"container-title":"EJNMMI Research","id":"ITEM-1","issued":{"date-parts":[["2017"]]},"publisher":"EJNMMI Research","title":"Pharmacokinetics, microscale distribution, and dosimetry of alpha-emitter-labeled anti-PD-L1 antibodies in an immune competent transgenic breast cancer model","type":"article-journal","volume":"7"},"uris":["http://www.mendeley.com/documents/?uuid=992a9152-a233-485a-ba0e-649f57c396a2"]}],"mendeley":{"formattedCitation":"&lt;sup&gt;12&lt;/sup&gt;","plainTextFormattedCitation":"12","previouslyFormattedCitation":"&lt;sup&gt;11&lt;/sup&gt;"},"properties":{"noteIndex":0},"schema":"https://github.com/citation-style-language/schema/raw/master/csl-citation.json"}</w:instrText>
      </w:r>
      <w:r>
        <w:rPr>
          <w:rFonts w:asciiTheme="majorHAnsi" w:hAnsiTheme="majorHAnsi" w:cstheme="majorHAnsi"/>
        </w:rPr>
        <w:fldChar w:fldCharType="separate"/>
      </w:r>
      <w:r w:rsidRPr="007E09D5">
        <w:rPr>
          <w:rFonts w:asciiTheme="majorHAnsi" w:hAnsiTheme="majorHAnsi" w:cstheme="majorHAnsi"/>
          <w:noProof/>
          <w:vertAlign w:val="superscript"/>
        </w:rPr>
        <w:t>12</w:t>
      </w:r>
      <w:r>
        <w:rPr>
          <w:rFonts w:asciiTheme="majorHAnsi" w:hAnsiTheme="majorHAnsi" w:cstheme="majorHAnsi"/>
        </w:rPr>
        <w:fldChar w:fldCharType="end"/>
      </w:r>
      <w:r>
        <w:rPr>
          <w:rFonts w:asciiTheme="majorHAnsi" w:hAnsiTheme="majorHAnsi" w:cstheme="majorHAnsi"/>
        </w:rPr>
        <w:t xml:space="preserve">. These values are, as is typical, markedly higher for mice than for humans. </w:t>
      </w:r>
    </w:p>
    <w:p w14:paraId="3EB149FB" w14:textId="04203084" w:rsidR="00BC0E45" w:rsidRDefault="00BC0E45" w:rsidP="00BC0E45">
      <w:pPr>
        <w:spacing w:line="480" w:lineRule="auto"/>
        <w:jc w:val="both"/>
        <w:rPr>
          <w:rFonts w:asciiTheme="majorHAnsi" w:hAnsiTheme="majorHAnsi" w:cstheme="majorHAnsi"/>
        </w:rPr>
      </w:pPr>
      <w:r>
        <w:rPr>
          <w:rFonts w:asciiTheme="majorHAnsi" w:hAnsiTheme="majorHAnsi" w:cstheme="majorHAnsi"/>
        </w:rPr>
        <w:t xml:space="preserve">In our study, Trastuzumab-DOTA-Ac conjugates administered to NOD SCID mice showed the anticipated biodistribution, considering antibodies are often distributed to immune-functioning organs such as the spleen, liver, and targeted tumor </w:t>
      </w:r>
      <w:r>
        <w:rPr>
          <w:rFonts w:asciiTheme="majorHAnsi" w:hAnsiTheme="majorHAnsi" w:cstheme="majorHAnsi"/>
        </w:rPr>
        <w:fldChar w:fldCharType="begin" w:fldLock="1"/>
      </w:r>
      <w:r>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2&lt;/sup&gt;","plainTextFormattedCitation":"2","previouslyFormattedCitation":"&lt;sup&gt;2&lt;/sup&gt;"},"properties":{"noteIndex":0},"schema":"https://github.com/citation-style-language/schema/raw/master/csl-citation.json"}</w:instrText>
      </w:r>
      <w:r>
        <w:rPr>
          <w:rFonts w:asciiTheme="majorHAnsi" w:hAnsiTheme="majorHAnsi" w:cstheme="majorHAnsi"/>
        </w:rPr>
        <w:fldChar w:fldCharType="separate"/>
      </w:r>
      <w:r w:rsidRPr="00047FA0">
        <w:rPr>
          <w:rFonts w:asciiTheme="majorHAnsi" w:hAnsiTheme="majorHAnsi" w:cstheme="majorHAnsi"/>
          <w:noProof/>
          <w:vertAlign w:val="superscript"/>
        </w:rPr>
        <w:t>2</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xml:space="preserve">). Also typical was DOTA-Ac complex biodistribution in healthy Swiss-Webster mice, where DOTA displayed rapid renal clearance </w:t>
      </w:r>
      <w:r>
        <w:rPr>
          <w:rFonts w:asciiTheme="majorHAnsi" w:hAnsiTheme="majorHAnsi" w:cstheme="majorHAnsi"/>
        </w:rPr>
        <w:fldChar w:fldCharType="begin" w:fldLock="1"/>
      </w:r>
      <w:r>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3&lt;/sup&gt;","plainTextFormattedCitation":"3","previouslyFormattedCitation":"&lt;sup&gt;3&lt;/sup&gt;"},"properties":{"noteIndex":0},"schema":"https://github.com/citation-style-language/schema/raw/master/csl-citation.json"}</w:instrText>
      </w:r>
      <w:r>
        <w:rPr>
          <w:rFonts w:asciiTheme="majorHAnsi" w:hAnsiTheme="majorHAnsi" w:cstheme="majorHAnsi"/>
        </w:rPr>
        <w:fldChar w:fldCharType="separate"/>
      </w:r>
      <w:r w:rsidRPr="00047FA0">
        <w:rPr>
          <w:rFonts w:asciiTheme="majorHAnsi" w:hAnsiTheme="majorHAnsi" w:cstheme="majorHAnsi"/>
          <w:noProof/>
          <w:vertAlign w:val="superscript"/>
        </w:rPr>
        <w:t>3</w:t>
      </w:r>
      <w:r>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b/>
        </w:rPr>
        <w:t>Figure 2</w:t>
      </w:r>
      <w:r>
        <w:rPr>
          <w:rFonts w:asciiTheme="majorHAnsi" w:hAnsiTheme="majorHAnsi" w:cstheme="majorHAnsi"/>
        </w:rPr>
        <w:t>). While there is higher kidney distribution than other organs, the rapid renal clearance resulted in over an order of magnitude lower kidney dose (</w:t>
      </w:r>
      <w:r>
        <w:rPr>
          <w:rFonts w:asciiTheme="majorHAnsi" w:hAnsiTheme="majorHAnsi" w:cstheme="majorHAnsi"/>
          <w:b/>
        </w:rPr>
        <w:t>Figure 4</w:t>
      </w:r>
      <w:r>
        <w:rPr>
          <w:rFonts w:asciiTheme="majorHAnsi" w:hAnsiTheme="majorHAnsi" w:cstheme="majorHAnsi"/>
        </w:rPr>
        <w:t xml:space="preserve">) due to the long circulatory half-life of Ac-225 and Ac-227 antibody conjugates. Contrasting to DOTA, our HOPO control group typically shows primarily hepatic clearance </w:t>
      </w:r>
      <w:r>
        <w:rPr>
          <w:rFonts w:asciiTheme="majorHAnsi" w:hAnsiTheme="majorHAnsi" w:cstheme="majorHAnsi"/>
        </w:rPr>
        <w:fldChar w:fldCharType="begin" w:fldLock="1"/>
      </w:r>
      <w:r>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4&lt;/sup&gt;","plainTextFormattedCitation":"4","previouslyFormattedCitation":"&lt;sup&gt;4&lt;/sup&gt;"},"properties":{"noteIndex":0},"schema":"https://github.com/citation-style-language/schema/raw/master/csl-citation.json"}</w:instrText>
      </w:r>
      <w:r>
        <w:rPr>
          <w:rFonts w:asciiTheme="majorHAnsi" w:hAnsiTheme="majorHAnsi" w:cstheme="majorHAnsi"/>
        </w:rPr>
        <w:fldChar w:fldCharType="separate"/>
      </w:r>
      <w:r w:rsidRPr="00047FA0">
        <w:rPr>
          <w:rFonts w:asciiTheme="majorHAnsi" w:hAnsiTheme="majorHAnsi" w:cstheme="majorHAnsi"/>
          <w:noProof/>
          <w:vertAlign w:val="superscript"/>
        </w:rPr>
        <w:t>4</w:t>
      </w:r>
      <w:r>
        <w:rPr>
          <w:rFonts w:asciiTheme="majorHAnsi" w:hAnsiTheme="majorHAnsi" w:cstheme="majorHAnsi"/>
        </w:rPr>
        <w:fldChar w:fldCharType="end"/>
      </w:r>
      <w:r>
        <w:rPr>
          <w:rFonts w:asciiTheme="majorHAnsi" w:hAnsiTheme="majorHAnsi" w:cstheme="majorHAnsi"/>
        </w:rPr>
        <w:t>, and accordingly the liver showed the largest portions of distribution (</w:t>
      </w:r>
      <w:r w:rsidRPr="005117C4">
        <w:rPr>
          <w:rFonts w:asciiTheme="majorHAnsi" w:hAnsiTheme="majorHAnsi" w:cstheme="majorHAnsi"/>
          <w:b/>
        </w:rPr>
        <w:t>Figure S</w:t>
      </w:r>
      <w:r>
        <w:rPr>
          <w:rFonts w:asciiTheme="majorHAnsi" w:hAnsiTheme="majorHAnsi" w:cstheme="majorHAnsi"/>
          <w:b/>
        </w:rPr>
        <w:t>3</w:t>
      </w:r>
      <w:r>
        <w:rPr>
          <w:rFonts w:asciiTheme="majorHAnsi" w:hAnsiTheme="majorHAnsi" w:cstheme="majorHAnsi"/>
        </w:rPr>
        <w:t xml:space="preserve">). Comparing our cumulative mouse dose modeling data to the literature values, the cumulative Ac-225 dose maximum to the liver after 100 and 125 days for DOTA-Ac-227 and Trastuzumab-DOTA-Ac-225 respectively are significantly lower than the clinical threshold of 3.36 Gy found in the Ac-225-PSMA-617 trial (see </w:t>
      </w:r>
      <w:r>
        <w:rPr>
          <w:rFonts w:asciiTheme="majorHAnsi" w:hAnsiTheme="majorHAnsi" w:cstheme="majorHAnsi"/>
          <w:b/>
        </w:rPr>
        <w:t>Table 1</w:t>
      </w:r>
      <w:r w:rsidRPr="00FB58CC">
        <w:rPr>
          <w:rFonts w:asciiTheme="majorHAnsi" w:hAnsiTheme="majorHAnsi" w:cstheme="majorHAnsi"/>
        </w:rPr>
        <w:t>)</w:t>
      </w:r>
      <w:r>
        <w:rPr>
          <w:rFonts w:asciiTheme="majorHAnsi" w:hAnsiTheme="majorHAnsi" w:cstheme="majorHAnsi"/>
        </w:rPr>
        <w:t xml:space="preserve">. </w:t>
      </w:r>
    </w:p>
    <w:p w14:paraId="445A3199" w14:textId="465987AA" w:rsidR="0048141A" w:rsidRDefault="00BC0E45" w:rsidP="00F07D79">
      <w:pPr>
        <w:spacing w:line="480" w:lineRule="auto"/>
        <w:jc w:val="both"/>
        <w:rPr>
          <w:rFonts w:asciiTheme="majorHAnsi" w:hAnsiTheme="majorHAnsi" w:cstheme="majorHAnsi"/>
        </w:rPr>
      </w:pPr>
      <w:r>
        <w:rPr>
          <w:rFonts w:asciiTheme="majorHAnsi" w:hAnsiTheme="majorHAnsi" w:cstheme="majorHAnsi"/>
        </w:rPr>
        <w:t xml:space="preserve">While acute doses create zones of necrosis, long term doses tend to deplete the stem cell compartments, and increase proliferation of multipotent cells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Context","type":"article-journal","volume":"41"},"uris":["http://www.mendeley.com/documents/?uuid=77dc3328-cfa3-4d81-bcfa-6a649573350d"]},{"id":"ITEM-2","itemData":{"DOI":"10.2203/dose-response.12-014.Feinendegen","ISSN":"15593258","abstract":"Chronic exposure of mammals to low dose-rates of ionizing radiation affects proliferating cell systems as a function of both dose-rate and the total dose accumulated. The lower the dose-rate the higher needs to be the total dose for a deterministic effect, i.e., tissue reaction to appear. Stem cells provide for proliferating, maturing and functional cells. Stem cells usually are particularly radiosensitive and damage to them may propagate to cause failure of functional cells. The paper revisits 1) medical histories with emphasis on the hemopoietic system of the victims of ten accidental chronic radiation exposures, 2) published hematological findings of long-term chronically gamma-irradiated rodents, and 3) such findings in dogs chronically exposed in large life-span studies. The data are consistent with the hypothesis that hemopoietic stem and early progenitor cells have the capacity to tolerate and adapt to being repetitively hit by energy deposition events. The data are compatible with the \"injured stem cell hypothesis\", stating that radiation-injured stem cells, depending on dose-rate, may continue to deliver clones of functional cells that maintain homeostasis of hemopoiesis throughout life. Further studies perhaps on separated hemopoietic stem cells may unravel the molecular-biology mechanisms causing radiation tolerance and adaptation.","author":[{"dropping-particle":"","family":"Fliedner","given":"Theodor M.","non-dropping-particle":"","parse-names":false,"suffix":""},{"dropping-particle":"","family":"Graessle","given":"Dieter H.","non-dropping-particle":"","parse-names":false,"suffix":""},{"dropping-particle":"","family":"Meineke","given":"Viktor","non-dropping-particle":"","parse-names":false,"suffix":""},{"dropping-particle":"","family":"Feinendegen","given":"Ludwig E.","non-dropping-particle":"","parse-names":false,"suffix":""}],"container-title":"Dose-Response","id":"ITEM-2","issued":{"date-parts":[["2012"]]},"title":"Hemopoietic response to low dose-rates of ionizing radiation shows stem cell tolerance and adaptation","type":"article-journal"},"uris":["http://www.mendeley.com/documents/?uuid=174e9ae9-8881-4893-9183-3aec6034b4c0"]}],"mendeley":{"formattedCitation":"&lt;sup&gt;5,14&lt;/sup&gt;","plainTextFormattedCitation":"5,14","previouslyFormattedCitation":"&lt;sup&gt;5,13&lt;/sup&gt;"},"properties":{"noteIndex":0},"schema":"https://github.com/citation-style-language/schema/raw/master/csl-citation.json"}</w:instrText>
      </w:r>
      <w:r>
        <w:rPr>
          <w:rFonts w:asciiTheme="majorHAnsi" w:hAnsiTheme="majorHAnsi" w:cstheme="majorHAnsi"/>
        </w:rPr>
        <w:fldChar w:fldCharType="separate"/>
      </w:r>
      <w:r w:rsidRPr="007E09D5">
        <w:rPr>
          <w:rFonts w:asciiTheme="majorHAnsi" w:hAnsiTheme="majorHAnsi" w:cstheme="majorHAnsi"/>
          <w:noProof/>
          <w:vertAlign w:val="superscript"/>
        </w:rPr>
        <w:t>5,14</w:t>
      </w:r>
      <w:r>
        <w:rPr>
          <w:rFonts w:asciiTheme="majorHAnsi" w:hAnsiTheme="majorHAnsi" w:cstheme="majorHAnsi"/>
        </w:rPr>
        <w:fldChar w:fldCharType="end"/>
      </w:r>
      <w:r>
        <w:rPr>
          <w:rFonts w:asciiTheme="majorHAnsi" w:hAnsiTheme="majorHAnsi" w:cstheme="majorHAnsi"/>
        </w:rPr>
        <w:t xml:space="preserve">. In favor of a long term Ac-227 dose, it has been shown that long term dosing allows for a greater total cumulative dose compared to acute doses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Context","type":"article-journal","volume":"41"},"uris":["http://www.mendeley.com/documents/?uuid=77dc3328-cfa3-4d81-bcfa-6a649573350d"]},{"id":"ITEM-2","itemData":{"DOI":"10.1093/rpd/ncw207","ISSN":"17423406","abstract":"This paper presents an overview of radiobiological dependences governing the occurrence of tissue (organ) reactions that determine the outcomes of chronic exposure to low-LET ionizing radiation (IR) in humans. The mechanisms involved in the development of tissue reactions (TRs) to long-term exposures to IR and radioadaptation are considered. The overview describes the reactions of the haematopoietic, immune, nervous, reproductive and endocrine systems, lungs, skin and crystalline lens to chronic radiation exposure, which are of fundamental importance in view of radiation protection. It is shown that the individual's physiological tissue (organ) reserve, and also that induced by radiation exposure at low-dose rates are of great significance in the context of TR development.","author":[{"dropping-particle":"V.","family":"Akleyev","given":"A.","non-dropping-particle":"","parse-names":false,"suffix":""}],"container-title":"Radiation Protection Dosimetry","id":"ITEM-2","issued":{"date-parts":[["2016"]]},"title":"Normal tissue reactions to chronic radiation exposure in man","type":"article-journal"},"uris":["http://www.mendeley.com/documents/?uuid=9adf1b1f-4b82-4eb7-adcb-22915671cd77"]}],"mendeley":{"formattedCitation":"&lt;sup&gt;5,15&lt;/sup&gt;","plainTextFormattedCitation":"5,15","previouslyFormattedCitation":"&lt;sup&gt;5,14&lt;/sup&gt;"},"properties":{"noteIndex":0},"schema":"https://github.com/citation-style-language/schema/raw/master/csl-citation.json"}</w:instrText>
      </w:r>
      <w:r>
        <w:rPr>
          <w:rFonts w:asciiTheme="majorHAnsi" w:hAnsiTheme="majorHAnsi" w:cstheme="majorHAnsi"/>
        </w:rPr>
        <w:fldChar w:fldCharType="separate"/>
      </w:r>
      <w:r w:rsidRPr="007E09D5">
        <w:rPr>
          <w:rFonts w:asciiTheme="majorHAnsi" w:hAnsiTheme="majorHAnsi" w:cstheme="majorHAnsi"/>
          <w:noProof/>
          <w:vertAlign w:val="superscript"/>
        </w:rPr>
        <w:t>5,15</w:t>
      </w:r>
      <w:r>
        <w:rPr>
          <w:rFonts w:asciiTheme="majorHAnsi" w:hAnsiTheme="majorHAnsi" w:cstheme="majorHAnsi"/>
        </w:rPr>
        <w:fldChar w:fldCharType="end"/>
      </w:r>
      <w:r>
        <w:rPr>
          <w:rFonts w:asciiTheme="majorHAnsi" w:hAnsiTheme="majorHAnsi" w:cstheme="majorHAnsi"/>
        </w:rPr>
        <w:t xml:space="preserve">. Considering </w:t>
      </w:r>
      <w:r>
        <w:rPr>
          <w:rFonts w:asciiTheme="majorHAnsi" w:hAnsiTheme="majorHAnsi" w:cstheme="majorHAnsi"/>
        </w:rPr>
        <w:lastRenderedPageBreak/>
        <w:t xml:space="preserve">long term Ac-227 exposure is not directly comparable to the Ac-225 MTD, estimates may still be made to long term safe exposure rates due to other long term radiation exposure. In the literature, spleen chronic toxicity has been shown to appear in rats and mice exposed to </w:t>
      </w:r>
      <w:r w:rsidRPr="00BF46D0">
        <w:rPr>
          <w:rFonts w:asciiTheme="majorHAnsi" w:hAnsiTheme="majorHAnsi" w:cstheme="majorHAnsi"/>
        </w:rPr>
        <w:t>0.01–0.5 Gy/day</w:t>
      </w:r>
      <w:r>
        <w:rPr>
          <w:rFonts w:asciiTheme="majorHAnsi" w:hAnsiTheme="majorHAnsi" w:cstheme="majorHAnsi"/>
        </w:rPr>
        <w:t xml:space="preserve"> of gamma radiation, which calculates out to 0.05-2.5 Sv</w:t>
      </w:r>
      <w:r w:rsidR="001D1FE5" w:rsidRPr="001D1FE5">
        <w:rPr>
          <w:rFonts w:asciiTheme="majorHAnsi" w:hAnsiTheme="majorHAnsi" w:cstheme="majorHAnsi"/>
          <w:vertAlign w:val="subscript"/>
        </w:rPr>
        <w:t>RBE5</w:t>
      </w:r>
      <w:r>
        <w:rPr>
          <w:rFonts w:asciiTheme="majorHAnsi" w:hAnsiTheme="majorHAnsi" w:cstheme="majorHAnsi"/>
        </w:rPr>
        <w:t xml:space="preserve">/day alpha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Pr>
          <w:rFonts w:asciiTheme="majorHAnsi" w:hAnsiTheme="majorHAnsi" w:cstheme="majorHAnsi"/>
        </w:rPr>
        <w:fldChar w:fldCharType="separate"/>
      </w:r>
      <w:r w:rsidRPr="00BF46D0">
        <w:rPr>
          <w:rFonts w:asciiTheme="majorHAnsi" w:hAnsiTheme="majorHAnsi" w:cstheme="majorHAnsi"/>
          <w:noProof/>
          <w:vertAlign w:val="superscript"/>
        </w:rPr>
        <w:t>5</w:t>
      </w:r>
      <w:r>
        <w:rPr>
          <w:rFonts w:asciiTheme="majorHAnsi" w:hAnsiTheme="majorHAnsi" w:cstheme="majorHAnsi"/>
        </w:rPr>
        <w:fldChar w:fldCharType="end"/>
      </w:r>
      <w:r w:rsidR="001D1FE5">
        <w:rPr>
          <w:rFonts w:asciiTheme="majorHAnsi" w:hAnsiTheme="majorHAnsi" w:cstheme="majorHAnsi"/>
        </w:rPr>
        <w:t>. While the Ac-225 rate per day reaches beyond this level, it is only for a short term, but Ac-227 does get within the toxicity range with an equivalence mean of 0.29 Sv</w:t>
      </w:r>
      <w:r w:rsidR="001D1FE5" w:rsidRPr="001D1FE5">
        <w:rPr>
          <w:rFonts w:asciiTheme="majorHAnsi" w:hAnsiTheme="majorHAnsi" w:cstheme="majorHAnsi"/>
          <w:vertAlign w:val="subscript"/>
        </w:rPr>
        <w:t>RBE5</w:t>
      </w:r>
      <w:r w:rsidR="001D1FE5">
        <w:rPr>
          <w:rFonts w:asciiTheme="majorHAnsi" w:hAnsiTheme="majorHAnsi" w:cstheme="majorHAnsi"/>
        </w:rPr>
        <w:t xml:space="preserve">/day. </w:t>
      </w:r>
      <w:r>
        <w:rPr>
          <w:rFonts w:asciiTheme="majorHAnsi" w:hAnsiTheme="majorHAnsi" w:cstheme="majorHAnsi"/>
        </w:rPr>
        <w:t>For long term toxicity due to chronic radiation dose</w:t>
      </w:r>
      <w:r w:rsidR="001D1FE5">
        <w:rPr>
          <w:rFonts w:asciiTheme="majorHAnsi" w:hAnsiTheme="majorHAnsi" w:cstheme="majorHAnsi"/>
        </w:rPr>
        <w:t xml:space="preserve"> in the kidneys, they must receive in the range of</w:t>
      </w:r>
      <w:r w:rsidR="000A4F8B">
        <w:rPr>
          <w:rFonts w:asciiTheme="majorHAnsi" w:hAnsiTheme="majorHAnsi" w:cstheme="majorHAnsi"/>
        </w:rPr>
        <w:t xml:space="preserve"> </w:t>
      </w:r>
      <w:bookmarkStart w:id="1" w:name="_GoBack"/>
      <w:bookmarkEnd w:id="1"/>
    </w:p>
    <w:p w14:paraId="19926236" w14:textId="77777777" w:rsidR="0048141A" w:rsidRDefault="0048141A" w:rsidP="00F07D79">
      <w:pPr>
        <w:spacing w:line="480" w:lineRule="auto"/>
        <w:jc w:val="both"/>
        <w:rPr>
          <w:rFonts w:asciiTheme="majorHAnsi" w:hAnsiTheme="majorHAnsi" w:cstheme="majorHAnsi"/>
        </w:rPr>
      </w:pPr>
    </w:p>
    <w:p w14:paraId="57C938C7" w14:textId="5D942001" w:rsidR="00662E68" w:rsidRDefault="00662E68" w:rsidP="009D74FB">
      <w:pPr>
        <w:spacing w:line="480" w:lineRule="auto"/>
        <w:jc w:val="both"/>
        <w:rPr>
          <w:rFonts w:asciiTheme="majorHAnsi" w:hAnsiTheme="majorHAnsi" w:cstheme="majorHAnsi"/>
        </w:rPr>
      </w:pPr>
    </w:p>
    <w:p w14:paraId="169CADEB" w14:textId="77777777" w:rsidR="00662E68" w:rsidRDefault="00662E68" w:rsidP="009D74FB">
      <w:pPr>
        <w:spacing w:line="480" w:lineRule="auto"/>
        <w:jc w:val="both"/>
        <w:rPr>
          <w:rFonts w:asciiTheme="majorHAnsi" w:hAnsiTheme="majorHAnsi" w:cstheme="majorHAnsi"/>
        </w:rPr>
      </w:pPr>
    </w:p>
    <w:p w14:paraId="7CF6BBF8" w14:textId="77777777" w:rsidR="00BF46D0" w:rsidRDefault="00BF46D0" w:rsidP="009D74FB">
      <w:pPr>
        <w:spacing w:line="480" w:lineRule="auto"/>
        <w:jc w:val="both"/>
        <w:rPr>
          <w:rFonts w:asciiTheme="majorHAnsi" w:hAnsiTheme="majorHAnsi" w:cstheme="majorHAnsi"/>
        </w:rPr>
      </w:pPr>
    </w:p>
    <w:p w14:paraId="209625F6" w14:textId="77777777" w:rsidR="00BF46D0" w:rsidRDefault="009D74FB" w:rsidP="009D74FB">
      <w:pPr>
        <w:spacing w:line="480" w:lineRule="auto"/>
        <w:jc w:val="both"/>
        <w:rPr>
          <w:rFonts w:asciiTheme="majorHAnsi" w:hAnsiTheme="majorHAnsi" w:cstheme="majorHAnsi"/>
        </w:rPr>
      </w:pPr>
      <w:r>
        <w:rPr>
          <w:rFonts w:asciiTheme="majorHAnsi" w:hAnsiTheme="majorHAnsi" w:cstheme="majorHAnsi"/>
        </w:rPr>
        <w:t>The Trastuzumab-DOTA-Ac-227 dose per day is in the order of 5 mGy/day between 100-7000 days for the highest exposed order, the spleen, and 2 mGy for the liver at maximum (</w:t>
      </w:r>
      <w:r>
        <w:rPr>
          <w:rFonts w:asciiTheme="majorHAnsi" w:hAnsiTheme="majorHAnsi" w:cstheme="majorHAnsi"/>
          <w:b/>
        </w:rPr>
        <w:t>Figure 5</w:t>
      </w:r>
      <w:r>
        <w:rPr>
          <w:rFonts w:asciiTheme="majorHAnsi" w:hAnsiTheme="majorHAnsi" w:cstheme="majorHAnsi"/>
        </w:rPr>
        <w:t xml:space="preserve">). This </w:t>
      </w:r>
      <w:r w:rsidR="001F39F7">
        <w:rPr>
          <w:rFonts w:asciiTheme="majorHAnsi" w:hAnsiTheme="majorHAnsi" w:cstheme="majorHAnsi"/>
        </w:rPr>
        <w:t>calculates</w:t>
      </w:r>
      <w:r>
        <w:rPr>
          <w:rFonts w:asciiTheme="majorHAnsi" w:hAnsiTheme="majorHAnsi" w:cstheme="majorHAnsi"/>
        </w:rPr>
        <w:t xml:space="preserve"> to an approximate maximum peak of 1.8 Gy/year for the spleen, and 0.73 Gy/year for the liver</w:t>
      </w:r>
      <w:r w:rsidR="001F39F7">
        <w:rPr>
          <w:rFonts w:asciiTheme="majorHAnsi" w:hAnsiTheme="majorHAnsi" w:cstheme="majorHAnsi"/>
        </w:rPr>
        <w:t xml:space="preserve"> in our data with Trastuzumab-DOTA-Ac-227</w:t>
      </w:r>
      <w:r>
        <w:rPr>
          <w:rFonts w:asciiTheme="majorHAnsi" w:hAnsiTheme="majorHAnsi" w:cstheme="majorHAnsi"/>
        </w:rPr>
        <w:t xml:space="preserve">. </w:t>
      </w:r>
    </w:p>
    <w:p w14:paraId="3B3B146D" w14:textId="77777777" w:rsidR="00BF46D0" w:rsidRDefault="00BF46D0" w:rsidP="009D74FB">
      <w:pPr>
        <w:spacing w:line="480" w:lineRule="auto"/>
        <w:jc w:val="both"/>
        <w:rPr>
          <w:rFonts w:asciiTheme="majorHAnsi" w:hAnsiTheme="majorHAnsi" w:cstheme="majorHAnsi"/>
        </w:rPr>
      </w:pPr>
    </w:p>
    <w:p w14:paraId="648B6D11" w14:textId="77777777" w:rsidR="00BF46D0" w:rsidRDefault="00BF46D0" w:rsidP="009D74FB">
      <w:pPr>
        <w:spacing w:line="480" w:lineRule="auto"/>
        <w:jc w:val="both"/>
        <w:rPr>
          <w:rFonts w:asciiTheme="majorHAnsi" w:hAnsiTheme="majorHAnsi" w:cstheme="majorHAnsi"/>
        </w:rPr>
      </w:pPr>
    </w:p>
    <w:p w14:paraId="53E40C5A" w14:textId="77777777" w:rsidR="00BF46D0" w:rsidRDefault="00BF46D0" w:rsidP="009D74FB">
      <w:pPr>
        <w:spacing w:line="480" w:lineRule="auto"/>
        <w:jc w:val="both"/>
        <w:rPr>
          <w:rFonts w:asciiTheme="majorHAnsi" w:hAnsiTheme="majorHAnsi" w:cstheme="majorHAnsi"/>
        </w:rPr>
      </w:pPr>
    </w:p>
    <w:p w14:paraId="6EBAB71A" w14:textId="6BE00CAE" w:rsidR="009D74FB" w:rsidRDefault="00BF46D0" w:rsidP="009D74FB">
      <w:pPr>
        <w:spacing w:line="480" w:lineRule="auto"/>
        <w:jc w:val="both"/>
        <w:rPr>
          <w:rFonts w:asciiTheme="majorHAnsi" w:hAnsiTheme="majorHAnsi" w:cstheme="majorHAnsi"/>
        </w:rPr>
      </w:pPr>
      <w:r>
        <w:rPr>
          <w:rFonts w:asciiTheme="majorHAnsi" w:hAnsiTheme="majorHAnsi" w:cstheme="majorHAnsi"/>
        </w:rPr>
        <w:t>Since our data points for spleen t</w:t>
      </w:r>
      <w:r w:rsidR="009D74FB">
        <w:rPr>
          <w:rFonts w:asciiTheme="majorHAnsi" w:hAnsiTheme="majorHAnsi" w:cstheme="majorHAnsi"/>
        </w:rPr>
        <w:t>he spleen and liver organ radiation exposure equivalency is 0.05 (whole body is 1), which produces approximately 0.09 Sv/year for the spleen and 0.037 Sv/year for the liver</w:t>
      </w:r>
      <w:r w:rsidR="001F39F7">
        <w:rPr>
          <w:rFonts w:asciiTheme="majorHAnsi" w:hAnsiTheme="majorHAnsi" w:cstheme="majorHAnsi"/>
        </w:rPr>
        <w:t xml:space="preserve"> in our data</w:t>
      </w:r>
      <w:r w:rsidR="009D74FB">
        <w:rPr>
          <w:rFonts w:asciiTheme="majorHAnsi" w:hAnsiTheme="majorHAnsi" w:cstheme="majorHAnsi"/>
        </w:rPr>
        <w:t xml:space="preserve">. </w:t>
      </w:r>
    </w:p>
    <w:p w14:paraId="0C0F5B8E" w14:textId="77777777" w:rsidR="009D74FB" w:rsidRDefault="009D74FB" w:rsidP="009D74FB">
      <w:pPr>
        <w:spacing w:line="480" w:lineRule="auto"/>
        <w:jc w:val="both"/>
        <w:rPr>
          <w:rFonts w:asciiTheme="majorHAnsi" w:hAnsiTheme="majorHAnsi" w:cstheme="majorHAnsi"/>
        </w:rPr>
      </w:pPr>
    </w:p>
    <w:p w14:paraId="44381AD8" w14:textId="77777777" w:rsidR="009D74FB" w:rsidRDefault="009D74FB" w:rsidP="009D74FB">
      <w:pPr>
        <w:spacing w:line="480" w:lineRule="auto"/>
        <w:jc w:val="both"/>
        <w:rPr>
          <w:rFonts w:asciiTheme="majorHAnsi" w:hAnsiTheme="majorHAnsi" w:cstheme="majorHAnsi"/>
        </w:rPr>
      </w:pPr>
    </w:p>
    <w:p w14:paraId="376ABC84" w14:textId="77777777" w:rsidR="009D74FB" w:rsidRDefault="009D74FB" w:rsidP="009D74FB">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14:paraId="14CEEAF3" w14:textId="77777777" w:rsidR="009D74FB" w:rsidRDefault="009D74FB" w:rsidP="009D74FB">
      <w:pPr>
        <w:spacing w:line="480" w:lineRule="auto"/>
        <w:jc w:val="both"/>
        <w:rPr>
          <w:rFonts w:asciiTheme="majorHAnsi" w:hAnsiTheme="majorHAnsi" w:cstheme="majorHAnsi"/>
        </w:rPr>
      </w:pPr>
    </w:p>
    <w:p w14:paraId="61181B55" w14:textId="77777777" w:rsidR="009D74FB" w:rsidRDefault="009D74FB" w:rsidP="009D74FB">
      <w:pPr>
        <w:spacing w:line="480" w:lineRule="auto"/>
        <w:jc w:val="both"/>
        <w:rPr>
          <w:rFonts w:asciiTheme="majorHAnsi" w:hAnsiTheme="majorHAnsi" w:cstheme="majorHAnsi"/>
        </w:rPr>
      </w:pPr>
      <w:r>
        <w:rPr>
          <w:rFonts w:asciiTheme="majorHAnsi" w:hAnsiTheme="majorHAnsi" w:cstheme="majorHAnsi"/>
        </w:rPr>
        <w:t>dose</w:t>
      </w:r>
    </w:p>
    <w:p w14:paraId="74DD686A" w14:textId="77777777"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For instance, if real time points are from 0-10 days, and we extrapolate out to Ac-227 half-life (7946 days), cubic spline is used between 0-10 days, and from 10.25-7946 days are extrapolated by the final activity and decayed as if stationary according to the Ac-22X moving power average per time</w:t>
      </w:r>
      <w:r>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14:paraId="6CFB90DC" w14:textId="77777777" w:rsidR="009D74FB" w:rsidRDefault="009D74FB" w:rsidP="009D74FB">
      <w:pPr>
        <w:spacing w:line="480" w:lineRule="auto"/>
        <w:jc w:val="both"/>
        <w:rPr>
          <w:rFonts w:asciiTheme="majorHAnsi" w:hAnsiTheme="majorHAnsi" w:cstheme="majorHAnsi"/>
        </w:rPr>
      </w:pPr>
    </w:p>
    <w:p w14:paraId="09F1268F" w14:textId="77777777" w:rsidR="009D74FB" w:rsidRDefault="009D74FB" w:rsidP="009D74FB">
      <w:pPr>
        <w:spacing w:line="480" w:lineRule="auto"/>
        <w:jc w:val="both"/>
        <w:rPr>
          <w:rFonts w:asciiTheme="majorHAnsi" w:hAnsiTheme="majorHAnsi" w:cstheme="majorHAnsi"/>
        </w:rPr>
      </w:pPr>
    </w:p>
    <w:p w14:paraId="0360FF50" w14:textId="77777777"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DOTA-Tras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r the 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14:paraId="3B2F5EDA" w14:textId="77777777" w:rsidR="009D74FB" w:rsidRDefault="009D74FB" w:rsidP="009D74FB">
      <w:pPr>
        <w:spacing w:line="480" w:lineRule="auto"/>
        <w:jc w:val="both"/>
        <w:rPr>
          <w:rFonts w:asciiTheme="majorHAnsi" w:hAnsiTheme="majorHAnsi" w:cstheme="majorHAnsi"/>
        </w:rPr>
      </w:pPr>
    </w:p>
    <w:p w14:paraId="2356B347" w14:textId="77777777" w:rsidR="009D74FB" w:rsidRDefault="009D74FB" w:rsidP="009D74FB">
      <w:pPr>
        <w:spacing w:line="480" w:lineRule="auto"/>
        <w:jc w:val="both"/>
        <w:rPr>
          <w:rFonts w:asciiTheme="majorHAnsi" w:hAnsiTheme="majorHAnsi" w:cstheme="majorHAnsi"/>
        </w:rPr>
      </w:pPr>
    </w:p>
    <w:p w14:paraId="50287BB7" w14:textId="77777777" w:rsidR="009D74FB" w:rsidRDefault="009D74FB" w:rsidP="009D74FB">
      <w:pPr>
        <w:spacing w:line="480" w:lineRule="auto"/>
        <w:jc w:val="both"/>
        <w:rPr>
          <w:rFonts w:asciiTheme="majorHAnsi" w:hAnsiTheme="majorHAnsi" w:cstheme="majorHAnsi"/>
        </w:rPr>
      </w:pPr>
    </w:p>
    <w:p w14:paraId="3C1EFBEA" w14:textId="77777777"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While the %RD/g values of </w:t>
      </w:r>
      <w:r>
        <w:rPr>
          <w:rFonts w:asciiTheme="majorHAnsi" w:hAnsiTheme="majorHAnsi" w:cstheme="majorHAnsi"/>
          <w:b/>
        </w:rPr>
        <w:t xml:space="preserve">Figure </w:t>
      </w:r>
      <w:r w:rsidRPr="009652AA">
        <w:rPr>
          <w:rFonts w:asciiTheme="majorHAnsi" w:hAnsiTheme="majorHAnsi" w:cstheme="majorHAnsi"/>
          <w:b/>
        </w:rPr>
        <w:t>2</w:t>
      </w:r>
      <w:r>
        <w:rPr>
          <w:rFonts w:asciiTheme="majorHAnsi" w:hAnsiTheme="majorHAnsi" w:cstheme="majorHAnsi"/>
        </w:rPr>
        <w:t xml:space="preserve"> </w:t>
      </w:r>
      <w:r w:rsidRPr="009652AA">
        <w:rPr>
          <w:rFonts w:asciiTheme="majorHAnsi" w:hAnsiTheme="majorHAnsi" w:cstheme="majorHAnsi"/>
        </w:rPr>
        <w:t>give</w:t>
      </w:r>
      <w:r>
        <w:rPr>
          <w:rFonts w:asciiTheme="majorHAnsi" w:hAnsiTheme="majorHAnsi" w:cstheme="majorHAnsi"/>
        </w:rPr>
        <w:t xml:space="preserve"> an indication of where parent actinium distributed to at each time point, this method is limited by lack of real-time biodistribution of short lived daughter isotopes. Since high </w:t>
      </w:r>
      <w:r>
        <w:rPr>
          <w:rFonts w:asciiTheme="majorHAnsi" w:hAnsiTheme="majorHAnsi" w:cstheme="majorHAnsi"/>
        </w:rPr>
        <w:lastRenderedPageBreak/>
        <w:t>energy alpha decays are many orders of magnitude greater in energy than the coordinate bond strength holding the isotope in ligands, recoil effects may dislodge these isotopes from the ligand carrier (</w:t>
      </w:r>
      <w:r w:rsidRPr="00653A4E">
        <w:rPr>
          <w:rFonts w:asciiTheme="majorHAnsi" w:hAnsiTheme="majorHAnsi" w:cstheme="majorHAnsi"/>
          <w:highlight w:val="yellow"/>
        </w:rPr>
        <w:t>cite de Kruijff 2015 -  A Critical Review of Alpha Radionuclide Therapy-How to Deal with Recoiling Daughters?).</w:t>
      </w:r>
      <w:r>
        <w:rPr>
          <w:rFonts w:asciiTheme="majorHAnsi" w:hAnsiTheme="majorHAnsi" w:cstheme="majorHAnsi"/>
        </w:rPr>
        <w:t xml:space="preserve"> Therefore, re-distributed organs will not have an accumulation of activity to count after organ harvesti</w:t>
      </w:r>
      <w:r w:rsidR="007E6034">
        <w:rPr>
          <w:rFonts w:asciiTheme="majorHAnsi" w:hAnsiTheme="majorHAnsi" w:cstheme="majorHAnsi"/>
        </w:rPr>
        <w:t>ng due to the short time frame.</w:t>
      </w:r>
    </w:p>
    <w:p w14:paraId="0BB31115" w14:textId="77777777" w:rsidR="009D74FB" w:rsidRDefault="007E6034" w:rsidP="009D74FB">
      <w:pPr>
        <w:spacing w:line="480" w:lineRule="auto"/>
        <w:jc w:val="both"/>
        <w:rPr>
          <w:rFonts w:asciiTheme="majorHAnsi" w:hAnsiTheme="majorHAnsi" w:cstheme="majorHAnsi"/>
        </w:rPr>
      </w:pPr>
      <w:r>
        <w:rPr>
          <w:rFonts w:asciiTheme="majorHAnsi" w:hAnsiTheme="majorHAnsi" w:cstheme="majorHAnsi"/>
        </w:rPr>
        <w:t xml:space="preserve">Based upon </w:t>
      </w:r>
      <w:r>
        <w:rPr>
          <w:rFonts w:asciiTheme="majorHAnsi" w:hAnsiTheme="majorHAnsi" w:cstheme="majorHAnsi"/>
          <w:b/>
        </w:rPr>
        <w:t xml:space="preserve">Figure </w:t>
      </w:r>
      <w:r w:rsidRPr="007E6034">
        <w:rPr>
          <w:rFonts w:asciiTheme="majorHAnsi" w:hAnsiTheme="majorHAnsi" w:cstheme="majorHAnsi"/>
          <w:b/>
        </w:rPr>
        <w:t>3</w:t>
      </w:r>
      <w:r>
        <w:rPr>
          <w:rFonts w:asciiTheme="majorHAnsi" w:hAnsiTheme="majorHAnsi" w:cstheme="majorHAnsi"/>
        </w:rPr>
        <w:t xml:space="preserve">, </w:t>
      </w:r>
      <w:r w:rsidR="009D74FB" w:rsidRPr="007E6034">
        <w:rPr>
          <w:rFonts w:asciiTheme="majorHAnsi" w:hAnsiTheme="majorHAnsi" w:cstheme="majorHAnsi"/>
        </w:rPr>
        <w:t>This</w:t>
      </w:r>
      <w:r w:rsidR="009D74FB">
        <w:rPr>
          <w:rFonts w:asciiTheme="majorHAnsi" w:hAnsiTheme="majorHAnsi" w:cstheme="majorHAnsi"/>
        </w:rPr>
        <w:t xml:space="preserve"> effect may be isotope dependent, as Ac-227 should have greater 1st daughter stability vs Ac-225. The initial decay of Ac-227 to Th-227 is a beta (44.8 keV) and much less energetic than the Ac-225 to Fr-221 alpha decay (5.94 MeV), thus Th-227 (half-life = 18.7 days) construct may persist longer in solution relative to Fr-221 (half-life = 4.8 minutes). Modeling the fraction of activity produced from decays prior to the first alpha decay in each Ac-225 and Ac-227 decay chains produces </w:t>
      </w:r>
      <w:r w:rsidR="009D74FB">
        <w:rPr>
          <w:rFonts w:asciiTheme="majorHAnsi" w:hAnsiTheme="majorHAnsi" w:cstheme="majorHAnsi"/>
          <w:b/>
        </w:rPr>
        <w:t>Figure S8</w:t>
      </w:r>
      <w:r w:rsidR="009D74FB" w:rsidRPr="003F2504">
        <w:rPr>
          <w:rFonts w:asciiTheme="majorHAnsi" w:hAnsiTheme="majorHAnsi" w:cstheme="majorHAnsi"/>
        </w:rPr>
        <w:t>.</w:t>
      </w:r>
      <w:r w:rsidR="009D74FB">
        <w:rPr>
          <w:rFonts w:asciiTheme="majorHAnsi" w:hAnsiTheme="majorHAnsi" w:cstheme="majorHAnsi"/>
        </w:rPr>
        <w:t xml:space="preserve"> This portrays how in the Ac-225 system, the Ac-225 to Fr.221 decay is rapid, whereas the Ac-227 and Th-227 species would have a greatly extended period of time until crossing paths at 54 days, much beyond the typical antibody biodistribution half-life, on the order of 5-20 days (</w:t>
      </w:r>
      <w:r w:rsidR="009D74FB" w:rsidRPr="00653A4E">
        <w:rPr>
          <w:rFonts w:asciiTheme="majorHAnsi" w:hAnsiTheme="majorHAnsi" w:cstheme="majorHAnsi"/>
          <w:highlight w:val="yellow"/>
        </w:rPr>
        <w:t>cite antibody half life</w:t>
      </w:r>
      <w:r w:rsidR="009D74FB">
        <w:rPr>
          <w:rFonts w:asciiTheme="majorHAnsi" w:hAnsiTheme="majorHAnsi" w:cstheme="majorHAnsi"/>
        </w:rPr>
        <w:t xml:space="preserve">). </w:t>
      </w:r>
      <w:r w:rsidR="009D74FB" w:rsidRPr="00653A4E">
        <w:rPr>
          <w:rFonts w:asciiTheme="majorHAnsi" w:hAnsiTheme="majorHAnsi" w:cstheme="majorHAnsi"/>
        </w:rPr>
        <w:t>Daughter</w:t>
      </w:r>
      <w:r w:rsidR="009D74FB">
        <w:rPr>
          <w:rFonts w:asciiTheme="majorHAnsi" w:hAnsiTheme="majorHAnsi" w:cstheme="majorHAnsi"/>
        </w:rPr>
        <w:t xml:space="preserve"> isotope re-distribution has been observed in other studies, and redistribution of Bi-213 has been shown to cause dose-limiting renal toxicity in Ac-225 therapies (</w:t>
      </w:r>
      <w:r w:rsidR="009D74FB" w:rsidRPr="009652AA">
        <w:rPr>
          <w:rFonts w:asciiTheme="majorHAnsi" w:hAnsiTheme="majorHAnsi" w:cstheme="majorHAnsi"/>
          <w:highlight w:val="yellow"/>
        </w:rPr>
        <w:t>cite</w:t>
      </w:r>
      <w:r w:rsidR="009D74FB">
        <w:rPr>
          <w:rFonts w:asciiTheme="majorHAnsi" w:hAnsiTheme="majorHAnsi" w:cstheme="majorHAnsi"/>
          <w:highlight w:val="yellow"/>
        </w:rPr>
        <w:t xml:space="preserve"> Jaggi</w:t>
      </w:r>
      <w:r w:rsidR="009D74FB" w:rsidRPr="009652AA">
        <w:rPr>
          <w:highlight w:val="yellow"/>
        </w:rPr>
        <w:t xml:space="preserve"> </w:t>
      </w:r>
      <w:r w:rsidR="009D74FB">
        <w:rPr>
          <w:highlight w:val="yellow"/>
        </w:rPr>
        <w:t xml:space="preserve">2005 </w:t>
      </w:r>
      <w:r w:rsidR="009D74FB" w:rsidRPr="009652AA">
        <w:rPr>
          <w:rFonts w:asciiTheme="majorHAnsi" w:hAnsiTheme="majorHAnsi" w:cstheme="majorHAnsi"/>
          <w:highlight w:val="yellow"/>
        </w:rPr>
        <w:t>Efforts to control the errant products of a targeted in vivo generator.</w:t>
      </w:r>
      <w:r w:rsidR="009D74FB">
        <w:rPr>
          <w:rFonts w:asciiTheme="majorHAnsi" w:hAnsiTheme="majorHAnsi" w:cstheme="majorHAnsi"/>
        </w:rPr>
        <w:t>). While gamma lines of 218 keV and 440 keV may be used to detect Fr-221 (half-life 4.9 minutes) and Bi-213 (half-life 45.6 minutes), we did not have the capability to do real-time detection with a live animal for this study.</w:t>
      </w:r>
    </w:p>
    <w:p w14:paraId="6FA31AA2" w14:textId="77777777"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Nonetheless, we did observe interesting localization ratio effects. As can be seen in LR for all three tested 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 it is a factor other than activity counting conditions that is creating isotopic localization. The trend these LR data do </w:t>
      </w:r>
      <w:r>
        <w:rPr>
          <w:rFonts w:asciiTheme="majorHAnsi" w:hAnsiTheme="majorHAnsi" w:cstheme="majorHAnsi"/>
        </w:rPr>
        <w:lastRenderedPageBreak/>
        <w:t>seem to follow is the rate of excretion from the animal. DOTA-Ac is the quickest to clear, HOPO-Ac the second quickest, and Trastuzumab-DOTA-Ac is the slowest. Since %RD/G is not based on the initial injected amount, but the amount recovered in total at the final time point, this is not simply due to rapid decay of Ac-225 vs Ac-227. It is possible that changes in LR may be due to free metal scavenging of DOTA-Ac constructs pre-decay (</w:t>
      </w:r>
      <w:r w:rsidRPr="00DE5901">
        <w:rPr>
          <w:rFonts w:asciiTheme="majorHAnsi" w:hAnsiTheme="majorHAnsi" w:cstheme="majorHAnsi"/>
          <w:highlight w:val="yellow"/>
        </w:rPr>
        <w:t>cite isotopic localization chan</w:t>
      </w:r>
      <w:r w:rsidRPr="005725B1">
        <w:rPr>
          <w:rFonts w:asciiTheme="majorHAnsi" w:hAnsiTheme="majorHAnsi" w:cstheme="majorHAnsi"/>
          <w:highlight w:val="yellow"/>
        </w:rPr>
        <w:t>ges in general, and Ac scavenging in vivo</w:t>
      </w:r>
      <w:r>
        <w:rPr>
          <w:rFonts w:asciiTheme="majorHAnsi" w:hAnsiTheme="majorHAnsi" w:cstheme="majorHAnsi"/>
        </w:rPr>
        <w:t xml:space="preserve">?). This could be tested through further experimentation in mice with variations of actinium isotopes dose in weak ligand carrier solutions to promote biomolecular scavenging.  </w:t>
      </w:r>
    </w:p>
    <w:p w14:paraId="5F41A80B" w14:textId="77777777" w:rsidR="00CE02B6" w:rsidRDefault="00CE02B6" w:rsidP="00504374">
      <w:pPr>
        <w:spacing w:line="480" w:lineRule="auto"/>
        <w:jc w:val="both"/>
        <w:rPr>
          <w:rFonts w:asciiTheme="majorHAnsi" w:hAnsiTheme="majorHAnsi" w:cstheme="majorHAnsi"/>
        </w:rPr>
      </w:pPr>
    </w:p>
    <w:p w14:paraId="74D89D1D" w14:textId="1F992FF3" w:rsidR="00CE02B6" w:rsidRDefault="00CE02B6" w:rsidP="00504374">
      <w:pPr>
        <w:spacing w:line="480" w:lineRule="auto"/>
        <w:jc w:val="both"/>
        <w:rPr>
          <w:rFonts w:asciiTheme="majorHAnsi" w:hAnsiTheme="majorHAnsi" w:cstheme="majorHAnsi"/>
        </w:rPr>
      </w:pPr>
    </w:p>
    <w:p w14:paraId="52D14FD9" w14:textId="23D2E2F3" w:rsidR="007B016F" w:rsidRPr="007B016F" w:rsidRDefault="007B016F" w:rsidP="00504374">
      <w:pPr>
        <w:spacing w:line="480" w:lineRule="auto"/>
        <w:jc w:val="both"/>
        <w:rPr>
          <w:rFonts w:asciiTheme="majorHAnsi" w:hAnsiTheme="majorHAnsi" w:cstheme="majorHAnsi"/>
          <w:b/>
        </w:rPr>
      </w:pPr>
      <w:r w:rsidRPr="007B016F">
        <w:rPr>
          <w:rFonts w:asciiTheme="majorHAnsi" w:hAnsiTheme="majorHAnsi" w:cstheme="majorHAnsi"/>
          <w:b/>
        </w:rPr>
        <w:t>Extra</w:t>
      </w:r>
    </w:p>
    <w:p w14:paraId="6C594C5B" w14:textId="77777777" w:rsidR="007B016F" w:rsidRDefault="007B016F" w:rsidP="007B016F">
      <w:pPr>
        <w:spacing w:line="480" w:lineRule="auto"/>
        <w:jc w:val="both"/>
        <w:rPr>
          <w:rFonts w:asciiTheme="majorHAnsi" w:hAnsiTheme="majorHAnsi" w:cstheme="majorHAnsi"/>
        </w:rPr>
      </w:pPr>
      <w:r>
        <w:rPr>
          <w:rFonts w:asciiTheme="majorHAnsi" w:hAnsiTheme="majorHAnsi" w:cstheme="majorHAnsi"/>
        </w:rPr>
        <w:t xml:space="preserve">In general, low linear energy transfer (LET) radiation is less effective at low doses than at high doses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Pr>
          <w:rFonts w:asciiTheme="majorHAnsi" w:hAnsiTheme="majorHAnsi" w:cstheme="majorHAnsi"/>
        </w:rPr>
        <w:fldChar w:fldCharType="separate"/>
      </w:r>
      <w:r w:rsidRPr="00137814">
        <w:rPr>
          <w:rFonts w:asciiTheme="majorHAnsi" w:hAnsiTheme="majorHAnsi" w:cstheme="majorHAnsi"/>
          <w:noProof/>
          <w:vertAlign w:val="superscript"/>
        </w:rPr>
        <w:t>5</w:t>
      </w:r>
      <w:r>
        <w:rPr>
          <w:rFonts w:asciiTheme="majorHAnsi" w:hAnsiTheme="majorHAnsi" w:cstheme="majorHAnsi"/>
        </w:rPr>
        <w:fldChar w:fldCharType="end"/>
      </w:r>
      <w:r>
        <w:rPr>
          <w:rFonts w:asciiTheme="majorHAnsi" w:hAnsiTheme="majorHAnsi" w:cstheme="majorHAnsi"/>
        </w:rPr>
        <w:t xml:space="preserve">. This is partly due to a certain amount of cellular repair capacity in offsetting the oxidative stress induced by photon therapies creating oxygen free radicals in the aqueous environment. However, high LET radiation retains its potency even at low doses due to direct DNA lesion mechanisms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Pr>
          <w:rFonts w:asciiTheme="majorHAnsi" w:hAnsiTheme="majorHAnsi" w:cstheme="majorHAnsi"/>
        </w:rPr>
        <w:fldChar w:fldCharType="separate"/>
      </w:r>
      <w:r w:rsidRPr="00137814">
        <w:rPr>
          <w:rFonts w:asciiTheme="majorHAnsi" w:hAnsiTheme="majorHAnsi" w:cstheme="majorHAnsi"/>
          <w:noProof/>
          <w:vertAlign w:val="superscript"/>
        </w:rPr>
        <w:t>5</w:t>
      </w:r>
      <w:r>
        <w:rPr>
          <w:rFonts w:asciiTheme="majorHAnsi" w:hAnsiTheme="majorHAnsi" w:cstheme="majorHAnsi"/>
        </w:rPr>
        <w:fldChar w:fldCharType="end"/>
      </w:r>
      <w:r>
        <w:rPr>
          <w:rFonts w:asciiTheme="majorHAnsi" w:hAnsiTheme="majorHAnsi" w:cstheme="majorHAnsi"/>
        </w:rPr>
        <w:t xml:space="preserve">, and thus long term radiation exposure from low-level alpha dose could be a serious issue with accelerator generated Ac-225. In the Unites States, the annual radiation exposure limits for radiation workers is 50 mSv for whole body exposure </w:t>
      </w:r>
      <w:r>
        <w:rPr>
          <w:rFonts w:asciiTheme="majorHAnsi" w:hAnsiTheme="majorHAnsi" w:cstheme="majorHAnsi"/>
        </w:rPr>
        <w:fldChar w:fldCharType="begin" w:fldLock="1"/>
      </w:r>
      <w:r>
        <w:rPr>
          <w:rFonts w:asciiTheme="majorHAnsi" w:hAnsiTheme="majorHAnsi" w:cstheme="majorHAnsi"/>
        </w:rPr>
        <w:instrText>ADDIN CSL_CITATION {"citationItems":[{"id":"ITEM-1","itemData":{"author":[{"dropping-particle":"","family":"U.S.NRC","given":"","non-dropping-particle":"","parse-names":false,"suffix":""}],"id":"ITEM-1","issued":{"date-parts":[["0"]]},"title":"NRC Regulations 10 CFR Subpart C--Occupational Dose Limits--20.1201","type":"report"},"uris":["http://www.mendeley.com/documents/?uuid=ffd5284d-023e-40e4-a239-ee2af2d3c4af"]}],"mendeley":{"formattedCitation":"&lt;sup&gt;6&lt;/sup&gt;","plainTextFormattedCitation":"6","previouslyFormattedCitation":"&lt;sup&gt;6&lt;/sup&gt;"},"properties":{"noteIndex":0},"schema":"https://github.com/citation-style-language/schema/raw/master/csl-citation.json"}</w:instrText>
      </w:r>
      <w:r>
        <w:rPr>
          <w:rFonts w:asciiTheme="majorHAnsi" w:hAnsiTheme="majorHAnsi" w:cstheme="majorHAnsi"/>
        </w:rPr>
        <w:fldChar w:fldCharType="separate"/>
      </w:r>
      <w:r w:rsidRPr="00137814">
        <w:rPr>
          <w:rFonts w:asciiTheme="majorHAnsi" w:hAnsiTheme="majorHAnsi" w:cstheme="majorHAnsi"/>
          <w:noProof/>
          <w:vertAlign w:val="superscript"/>
        </w:rPr>
        <w:t>6</w:t>
      </w:r>
      <w:r>
        <w:rPr>
          <w:rFonts w:asciiTheme="majorHAnsi" w:hAnsiTheme="majorHAnsi" w:cstheme="majorHAnsi"/>
        </w:rPr>
        <w:fldChar w:fldCharType="end"/>
      </w:r>
      <w:r>
        <w:rPr>
          <w:rFonts w:asciiTheme="majorHAnsi" w:hAnsiTheme="majorHAnsi" w:cstheme="majorHAnsi"/>
        </w:rPr>
        <w:t xml:space="preserve">, which if taken as alpha radiation (10:1 average equivalency for Sv:Gy with alpha:gamma for internal organs </w:t>
      </w:r>
      <w:r>
        <w:rPr>
          <w:rFonts w:asciiTheme="majorHAnsi" w:hAnsiTheme="majorHAnsi" w:cstheme="majorHAnsi"/>
        </w:rPr>
        <w:fldChar w:fldCharType="begin" w:fldLock="1"/>
      </w:r>
      <w:r>
        <w:rPr>
          <w:rFonts w:asciiTheme="majorHAnsi" w:hAnsiTheme="majorHAnsi" w:cstheme="majorHAnsi"/>
        </w:rPr>
        <w:instrText>ADDIN CSL_CITATION {"citationItems":[{"id":"ITEM-1","itemData":{"abstract":"ICRP 102","author":[{"dropping-particle":"","family":"Higley","given":"K","non-dropping-particle":"","parse-names":false,"suffix":""},{"dropping-particle":"","family":"Real","given":"A","non-dropping-particle":"","parse-names":false,"suffix":""},{"dropping-particle":"","family":"Chambers","given":"D","non-dropping-particle":"","parse-names":false,"suffix":""}],"container-title":"Annals of the ICRP","id":"ITEM-1","issued":{"date-parts":[["2018"]]},"title":"Annals of the ICRP Annals of the ICRP","type":"article-journal","volume":"ICRP ref: "},"uris":["http://www.mendeley.com/documents/?uuid=904f8fc3-43cc-435d-b848-fef0bed7b60c"]}],"mendeley":{"formattedCitation":"&lt;sup&gt;7&lt;/sup&gt;","plainTextFormattedCitation":"7"},"properties":{"noteIndex":0},"schema":"https://github.com/citation-style-language/schema/raw/master/csl-citation.json"}</w:instrText>
      </w:r>
      <w:r>
        <w:rPr>
          <w:rFonts w:asciiTheme="majorHAnsi" w:hAnsiTheme="majorHAnsi" w:cstheme="majorHAnsi"/>
        </w:rPr>
        <w:fldChar w:fldCharType="separate"/>
      </w:r>
      <w:r w:rsidRPr="007E09D5">
        <w:rPr>
          <w:rFonts w:asciiTheme="majorHAnsi" w:hAnsiTheme="majorHAnsi" w:cstheme="majorHAnsi"/>
          <w:noProof/>
          <w:vertAlign w:val="superscript"/>
        </w:rPr>
        <w:t>7</w:t>
      </w:r>
      <w:r>
        <w:rPr>
          <w:rFonts w:asciiTheme="majorHAnsi" w:hAnsiTheme="majorHAnsi" w:cstheme="majorHAnsi"/>
        </w:rPr>
        <w:fldChar w:fldCharType="end"/>
      </w:r>
      <w:r>
        <w:rPr>
          <w:rFonts w:asciiTheme="majorHAnsi" w:hAnsiTheme="majorHAnsi" w:cstheme="majorHAnsi"/>
        </w:rPr>
        <w:t xml:space="preserve">), is the equivalence of approximately 5 mGy alpha. At this dose exposure, the risk of death is not measurably increased. In terms of radiotherapy, however, dose is much higher, as are chances of side effects. This is due to the high risk factor of the disease being treated, and thus radiotherapy side effects are outweighed. These toxic side effects drive the maximum tolerated dose, and are a vital outcome for patient wellbeing and efficacy. While some side effects are dose limiting due to unbearable discomfort, such as xerostomia, others are life threatening, such as renal and hepatic failure. </w:t>
      </w:r>
    </w:p>
    <w:p w14:paraId="079AE31C" w14:textId="0D5365E7" w:rsidR="007B016F" w:rsidRDefault="0048141A" w:rsidP="00504374">
      <w:pPr>
        <w:spacing w:line="480" w:lineRule="auto"/>
        <w:jc w:val="both"/>
        <w:rPr>
          <w:rFonts w:asciiTheme="majorHAnsi" w:hAnsiTheme="majorHAnsi" w:cstheme="majorHAnsi"/>
        </w:rPr>
      </w:pPr>
      <w:r>
        <w:rPr>
          <w:rFonts w:asciiTheme="majorHAnsi" w:hAnsiTheme="majorHAnsi" w:cstheme="majorHAnsi"/>
        </w:rPr>
        <w:lastRenderedPageBreak/>
        <w:t xml:space="preserve">Considering this as the worst case scenario and that the dose is highly confined to these spaces, the side effects are more likely to be on the safe end with less chance of leukopenia or other immune suppression common with bone marrow exposure (cite  - </w:t>
      </w:r>
      <w:r>
        <w:t>Guskova and Baysogolov, 1971 – Radiation sickness classification</w:t>
      </w:r>
      <w:r>
        <w:rPr>
          <w:rFonts w:asciiTheme="majorHAnsi" w:hAnsiTheme="majorHAnsi" w:cstheme="majorHAnsi"/>
        </w:rPr>
        <w:t>).</w:t>
      </w:r>
    </w:p>
    <w:p w14:paraId="351049B0" w14:textId="77777777" w:rsidR="005478DA" w:rsidRDefault="005478DA" w:rsidP="00504374">
      <w:pPr>
        <w:spacing w:line="480" w:lineRule="auto"/>
        <w:jc w:val="both"/>
        <w:rPr>
          <w:rFonts w:asciiTheme="majorHAnsi" w:hAnsiTheme="majorHAnsi" w:cstheme="majorHAnsi"/>
        </w:rPr>
      </w:pPr>
      <w:r>
        <w:rPr>
          <w:rFonts w:asciiTheme="majorHAnsi" w:hAnsiTheme="majorHAnsi" w:cstheme="majorHAnsi"/>
        </w:rPr>
        <w:t>Different tissues’ proliferation rate greatly influences the radiotolerance observed.</w:t>
      </w:r>
    </w:p>
    <w:p w14:paraId="4CE7AAFF"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14:paraId="6E97CC1B" w14:textId="77777777" w:rsidR="00BF46D0" w:rsidRDefault="00BF46D0" w:rsidP="00504374">
      <w:pPr>
        <w:spacing w:line="480" w:lineRule="auto"/>
        <w:jc w:val="both"/>
        <w:rPr>
          <w:rFonts w:asciiTheme="majorHAnsi" w:hAnsiTheme="majorHAnsi" w:cstheme="majorHAnsi"/>
        </w:rPr>
      </w:pPr>
    </w:p>
    <w:p w14:paraId="507E0EFC" w14:textId="77777777" w:rsidR="00BF46D0" w:rsidRDefault="00BF46D0" w:rsidP="00504374">
      <w:pPr>
        <w:spacing w:line="480" w:lineRule="auto"/>
        <w:jc w:val="both"/>
        <w:rPr>
          <w:rFonts w:asciiTheme="majorHAnsi" w:hAnsiTheme="majorHAnsi" w:cstheme="majorHAnsi"/>
        </w:rPr>
      </w:pPr>
    </w:p>
    <w:p w14:paraId="0F11B809" w14:textId="77777777" w:rsidR="005478DA" w:rsidRDefault="006479C4" w:rsidP="00504374">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Gy with medical assistance, or 3.3-4.5 Gy without (</w:t>
      </w:r>
      <w:r w:rsidRPr="006479C4">
        <w:rPr>
          <w:highlight w:val="yellow"/>
        </w:rPr>
        <w:t>UNSCEAR Annex G, 1988</w:t>
      </w:r>
      <w:r>
        <w:t>, ICRP)</w:t>
      </w:r>
      <w:r>
        <w:rPr>
          <w:rFonts w:asciiTheme="majorHAnsi" w:hAnsiTheme="majorHAnsi" w:cstheme="majorHAnsi"/>
        </w:rPr>
        <w:t>.</w:t>
      </w:r>
    </w:p>
    <w:p w14:paraId="35CDE69F" w14:textId="77777777" w:rsidR="00BF46D0" w:rsidRDefault="00BF46D0" w:rsidP="00BF46D0">
      <w:pPr>
        <w:spacing w:line="480" w:lineRule="auto"/>
        <w:jc w:val="both"/>
        <w:rPr>
          <w:rFonts w:asciiTheme="majorHAnsi" w:hAnsiTheme="majorHAnsi" w:cstheme="majorHAnsi"/>
        </w:rPr>
      </w:pPr>
      <w:r>
        <w:rPr>
          <w:rFonts w:asciiTheme="majorHAnsi" w:hAnsiTheme="majorHAnsi" w:cstheme="majorHAnsi"/>
        </w:rPr>
        <w:t xml:space="preserve">Chronic radiation syndrome for humans requires an annual full-body dose of 0.7-1.0 Gy/year of gamma, and cumulative dose greater than 2-3 Gy for 2-3 years </w:t>
      </w:r>
      <w:r>
        <w:rPr>
          <w:rFonts w:asciiTheme="majorHAnsi" w:hAnsiTheme="majorHAnsi" w:cstheme="majorHAnsi"/>
        </w:rPr>
        <w:fldChar w:fldCharType="begin" w:fldLock="1"/>
      </w:r>
      <w:r>
        <w:rPr>
          <w:rFonts w:asciiTheme="majorHAnsi" w:hAnsiTheme="majorHAnsi" w:cstheme="majorHAnsi"/>
        </w:rPr>
        <w:instrText>ADDIN CSL_CITATION {"citationItems":[{"id":"ITEM-1","itemData":{"DOI":"10.1016/j.icrp.2012.02.001","ISSN":"01466453","abstract":"This report provides a review of early and late effects of radiation in normal tissues and organs with respect to radiation protection. It was instigated following a recommendation in Publication 103 (ICRP, 2007), and it provides updated estimates of Ã¢â‚¬Ëœpracticalã¢â‚¬â„¢ threshold doses for tissue injury defined at the level of 1% incidence. Estimates are given for morbidity and mortality endpoints in all organ systems following acute, fractionated, or chronic exposure. The organ systems comprise the haematopoietic, immune, reproductive, circulatory, respiratory, musculoskeletal, endocrine, and nervous systems; the digestive and urinary tracts; the skin; and the eye. Particular attention is paid to circulatory disease and cataracts because of recent evidence of higher incidences of injury than expected after lower doses; hence, threshold doses appear to be lower than previously considered. This is largely because of the increasing incidences with increasing times after exposure. In the context of protection, it is the threshold doses for very long follow-up times that are the most relevant for workers and the public; for example, the atomic bomb survivors with 40Ã¢â‚¬â€œ50 years of follow-up. Radiotherapy data generally apply for shorter follow-up times because of competing causes of death in cancer patients, and hence the risks of radiation-induced circulatory disease at those earlier times are lower. A variety of biological response modifiers have been used to help reduce late reactions in many tissues. These include antioxidants, radical scavengers, inhibitors of apoptosis, anti-inflammatory drugs, angiotensin-converting enzyme inhibitors, growth factors, and cytokines. In many cases, these give dose modification factors of 1.1Ã¢â‚¬â€œ1.2, and in a few cases 1.5Ã¢â‚¬â€œ2, indicating the potential for increasing threshold doses in known exposure cases. In contrast, there are agents that enhance radiation responses, notably other cytotoxic agents such as antimetabolites, alkylating agents, anti-angiogenic drugs, and antibiotics, as well as genetic and comorbidity factors. Most tissues show a sparing effect of dose fractionation, so that total doses for a given endpoint are higher if the dose is fractionated rather than when given as a single dose. However, for reactions manifesting very late after low total doses, particularly for cataracts and circulatory disease, it appears that the rate of dose delivery does not modify the low incidence. This im…","author":[{"dropping-particle":"","family":"Clement","given":"C. H.","non-dropping-particle":"","parse-names":false,"suffix":""},{"dropping-particle":"","family":"Stewart","given":"F. A.","non-dropping-particle":"","parse-names":false,"suffix":""},{"dropping-particle":"V.","family":"Akleyev","given":"A.","non-dropping-particle":"","parse-names":false,"suffix":""},{"dropping-particle":"","family":"Hauer-Jensen","given":"M.","non-dropping-particle":"","parse-names":false,"suffix":""},{"dropping-particle":"","family":"Hendry","given":"J. H.","non-dropping-particle":"","parse-names":false,"suffix":""},{"dropping-particle":"","family":"Kleiman","given":"N. J.","non-dropping-particle":"","parse-names":false,"suffix":""},{"dropping-particle":"","family":"Macvittie","given":"T. J.","non-dropping-particle":"","parse-names":false,"suffix":""},{"dropping-particle":"","family":"Aleman","given":"B. M.","non-dropping-particle":"","parse-names":false,"suffix":""},{"dropping-particle":"","family":"Edgar","given":"A. B.","non-dropping-particle":"","parse-names":false,"suffix":""},{"dropping-particle":"","family":"Mabuchi","given":"K.","non-dropping-particle":"","parse-names":false,"suffix":""},{"dropping-particle":"","family":"Muirhead","given":"C. R.","non-dropping-particle":"","parse-names":false,"suffix":""},{"dropping-particle":"","family":"Shore","given":"R. E.","non-dropping-particle":"","parse-names":false,"suffix":""},{"dropping-particle":"","family":"Wallace","given":"W. H.","non-dropping-particle":"","parse-names":false,"suffix":""}],"container-title":"Annals of the ICRP","id":"ITEM-1","issue":"1-2","issued":{"date-parts":[["2012"]]},"page":"1-322","title":"ICRP publication 118: ICRP Statement on Tissue Reactions and Early and Late Effects of Radiation in Normal Tissues and Organs Ã¢â‚¬â€</w:instrText>
      </w:r>
      <w:r>
        <w:rPr>
          <w:rFonts w:ascii="Calibri Light" w:hAnsi="Calibri Light" w:cs="Calibri Light"/>
        </w:rPr>
        <w:instrText></w:instrText>
      </w:r>
      <w:r>
        <w:rPr>
          <w:rFonts w:asciiTheme="majorHAnsi" w:hAnsiTheme="majorHAnsi" w:cstheme="majorHAnsi"/>
        </w:rPr>
        <w:instrText xml:space="preserve"> Threshold Doses for Tissue Reactions in a Radiation Protection Context","type":"article-journal","volume":"41"},"uris":["http://www.mendeley.com/documents/?uuid=77dc3328-cfa3-4d81-bcfa-6a649573350d"]}],"mendeley":{"formattedCitation":"&lt;sup&gt;5&lt;/sup&gt;","plainTextFormattedCitation":"5","previouslyFormattedCitation":"&lt;sup&gt;5&lt;/sup&gt;"},"properties":{"noteIndex":0},"schema":"https://github.com/citation-style-language/schema/raw/master/csl-citation.json"}</w:instrText>
      </w:r>
      <w:r>
        <w:rPr>
          <w:rFonts w:asciiTheme="majorHAnsi" w:hAnsiTheme="majorHAnsi" w:cstheme="majorHAnsi"/>
        </w:rPr>
        <w:fldChar w:fldCharType="separate"/>
      </w:r>
      <w:r w:rsidRPr="001F39F7">
        <w:rPr>
          <w:rFonts w:asciiTheme="majorHAnsi" w:hAnsiTheme="majorHAnsi" w:cstheme="majorHAnsi"/>
          <w:noProof/>
          <w:vertAlign w:val="superscript"/>
        </w:rPr>
        <w:t>5</w:t>
      </w:r>
      <w:r>
        <w:rPr>
          <w:rFonts w:asciiTheme="majorHAnsi" w:hAnsiTheme="majorHAnsi" w:cstheme="majorHAnsi"/>
        </w:rPr>
        <w:fldChar w:fldCharType="end"/>
      </w:r>
      <w:r>
        <w:rPr>
          <w:rFonts w:asciiTheme="majorHAnsi" w:hAnsiTheme="majorHAnsi" w:cstheme="majorHAnsi"/>
        </w:rPr>
        <w:t>.</w:t>
      </w:r>
    </w:p>
    <w:p w14:paraId="371521D4" w14:textId="77777777" w:rsidR="006479C4" w:rsidRDefault="006479C4" w:rsidP="00504374">
      <w:pPr>
        <w:spacing w:line="480" w:lineRule="auto"/>
        <w:jc w:val="both"/>
        <w:rPr>
          <w:rFonts w:asciiTheme="majorHAnsi" w:hAnsiTheme="majorHAnsi" w:cstheme="majorHAnsi"/>
        </w:rPr>
      </w:pPr>
    </w:p>
    <w:p w14:paraId="40BF811B" w14:textId="77777777" w:rsidR="00AF6DC9" w:rsidRDefault="00AF6DC9" w:rsidP="00504374">
      <w:pPr>
        <w:spacing w:line="480" w:lineRule="auto"/>
        <w:jc w:val="both"/>
        <w:rPr>
          <w:rFonts w:asciiTheme="majorHAnsi" w:hAnsiTheme="majorHAnsi" w:cstheme="majorHAnsi"/>
        </w:rPr>
      </w:pPr>
    </w:p>
    <w:p w14:paraId="0DC8C067" w14:textId="77777777" w:rsidR="00AF6DC9" w:rsidRDefault="00AF6DC9" w:rsidP="00504374">
      <w:pPr>
        <w:spacing w:line="480" w:lineRule="auto"/>
        <w:jc w:val="both"/>
        <w:rPr>
          <w:rFonts w:asciiTheme="majorHAnsi" w:hAnsiTheme="majorHAnsi" w:cstheme="majorHAnsi"/>
        </w:rPr>
      </w:pPr>
    </w:p>
    <w:p w14:paraId="6989EFDB" w14:textId="77777777" w:rsidR="00BB0C69" w:rsidRDefault="009D74FB" w:rsidP="009D74FB">
      <w:pPr>
        <w:spacing w:line="480" w:lineRule="auto"/>
        <w:jc w:val="both"/>
        <w:rPr>
          <w:rFonts w:asciiTheme="majorHAnsi" w:hAnsiTheme="majorHAnsi" w:cstheme="majorHAnsi"/>
        </w:rPr>
      </w:pPr>
      <w:r>
        <w:rPr>
          <w:rFonts w:asciiTheme="majorHAnsi" w:hAnsiTheme="majorHAnsi" w:cstheme="majorHAnsi"/>
        </w:rPr>
        <w:t>The International Committee of Radiation Protection(ICRP) defines the ‘threshold dose’ as an amount of radiation dose to cause an observable effect in only 1% of individuals (estimated dose for 1% incidence, ED</w:t>
      </w:r>
      <w:r>
        <w:rPr>
          <w:rFonts w:asciiTheme="majorHAnsi" w:hAnsiTheme="majorHAnsi" w:cstheme="majorHAnsi"/>
          <w:vertAlign w:val="subscript"/>
        </w:rPr>
        <w:t>1</w:t>
      </w:r>
      <w:r>
        <w:rPr>
          <w:rFonts w:asciiTheme="majorHAnsi" w:hAnsiTheme="majorHAnsi" w:cstheme="majorHAnsi"/>
        </w:rPr>
        <w:t>), but not so far as to say there is no biological effect below that threshold (</w:t>
      </w:r>
      <w:r w:rsidRPr="00EB5409">
        <w:rPr>
          <w:rFonts w:asciiTheme="majorHAnsi" w:hAnsiTheme="majorHAnsi" w:cstheme="majorHAnsi"/>
          <w:highlight w:val="yellow"/>
        </w:rPr>
        <w:t>CITE ICRP</w:t>
      </w:r>
      <w:r>
        <w:rPr>
          <w:rFonts w:asciiTheme="majorHAnsi" w:hAnsiTheme="majorHAnsi" w:cstheme="majorHAnsi"/>
        </w:rPr>
        <w:t>).</w:t>
      </w:r>
    </w:p>
    <w:p w14:paraId="6BC3867D" w14:textId="77777777"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Behr 1999 (High-linear energy transfer (LET) alpha versus low-LET beta emitters in radioimmunotherapy of solid tumors: therapeutic efficacy and dose-limiting toxicity of 213Bi- versus 90Y-labeled CO17-1A Fab' fragments in a human colonic cancer model.)</w:t>
      </w:r>
    </w:p>
    <w:p w14:paraId="470B52C2" w14:textId="77777777" w:rsidR="00782E1D" w:rsidRDefault="00782E1D" w:rsidP="00504374">
      <w:pPr>
        <w:spacing w:line="480" w:lineRule="auto"/>
        <w:jc w:val="both"/>
        <w:rPr>
          <w:rFonts w:asciiTheme="majorHAnsi" w:hAnsiTheme="majorHAnsi" w:cstheme="majorHAnsi"/>
        </w:rPr>
      </w:pPr>
      <w:r>
        <w:rPr>
          <w:rFonts w:asciiTheme="majorHAnsi" w:hAnsiTheme="majorHAnsi" w:cstheme="majorHAnsi"/>
        </w:rPr>
        <w:lastRenderedPageBreak/>
        <w:t>Initial blood dose 5-8 Gy</w:t>
      </w:r>
      <w:r w:rsidR="0025683D">
        <w:rPr>
          <w:rFonts w:asciiTheme="majorHAnsi" w:hAnsiTheme="majorHAnsi" w:cstheme="majorHAnsi"/>
        </w:rPr>
        <w:t xml:space="preserve"> for Bi</w:t>
      </w:r>
      <w:r w:rsidR="009D3005">
        <w:rPr>
          <w:rFonts w:asciiTheme="majorHAnsi" w:hAnsiTheme="majorHAnsi" w:cstheme="majorHAnsi"/>
        </w:rPr>
        <w:t>-213-Fab’ fragments</w:t>
      </w:r>
    </w:p>
    <w:p w14:paraId="1872C54E" w14:textId="77777777"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Gy over </w:t>
      </w:r>
      <w:r w:rsidR="009D3005">
        <w:rPr>
          <w:rFonts w:asciiTheme="majorHAnsi" w:hAnsiTheme="majorHAnsi" w:cstheme="majorHAnsi"/>
        </w:rPr>
        <w:t>for Bi-213-Fab’ fragments</w:t>
      </w:r>
    </w:p>
    <w:p w14:paraId="0607F93C" w14:textId="77777777" w:rsidR="009D74FB" w:rsidRDefault="009D74FB" w:rsidP="00504374">
      <w:pPr>
        <w:spacing w:line="480" w:lineRule="auto"/>
        <w:jc w:val="both"/>
        <w:rPr>
          <w:rFonts w:asciiTheme="majorHAnsi" w:hAnsiTheme="majorHAnsi" w:cstheme="majorHAnsi"/>
        </w:rPr>
      </w:pPr>
    </w:p>
    <w:p w14:paraId="7AF1399A" w14:textId="77777777"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14:paraId="133BBBBD"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Lung – 0.12</w:t>
      </w:r>
    </w:p>
    <w:p w14:paraId="759DFF9F"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14:paraId="49647F48"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14:paraId="2F73C533" w14:textId="77777777" w:rsidR="006479C4" w:rsidRDefault="006479C4" w:rsidP="00504374">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14:paraId="0760F96B" w14:textId="77777777" w:rsidR="00BF46D0" w:rsidRDefault="00BF46D0" w:rsidP="00BF46D0">
      <w:pPr>
        <w:spacing w:line="480" w:lineRule="auto"/>
        <w:jc w:val="both"/>
        <w:rPr>
          <w:rFonts w:asciiTheme="majorHAnsi" w:hAnsiTheme="majorHAnsi" w:cstheme="majorHAnsi"/>
        </w:rPr>
      </w:pPr>
    </w:p>
    <w:p w14:paraId="2E4D20B7" w14:textId="77777777" w:rsidR="00381E10" w:rsidRDefault="00381E10" w:rsidP="00504374">
      <w:pPr>
        <w:spacing w:line="480" w:lineRule="auto"/>
        <w:jc w:val="both"/>
        <w:rPr>
          <w:rFonts w:asciiTheme="majorHAnsi" w:hAnsiTheme="majorHAnsi" w:cstheme="majorHAnsi"/>
          <w:b/>
        </w:rPr>
      </w:pPr>
    </w:p>
    <w:p w14:paraId="5FECD1B6" w14:textId="77777777"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br w:type="page"/>
      </w:r>
    </w:p>
    <w:p w14:paraId="1B362D0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14:paraId="086A2D54" w14:textId="77777777" w:rsidR="00AA5D27" w:rsidRDefault="00AA5D27" w:rsidP="00504374">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14:paraId="6C59A370" w14:textId="77777777" w:rsidR="00677A09" w:rsidRPr="00C06710" w:rsidRDefault="00AA5D27" w:rsidP="00504374">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14:paraId="45DFFB2B"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14:paraId="3CB387A6" w14:textId="77777777" w:rsidR="007E09D5" w:rsidRPr="007E09D5" w:rsidRDefault="004B0392" w:rsidP="007E09D5">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7E09D5" w:rsidRPr="007E09D5">
        <w:rPr>
          <w:rFonts w:ascii="Calibri Light" w:hAnsi="Calibri Light" w:cs="Calibri Light"/>
          <w:noProof/>
          <w:szCs w:val="24"/>
        </w:rPr>
        <w:t xml:space="preserve">1. </w:t>
      </w:r>
      <w:r w:rsidR="007E09D5" w:rsidRPr="007E09D5">
        <w:rPr>
          <w:rFonts w:ascii="Calibri Light" w:hAnsi="Calibri Light" w:cs="Calibri Light"/>
          <w:noProof/>
          <w:szCs w:val="24"/>
        </w:rPr>
        <w:tab/>
        <w:t xml:space="preserve">McDevitt MR, Ma D, Lai L, et al. Tumor Therapy with Targeted Atomic Nanogenerators. </w:t>
      </w:r>
      <w:r w:rsidR="007E09D5" w:rsidRPr="007E09D5">
        <w:rPr>
          <w:rFonts w:ascii="Calibri Light" w:hAnsi="Calibri Light" w:cs="Calibri Light"/>
          <w:i/>
          <w:iCs/>
          <w:noProof/>
          <w:szCs w:val="24"/>
        </w:rPr>
        <w:t>Science (80- )</w:t>
      </w:r>
      <w:r w:rsidR="007E09D5" w:rsidRPr="007E09D5">
        <w:rPr>
          <w:rFonts w:ascii="Calibri Light" w:hAnsi="Calibri Light" w:cs="Calibri Light"/>
          <w:noProof/>
          <w:szCs w:val="24"/>
        </w:rPr>
        <w:t>. 2001;294(5546):1537-1540. doi:10.1126/science.1064126</w:t>
      </w:r>
    </w:p>
    <w:p w14:paraId="4E67BBC7"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2. </w:t>
      </w:r>
      <w:r w:rsidRPr="007E09D5">
        <w:rPr>
          <w:rFonts w:ascii="Calibri Light" w:hAnsi="Calibri Light" w:cs="Calibri Light"/>
          <w:noProof/>
          <w:szCs w:val="24"/>
        </w:rPr>
        <w:tab/>
        <w:t xml:space="preserve">Sharma SK, Chow A, Monette S, et al. Fc-mediated anomalous biodistribution of therapeutic antibodies in immunodeficient mouse models. </w:t>
      </w:r>
      <w:r w:rsidRPr="007E09D5">
        <w:rPr>
          <w:rFonts w:ascii="Calibri Light" w:hAnsi="Calibri Light" w:cs="Calibri Light"/>
          <w:i/>
          <w:iCs/>
          <w:noProof/>
          <w:szCs w:val="24"/>
        </w:rPr>
        <w:t>Cancer Res</w:t>
      </w:r>
      <w:r w:rsidRPr="007E09D5">
        <w:rPr>
          <w:rFonts w:ascii="Calibri Light" w:hAnsi="Calibri Light" w:cs="Calibri Light"/>
          <w:noProof/>
          <w:szCs w:val="24"/>
        </w:rPr>
        <w:t>. 2018;78(7):1820-1832. doi:10.1158/0008-5472.CAN-17-1958</w:t>
      </w:r>
    </w:p>
    <w:p w14:paraId="7C9B9E47"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3. </w:t>
      </w:r>
      <w:r w:rsidRPr="007E09D5">
        <w:rPr>
          <w:rFonts w:ascii="Calibri Light" w:hAnsi="Calibri Light" w:cs="Calibri Light"/>
          <w:noProof/>
          <w:szCs w:val="24"/>
        </w:rPr>
        <w:tab/>
        <w:t xml:space="preserve">A. Scheinberg D, R. McDevitt M. Actinium-225 in Targeted Alpha-Particle Therapeutic Applications. </w:t>
      </w:r>
      <w:r w:rsidRPr="007E09D5">
        <w:rPr>
          <w:rFonts w:ascii="Calibri Light" w:hAnsi="Calibri Light" w:cs="Calibri Light"/>
          <w:i/>
          <w:iCs/>
          <w:noProof/>
          <w:szCs w:val="24"/>
        </w:rPr>
        <w:t>Curr Radiopharm</w:t>
      </w:r>
      <w:r w:rsidRPr="007E09D5">
        <w:rPr>
          <w:rFonts w:ascii="Calibri Light" w:hAnsi="Calibri Light" w:cs="Calibri Light"/>
          <w:noProof/>
          <w:szCs w:val="24"/>
        </w:rPr>
        <w:t>. 2012. doi:10.2174/1874471011104040306</w:t>
      </w:r>
    </w:p>
    <w:p w14:paraId="7913F397"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4. </w:t>
      </w:r>
      <w:r w:rsidRPr="007E09D5">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7E09D5">
        <w:rPr>
          <w:rFonts w:ascii="Calibri Light" w:hAnsi="Calibri Light" w:cs="Calibri Light"/>
          <w:i/>
          <w:iCs/>
          <w:noProof/>
          <w:szCs w:val="24"/>
        </w:rPr>
        <w:t>Sci Rep</w:t>
      </w:r>
      <w:r w:rsidRPr="007E09D5">
        <w:rPr>
          <w:rFonts w:ascii="Calibri Light" w:hAnsi="Calibri Light" w:cs="Calibri Light"/>
          <w:noProof/>
          <w:szCs w:val="24"/>
        </w:rPr>
        <w:t>. 2018;8(1):2-10. doi:10.1038/s41598-018-22511-6</w:t>
      </w:r>
    </w:p>
    <w:p w14:paraId="0D74D3FB"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5. </w:t>
      </w:r>
      <w:r w:rsidRPr="007E09D5">
        <w:rPr>
          <w:rFonts w:ascii="Calibri Light" w:hAnsi="Calibri Light" w:cs="Calibri Light"/>
          <w:noProof/>
          <w:szCs w:val="24"/>
        </w:rPr>
        <w:tab/>
        <w:t xml:space="preserve">Clement CH, Stewart FA, Akleyev A V., et al. ICRP publication 118: ICRP Statement on Tissue Reactions and Early and Late Effects of Radiation in Normal Tissues and Organs Ã¢â‚¬â€ Threshold Doses for Tissue Reactions in a Radiation Protection Context. </w:t>
      </w:r>
      <w:r w:rsidRPr="007E09D5">
        <w:rPr>
          <w:rFonts w:ascii="Calibri Light" w:hAnsi="Calibri Light" w:cs="Calibri Light"/>
          <w:i/>
          <w:iCs/>
          <w:noProof/>
          <w:szCs w:val="24"/>
        </w:rPr>
        <w:t>Ann ICRP</w:t>
      </w:r>
      <w:r w:rsidRPr="007E09D5">
        <w:rPr>
          <w:rFonts w:ascii="Calibri Light" w:hAnsi="Calibri Light" w:cs="Calibri Light"/>
          <w:noProof/>
          <w:szCs w:val="24"/>
        </w:rPr>
        <w:t>. 2012;41(1-2):1-322. doi:10.1016/j.icrp.2012.02.001</w:t>
      </w:r>
    </w:p>
    <w:p w14:paraId="55F4FBDB"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6. </w:t>
      </w:r>
      <w:r w:rsidRPr="007E09D5">
        <w:rPr>
          <w:rFonts w:ascii="Calibri Light" w:hAnsi="Calibri Light" w:cs="Calibri Light"/>
          <w:noProof/>
          <w:szCs w:val="24"/>
        </w:rPr>
        <w:tab/>
        <w:t xml:space="preserve">U.S.NRC. </w:t>
      </w:r>
      <w:r w:rsidRPr="007E09D5">
        <w:rPr>
          <w:rFonts w:ascii="Calibri Light" w:hAnsi="Calibri Light" w:cs="Calibri Light"/>
          <w:i/>
          <w:iCs/>
          <w:noProof/>
          <w:szCs w:val="24"/>
        </w:rPr>
        <w:t>NRC Regulations 10 CFR Subpart C--Occupational Dose Limits--20.1201</w:t>
      </w:r>
      <w:r w:rsidRPr="007E09D5">
        <w:rPr>
          <w:rFonts w:ascii="Calibri Light" w:hAnsi="Calibri Light" w:cs="Calibri Light"/>
          <w:noProof/>
          <w:szCs w:val="24"/>
        </w:rPr>
        <w:t>. https://www.nrc.gov/reading-rm/doc-collections/cfr/part020/part020-1201.html.</w:t>
      </w:r>
    </w:p>
    <w:p w14:paraId="326ED8D3"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7. </w:t>
      </w:r>
      <w:r w:rsidRPr="007E09D5">
        <w:rPr>
          <w:rFonts w:ascii="Calibri Light" w:hAnsi="Calibri Light" w:cs="Calibri Light"/>
          <w:noProof/>
          <w:szCs w:val="24"/>
        </w:rPr>
        <w:tab/>
        <w:t xml:space="preserve">Higley K, Real A, Chambers D. Annals of the ICRP Annals of the ICRP. </w:t>
      </w:r>
      <w:r w:rsidRPr="007E09D5">
        <w:rPr>
          <w:rFonts w:ascii="Calibri Light" w:hAnsi="Calibri Light" w:cs="Calibri Light"/>
          <w:i/>
          <w:iCs/>
          <w:noProof/>
          <w:szCs w:val="24"/>
        </w:rPr>
        <w:t>Ann ICRP</w:t>
      </w:r>
      <w:r w:rsidRPr="007E09D5">
        <w:rPr>
          <w:rFonts w:ascii="Calibri Light" w:hAnsi="Calibri Light" w:cs="Calibri Light"/>
          <w:noProof/>
          <w:szCs w:val="24"/>
        </w:rPr>
        <w:t>. 2018;ICRP ref:</w:t>
      </w:r>
    </w:p>
    <w:p w14:paraId="6180EF71"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8. </w:t>
      </w:r>
      <w:r w:rsidRPr="007E09D5">
        <w:rPr>
          <w:rFonts w:ascii="Calibri Light" w:hAnsi="Calibri Light" w:cs="Calibri Light"/>
          <w:noProof/>
          <w:szCs w:val="24"/>
        </w:rPr>
        <w:tab/>
        <w:t xml:space="preserve">Kratochwil C, Bruchertseifer F, Rathke H, et al. Targeted α-Therapy of Metastatic Castration-Resistant Prostate Cancer with 225 Ac-PSMA-617: Dosimetry Estimate and Empiric Dose Finding. </w:t>
      </w:r>
      <w:r w:rsidRPr="007E09D5">
        <w:rPr>
          <w:rFonts w:ascii="Calibri Light" w:hAnsi="Calibri Light" w:cs="Calibri Light"/>
          <w:i/>
          <w:iCs/>
          <w:noProof/>
          <w:szCs w:val="24"/>
        </w:rPr>
        <w:t>J Nucl Med</w:t>
      </w:r>
      <w:r w:rsidRPr="007E09D5">
        <w:rPr>
          <w:rFonts w:ascii="Calibri Light" w:hAnsi="Calibri Light" w:cs="Calibri Light"/>
          <w:noProof/>
          <w:szCs w:val="24"/>
        </w:rPr>
        <w:t>. 2017;58(10):1624-1631. doi:10.2967/jnumed.117.191395</w:t>
      </w:r>
    </w:p>
    <w:p w14:paraId="2A6EA542"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lastRenderedPageBreak/>
        <w:t xml:space="preserve">9. </w:t>
      </w:r>
      <w:r w:rsidRPr="007E09D5">
        <w:rPr>
          <w:rFonts w:ascii="Calibri Light" w:hAnsi="Calibri Light" w:cs="Calibri Light"/>
          <w:noProof/>
          <w:szCs w:val="24"/>
        </w:rPr>
        <w:tab/>
        <w:t xml:space="preserve">Lengana T, Mahapane J, Lawal I, et al. 225Ac-PSMA-617 in chemotherapy-naive patients with advanced prostate cancer: a pilot study. </w:t>
      </w:r>
      <w:r w:rsidRPr="007E09D5">
        <w:rPr>
          <w:rFonts w:ascii="Calibri Light" w:hAnsi="Calibri Light" w:cs="Calibri Light"/>
          <w:i/>
          <w:iCs/>
          <w:noProof/>
          <w:szCs w:val="24"/>
        </w:rPr>
        <w:t>Eur J Nucl Med Mol Imaging</w:t>
      </w:r>
      <w:r w:rsidRPr="007E09D5">
        <w:rPr>
          <w:rFonts w:ascii="Calibri Light" w:hAnsi="Calibri Light" w:cs="Calibri Light"/>
          <w:noProof/>
          <w:szCs w:val="24"/>
        </w:rPr>
        <w:t>. 2018;46(1):129-138. doi:10.1007/s00259-018-4167-0</w:t>
      </w:r>
    </w:p>
    <w:p w14:paraId="71C69B55"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10. </w:t>
      </w:r>
      <w:r w:rsidRPr="007E09D5">
        <w:rPr>
          <w:rFonts w:ascii="Calibri Light" w:hAnsi="Calibri Light" w:cs="Calibri Light"/>
          <w:noProof/>
          <w:szCs w:val="24"/>
        </w:rPr>
        <w:tab/>
        <w:t xml:space="preserve">Kratochwil C, Schmidt K, Afshar-Oromieh A, et al. Targeted alpha therapy of mCRPC: Dosimetry estimate of 213Bismuth-PSMA-617. </w:t>
      </w:r>
      <w:r w:rsidRPr="007E09D5">
        <w:rPr>
          <w:rFonts w:ascii="Calibri Light" w:hAnsi="Calibri Light" w:cs="Calibri Light"/>
          <w:i/>
          <w:iCs/>
          <w:noProof/>
          <w:szCs w:val="24"/>
        </w:rPr>
        <w:t>Eur J Nucl Med Mol Imaging</w:t>
      </w:r>
      <w:r w:rsidRPr="007E09D5">
        <w:rPr>
          <w:rFonts w:ascii="Calibri Light" w:hAnsi="Calibri Light" w:cs="Calibri Light"/>
          <w:noProof/>
          <w:szCs w:val="24"/>
        </w:rPr>
        <w:t>. 2018;45(1):31-37. doi:10.1007/s00259-017-3817-y</w:t>
      </w:r>
    </w:p>
    <w:p w14:paraId="6B41FB38"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11. </w:t>
      </w:r>
      <w:r w:rsidRPr="007E09D5">
        <w:rPr>
          <w:rFonts w:ascii="Calibri Light" w:hAnsi="Calibri Light" w:cs="Calibri Light"/>
          <w:noProof/>
          <w:szCs w:val="24"/>
        </w:rPr>
        <w:tab/>
        <w:t xml:space="preserve">Jaggi JS, Seshan S V., McDevitt MR, Sgouros G, Hyjek E, Scheinberg DA. Mitigation of radiation nephropathy after internal α-particle irradiation of kidneys. </w:t>
      </w:r>
      <w:r w:rsidRPr="007E09D5">
        <w:rPr>
          <w:rFonts w:ascii="Calibri Light" w:hAnsi="Calibri Light" w:cs="Calibri Light"/>
          <w:i/>
          <w:iCs/>
          <w:noProof/>
          <w:szCs w:val="24"/>
        </w:rPr>
        <w:t>Int J Radiat Oncol Biol Phys</w:t>
      </w:r>
      <w:r w:rsidRPr="007E09D5">
        <w:rPr>
          <w:rFonts w:ascii="Calibri Light" w:hAnsi="Calibri Light" w:cs="Calibri Light"/>
          <w:noProof/>
          <w:szCs w:val="24"/>
        </w:rPr>
        <w:t>. 2006;64(5):1503-1512. doi:10.1016/j.ijrobp.2005.11.036</w:t>
      </w:r>
    </w:p>
    <w:p w14:paraId="5D4F908C"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12. </w:t>
      </w:r>
      <w:r w:rsidRPr="007E09D5">
        <w:rPr>
          <w:rFonts w:ascii="Calibri Light" w:hAnsi="Calibri Light" w:cs="Calibri Light"/>
          <w:noProof/>
          <w:szCs w:val="24"/>
        </w:rPr>
        <w:tab/>
        <w:t xml:space="preserve">Nedrow JR, Josefsson A, Park S, et al. Pharmacokinetics, microscale distribution, and dosimetry of alpha-emitter-labeled anti-PD-L1 antibodies in an immune competent transgenic breast cancer model. </w:t>
      </w:r>
      <w:r w:rsidRPr="007E09D5">
        <w:rPr>
          <w:rFonts w:ascii="Calibri Light" w:hAnsi="Calibri Light" w:cs="Calibri Light"/>
          <w:i/>
          <w:iCs/>
          <w:noProof/>
          <w:szCs w:val="24"/>
        </w:rPr>
        <w:t>EJNMMI Res</w:t>
      </w:r>
      <w:r w:rsidRPr="007E09D5">
        <w:rPr>
          <w:rFonts w:ascii="Calibri Light" w:hAnsi="Calibri Light" w:cs="Calibri Light"/>
          <w:noProof/>
          <w:szCs w:val="24"/>
        </w:rPr>
        <w:t>. 2017;7. doi:10.1186/s13550-017-0303-2</w:t>
      </w:r>
    </w:p>
    <w:p w14:paraId="506938C7"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13. </w:t>
      </w:r>
      <w:r w:rsidRPr="007E09D5">
        <w:rPr>
          <w:rFonts w:ascii="Calibri Light" w:hAnsi="Calibri Light" w:cs="Calibri Light"/>
          <w:noProof/>
          <w:szCs w:val="24"/>
        </w:rPr>
        <w:tab/>
        <w:t xml:space="preserve">Pan CC, Kavanagh BD, Dawson LA, et al. Radiation-Associated Liver Injury. </w:t>
      </w:r>
      <w:r w:rsidRPr="007E09D5">
        <w:rPr>
          <w:rFonts w:ascii="Calibri Light" w:hAnsi="Calibri Light" w:cs="Calibri Light"/>
          <w:i/>
          <w:iCs/>
          <w:noProof/>
          <w:szCs w:val="24"/>
        </w:rPr>
        <w:t>Int J Radiat Oncol Biol Phys</w:t>
      </w:r>
      <w:r w:rsidRPr="007E09D5">
        <w:rPr>
          <w:rFonts w:ascii="Calibri Light" w:hAnsi="Calibri Light" w:cs="Calibri Light"/>
          <w:noProof/>
          <w:szCs w:val="24"/>
        </w:rPr>
        <w:t>. 2010. doi:10.1016/j.ijrobp.2009.06.092</w:t>
      </w:r>
    </w:p>
    <w:p w14:paraId="6FB4160A"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szCs w:val="24"/>
        </w:rPr>
      </w:pPr>
      <w:r w:rsidRPr="007E09D5">
        <w:rPr>
          <w:rFonts w:ascii="Calibri Light" w:hAnsi="Calibri Light" w:cs="Calibri Light"/>
          <w:noProof/>
          <w:szCs w:val="24"/>
        </w:rPr>
        <w:t xml:space="preserve">14. </w:t>
      </w:r>
      <w:r w:rsidRPr="007E09D5">
        <w:rPr>
          <w:rFonts w:ascii="Calibri Light" w:hAnsi="Calibri Light" w:cs="Calibri Light"/>
          <w:noProof/>
          <w:szCs w:val="24"/>
        </w:rPr>
        <w:tab/>
        <w:t xml:space="preserve">Fliedner TM, Graessle DH, Meineke V, Feinendegen LE. Hemopoietic response to low dose-rates of ionizing radiation shows stem cell tolerance and adaptation. </w:t>
      </w:r>
      <w:r w:rsidRPr="007E09D5">
        <w:rPr>
          <w:rFonts w:ascii="Calibri Light" w:hAnsi="Calibri Light" w:cs="Calibri Light"/>
          <w:i/>
          <w:iCs/>
          <w:noProof/>
          <w:szCs w:val="24"/>
        </w:rPr>
        <w:t>Dose-Response</w:t>
      </w:r>
      <w:r w:rsidRPr="007E09D5">
        <w:rPr>
          <w:rFonts w:ascii="Calibri Light" w:hAnsi="Calibri Light" w:cs="Calibri Light"/>
          <w:noProof/>
          <w:szCs w:val="24"/>
        </w:rPr>
        <w:t>. 2012. doi:10.2203/dose-response.12-014.Feinendegen</w:t>
      </w:r>
    </w:p>
    <w:p w14:paraId="6ABE5F1D" w14:textId="77777777" w:rsidR="007E09D5" w:rsidRPr="007E09D5" w:rsidRDefault="007E09D5" w:rsidP="007E09D5">
      <w:pPr>
        <w:widowControl w:val="0"/>
        <w:autoSpaceDE w:val="0"/>
        <w:autoSpaceDN w:val="0"/>
        <w:adjustRightInd w:val="0"/>
        <w:spacing w:line="480" w:lineRule="auto"/>
        <w:ind w:left="640" w:hanging="640"/>
        <w:rPr>
          <w:rFonts w:ascii="Calibri Light" w:hAnsi="Calibri Light" w:cs="Calibri Light"/>
          <w:noProof/>
        </w:rPr>
      </w:pPr>
      <w:r w:rsidRPr="007E09D5">
        <w:rPr>
          <w:rFonts w:ascii="Calibri Light" w:hAnsi="Calibri Light" w:cs="Calibri Light"/>
          <w:noProof/>
          <w:szCs w:val="24"/>
        </w:rPr>
        <w:t xml:space="preserve">15. </w:t>
      </w:r>
      <w:r w:rsidRPr="007E09D5">
        <w:rPr>
          <w:rFonts w:ascii="Calibri Light" w:hAnsi="Calibri Light" w:cs="Calibri Light"/>
          <w:noProof/>
          <w:szCs w:val="24"/>
        </w:rPr>
        <w:tab/>
        <w:t xml:space="preserve">Akleyev A V. Normal tissue reactions to chronic radiation exposure in man. </w:t>
      </w:r>
      <w:r w:rsidRPr="007E09D5">
        <w:rPr>
          <w:rFonts w:ascii="Calibri Light" w:hAnsi="Calibri Light" w:cs="Calibri Light"/>
          <w:i/>
          <w:iCs/>
          <w:noProof/>
          <w:szCs w:val="24"/>
        </w:rPr>
        <w:t>Radiat Prot Dosimetry</w:t>
      </w:r>
      <w:r w:rsidRPr="007E09D5">
        <w:rPr>
          <w:rFonts w:ascii="Calibri Light" w:hAnsi="Calibri Light" w:cs="Calibri Light"/>
          <w:noProof/>
          <w:szCs w:val="24"/>
        </w:rPr>
        <w:t>. 2016. doi:10.1093/rpd/ncw207</w:t>
      </w:r>
    </w:p>
    <w:p w14:paraId="2453C184" w14:textId="77777777"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14:paraId="3C33A099" w14:textId="77777777" w:rsidR="00DC487F" w:rsidRPr="00C06710" w:rsidRDefault="00DC487F" w:rsidP="00504374">
      <w:pPr>
        <w:spacing w:line="480" w:lineRule="auto"/>
        <w:jc w:val="both"/>
        <w:rPr>
          <w:rFonts w:asciiTheme="majorHAnsi" w:hAnsiTheme="majorHAnsi" w:cstheme="majorHAnsi"/>
        </w:rPr>
      </w:pPr>
    </w:p>
    <w:p w14:paraId="23A4D78A"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lastRenderedPageBreak/>
        <w:br w:type="page"/>
      </w:r>
    </w:p>
    <w:p w14:paraId="2D5ABDD7" w14:textId="5084AB2B" w:rsidR="0036205C" w:rsidRDefault="0036205C">
      <w:pPr>
        <w:rPr>
          <w:rFonts w:asciiTheme="majorHAnsi" w:hAnsiTheme="majorHAnsi" w:cstheme="majorHAnsi"/>
          <w:b/>
          <w:sz w:val="24"/>
        </w:rPr>
      </w:pPr>
      <w:r>
        <w:rPr>
          <w:rFonts w:asciiTheme="majorHAnsi" w:hAnsiTheme="majorHAnsi" w:cstheme="majorHAnsi"/>
          <w:b/>
          <w:sz w:val="24"/>
        </w:rPr>
        <w:lastRenderedPageBreak/>
        <w:t>TABLES</w:t>
      </w:r>
    </w:p>
    <w:p w14:paraId="0CA7715B" w14:textId="77777777" w:rsidR="0036205C" w:rsidRDefault="0036205C">
      <w:pPr>
        <w:rPr>
          <w:rFonts w:asciiTheme="majorHAnsi" w:hAnsiTheme="majorHAnsi" w:cstheme="majorHAnsi"/>
          <w:b/>
          <w:sz w:val="24"/>
        </w:rPr>
      </w:pPr>
    </w:p>
    <w:p w14:paraId="103C2E54" w14:textId="6E230506" w:rsidR="0036205C" w:rsidRDefault="000A4F8B">
      <w:pPr>
        <w:rPr>
          <w:rFonts w:asciiTheme="majorHAnsi" w:hAnsiTheme="majorHAnsi" w:cstheme="majorHAnsi"/>
          <w:b/>
          <w:sz w:val="24"/>
        </w:rPr>
      </w:pPr>
      <w:r>
        <w:rPr>
          <w:rFonts w:asciiTheme="majorHAnsi" w:hAnsiTheme="majorHAnsi" w:cstheme="majorHAnsi"/>
          <w:b/>
          <w:sz w:val="24"/>
        </w:rPr>
        <w:pict w14:anchorId="728A61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3pt">
            <v:imagedata r:id="rId10" o:title="table1"/>
          </v:shape>
        </w:pict>
      </w:r>
      <w:r w:rsidR="0036205C">
        <w:rPr>
          <w:rFonts w:asciiTheme="majorHAnsi" w:hAnsiTheme="majorHAnsi" w:cstheme="majorHAnsi"/>
          <w:b/>
          <w:sz w:val="24"/>
        </w:rPr>
        <w:br w:type="page"/>
      </w:r>
    </w:p>
    <w:p w14:paraId="05ED8754" w14:textId="33990406"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14:paraId="046D4BDB" w14:textId="77777777"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12CE8A5D" wp14:editId="189EC8EF">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14:paraId="5164D88D" w14:textId="77777777"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14:paraId="0471A872" w14:textId="77777777"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CE8A5D"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164D88D" w14:textId="77777777"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471A872" w14:textId="77777777" w:rsidR="00DE4F74" w:rsidRPr="004C5CCC" w:rsidRDefault="00DE4F74" w:rsidP="00DE4F74">
                        <w:pPr>
                          <w:rPr>
                            <w:b/>
                            <w:sz w:val="32"/>
                          </w:rPr>
                        </w:pPr>
                        <w:r>
                          <w:rPr>
                            <w:b/>
                            <w:sz w:val="32"/>
                          </w:rPr>
                          <w:t>B</w:t>
                        </w:r>
                      </w:p>
                    </w:txbxContent>
                  </v:textbox>
                </v:shape>
              </v:group>
            </w:pict>
          </mc:Fallback>
        </mc:AlternateContent>
      </w:r>
    </w:p>
    <w:p w14:paraId="7003B5B8" w14:textId="77777777" w:rsidR="002F6861"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1E8F46AD" wp14:editId="79972A1E">
            <wp:extent cx="1009650" cy="2514600"/>
            <wp:effectExtent l="0" t="0" r="0" b="0"/>
            <wp:docPr id="23" name="Picture 1" descr="Ac-225_Decay_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5_Decay_Cha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9650" cy="2514600"/>
                    </a:xfrm>
                    <a:prstGeom prst="rect">
                      <a:avLst/>
                    </a:prstGeom>
                    <a:noFill/>
                    <a:ln>
                      <a:noFill/>
                    </a:ln>
                  </pic:spPr>
                </pic:pic>
              </a:graphicData>
            </a:graphic>
          </wp:inline>
        </w:drawing>
      </w:r>
      <w:r w:rsidR="002F6861">
        <w:rPr>
          <w:rFonts w:asciiTheme="majorHAnsi" w:hAnsiTheme="majorHAnsi" w:cstheme="majorHAnsi"/>
          <w:noProof/>
        </w:rPr>
        <w:drawing>
          <wp:inline distT="0" distB="0" distL="0" distR="0" wp14:anchorId="3737C7D8" wp14:editId="71FA888D">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14:paraId="595F57A4" w14:textId="77777777"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33557652" wp14:editId="70A8ED3F">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1BA27257" wp14:editId="42092F2C">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14:paraId="39B21BE6" w14:textId="77777777"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14:paraId="00E520EC" w14:textId="77777777" w:rsidR="00563D98" w:rsidRPr="00563D98"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75639455" wp14:editId="083E698F">
            <wp:extent cx="5943600" cy="2486025"/>
            <wp:effectExtent l="0" t="0" r="0" b="9525"/>
            <wp:docPr id="21" name="Picture 2" descr="RDperGeq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DperGeqn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12CB375" w14:textId="77777777"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14:paraId="5AED7269" w14:textId="77777777" w:rsidR="00DE5EED" w:rsidRDefault="0073529E" w:rsidP="00504374">
      <w:pPr>
        <w:spacing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5D643CFC" wp14:editId="69846590">
            <wp:extent cx="5934075" cy="1695450"/>
            <wp:effectExtent l="0" t="0" r="9525" b="0"/>
            <wp:docPr id="20" name="Picture 3" descr="localizationRati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izationRatioN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624B0288" w14:textId="77777777"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14:paraId="72ACF3D2" w14:textId="77777777" w:rsidR="00DE5EED" w:rsidRDefault="00DE5EED" w:rsidP="00504374">
      <w:pPr>
        <w:jc w:val="both"/>
        <w:rPr>
          <w:rFonts w:asciiTheme="majorHAnsi" w:hAnsiTheme="majorHAnsi" w:cstheme="majorHAnsi"/>
        </w:rPr>
      </w:pPr>
    </w:p>
    <w:p w14:paraId="7012A603" w14:textId="77777777" w:rsidR="00435035" w:rsidRDefault="00435035" w:rsidP="00504374">
      <w:pPr>
        <w:jc w:val="both"/>
        <w:rPr>
          <w:rFonts w:asciiTheme="majorHAnsi" w:hAnsiTheme="majorHAnsi" w:cstheme="majorHAnsi"/>
        </w:rPr>
      </w:pPr>
      <w:r>
        <w:rPr>
          <w:rFonts w:asciiTheme="majorHAnsi" w:hAnsiTheme="majorHAnsi" w:cstheme="majorHAnsi"/>
        </w:rPr>
        <w:br w:type="page"/>
      </w:r>
    </w:p>
    <w:p w14:paraId="1677C27E" w14:textId="77777777" w:rsidR="00E87AE7" w:rsidRPr="00C06710"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1739333C" wp14:editId="086F4A2F">
            <wp:extent cx="5934075" cy="5400675"/>
            <wp:effectExtent l="0" t="0" r="9525" b="9525"/>
            <wp:docPr id="19" name="Picture 4" descr="dose1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1Let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0B6D29ED" w14:textId="77777777"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14:paraId="75EE2DE1" w14:textId="77777777" w:rsidR="00E87AE7" w:rsidRPr="00C06710" w:rsidRDefault="0073529E" w:rsidP="00504374">
      <w:pPr>
        <w:spacing w:line="480" w:lineRule="auto"/>
        <w:jc w:val="both"/>
        <w:rPr>
          <w:rFonts w:asciiTheme="majorHAnsi" w:hAnsiTheme="majorHAnsi" w:cstheme="majorHAnsi"/>
        </w:rPr>
      </w:pPr>
      <w:r>
        <w:rPr>
          <w:rFonts w:asciiTheme="majorHAnsi" w:hAnsiTheme="majorHAnsi" w:cstheme="majorHAnsi"/>
          <w:noProof/>
        </w:rPr>
        <w:lastRenderedPageBreak/>
        <w:drawing>
          <wp:inline distT="0" distB="0" distL="0" distR="0" wp14:anchorId="307DA832" wp14:editId="5FAA45B4">
            <wp:extent cx="5943600" cy="5534025"/>
            <wp:effectExtent l="0" t="0" r="0" b="9525"/>
            <wp:docPr id="18" name="Picture 5" descr="dose2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e2Let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noFill/>
                    </a:ln>
                  </pic:spPr>
                </pic:pic>
              </a:graphicData>
            </a:graphic>
          </wp:inline>
        </w:drawing>
      </w:r>
    </w:p>
    <w:p w14:paraId="4D630733" w14:textId="77777777"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14:paraId="6B18101C" w14:textId="77777777" w:rsidR="005C6C33" w:rsidRDefault="0073529E" w:rsidP="00504374">
      <w:pPr>
        <w:jc w:val="both"/>
        <w:rPr>
          <w:rFonts w:asciiTheme="majorHAnsi" w:hAnsiTheme="majorHAnsi" w:cstheme="majorHAnsi"/>
          <w:b/>
          <w:sz w:val="24"/>
        </w:rPr>
      </w:pPr>
      <w:r>
        <w:rPr>
          <w:rFonts w:asciiTheme="majorHAnsi" w:hAnsiTheme="majorHAnsi" w:cstheme="majorHAnsi"/>
          <w:b/>
          <w:noProof/>
          <w:sz w:val="24"/>
        </w:rPr>
        <w:lastRenderedPageBreak/>
        <w:drawing>
          <wp:inline distT="0" distB="0" distL="0" distR="0" wp14:anchorId="2240E56E" wp14:editId="2EAE7B0A">
            <wp:extent cx="5943600" cy="1914525"/>
            <wp:effectExtent l="0" t="0" r="0" b="9525"/>
            <wp:docPr id="17" name="Picture 6" descr="dos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52EE12F" w14:textId="77777777"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14:paraId="428187D7"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14:paraId="7E450CAE" w14:textId="77777777"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14:paraId="3A047DA6" w14:textId="77777777"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14:paraId="59552EAE" w14:textId="77777777"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14:paraId="33ECC033" w14:textId="77777777"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14:paraId="1C962917" w14:textId="77777777" w:rsidR="009B5463" w:rsidRDefault="009B5463" w:rsidP="00504374">
      <w:pPr>
        <w:jc w:val="both"/>
        <w:rPr>
          <w:rFonts w:asciiTheme="majorHAnsi" w:hAnsiTheme="majorHAnsi" w:cstheme="majorHAnsi"/>
        </w:rPr>
      </w:pPr>
      <w:r>
        <w:rPr>
          <w:rFonts w:asciiTheme="majorHAnsi" w:hAnsiTheme="majorHAnsi" w:cstheme="majorHAnsi"/>
        </w:rPr>
        <w:br w:type="page"/>
      </w:r>
    </w:p>
    <w:p w14:paraId="47B3128C" w14:textId="77777777"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14:paraId="3BDB71BB" w14:textId="77777777" w:rsidR="009B5463" w:rsidRDefault="0073529E" w:rsidP="00504374">
      <w:pPr>
        <w:spacing w:line="480" w:lineRule="auto"/>
        <w:jc w:val="both"/>
        <w:rPr>
          <w:rFonts w:asciiTheme="majorHAnsi" w:hAnsiTheme="majorHAnsi" w:cstheme="majorHAnsi"/>
        </w:rPr>
      </w:pPr>
      <w:r>
        <w:rPr>
          <w:rFonts w:asciiTheme="majorHAnsi" w:hAnsiTheme="majorHAnsi" w:cstheme="majorHAnsi"/>
          <w:noProof/>
        </w:rPr>
        <w:drawing>
          <wp:inline distT="0" distB="0" distL="0" distR="0" wp14:anchorId="76B2EC72" wp14:editId="4925CBFF">
            <wp:extent cx="2981325" cy="3048000"/>
            <wp:effectExtent l="0" t="0" r="9525" b="0"/>
            <wp:docPr id="16" name="Picture 7" descr="ave MeV per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 MeV per cou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25" cy="3048000"/>
                    </a:xfrm>
                    <a:prstGeom prst="rect">
                      <a:avLst/>
                    </a:prstGeom>
                    <a:noFill/>
                    <a:ln>
                      <a:noFill/>
                    </a:ln>
                  </pic:spPr>
                </pic:pic>
              </a:graphicData>
            </a:graphic>
          </wp:inline>
        </w:drawing>
      </w:r>
    </w:p>
    <w:p w14:paraId="6CA6E9D9" w14:textId="77777777"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14:paraId="5A661EA5" w14:textId="77777777" w:rsidR="004C18BE" w:rsidRDefault="0073529E" w:rsidP="00504374">
      <w:pPr>
        <w:jc w:val="both"/>
        <w:rPr>
          <w:rFonts w:asciiTheme="majorHAnsi" w:hAnsiTheme="majorHAnsi" w:cstheme="majorHAnsi"/>
        </w:rPr>
      </w:pPr>
      <w:r>
        <w:rPr>
          <w:rFonts w:asciiTheme="majorHAnsi" w:hAnsiTheme="majorHAnsi" w:cstheme="majorHAnsi"/>
          <w:noProof/>
        </w:rPr>
        <w:lastRenderedPageBreak/>
        <w:drawing>
          <wp:inline distT="0" distB="0" distL="0" distR="0" wp14:anchorId="4A0FD5C5" wp14:editId="5C88C221">
            <wp:extent cx="5934075" cy="3781425"/>
            <wp:effectExtent l="0" t="0" r="9525" b="9525"/>
            <wp:docPr id="15" name="Picture 8" descr="BioD_comb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D_combo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1AB280AD" w14:textId="77777777"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14:paraId="4CFF336E" w14:textId="77777777" w:rsidR="009B5463" w:rsidRDefault="009B5463" w:rsidP="00504374">
      <w:pPr>
        <w:spacing w:line="480" w:lineRule="auto"/>
        <w:jc w:val="both"/>
        <w:rPr>
          <w:rFonts w:asciiTheme="majorHAnsi" w:hAnsiTheme="majorHAnsi" w:cstheme="majorHAnsi"/>
          <w:b/>
        </w:rPr>
      </w:pPr>
    </w:p>
    <w:p w14:paraId="7564E0D8" w14:textId="77777777" w:rsidR="00563D98" w:rsidRDefault="00563D98" w:rsidP="00504374">
      <w:pPr>
        <w:jc w:val="both"/>
        <w:rPr>
          <w:rFonts w:asciiTheme="majorHAnsi" w:hAnsiTheme="majorHAnsi" w:cstheme="majorHAnsi"/>
          <w:b/>
        </w:rPr>
      </w:pPr>
      <w:r>
        <w:rPr>
          <w:rFonts w:asciiTheme="majorHAnsi" w:hAnsiTheme="majorHAnsi" w:cstheme="majorHAnsi"/>
          <w:b/>
        </w:rPr>
        <w:br w:type="page"/>
      </w:r>
    </w:p>
    <w:p w14:paraId="3A12AF29" w14:textId="77777777" w:rsidR="0026230D" w:rsidRDefault="0073529E"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58C447C" wp14:editId="712BEA03">
            <wp:extent cx="5943600" cy="1343025"/>
            <wp:effectExtent l="0" t="0" r="0" b="9525"/>
            <wp:docPr id="14" name="Picture 9" descr="HOPO_RDp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O_RDpe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79D698EC" w14:textId="77777777"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p>
    <w:p w14:paraId="38B59E8E" w14:textId="77777777" w:rsidR="00582129" w:rsidRPr="005C6C33" w:rsidRDefault="00582129" w:rsidP="00504374">
      <w:pPr>
        <w:spacing w:line="480" w:lineRule="auto"/>
        <w:jc w:val="both"/>
        <w:rPr>
          <w:rFonts w:asciiTheme="majorHAnsi" w:hAnsiTheme="majorHAnsi" w:cstheme="majorHAnsi"/>
        </w:rPr>
      </w:pPr>
    </w:p>
    <w:p w14:paraId="2A907B23" w14:textId="77777777" w:rsidR="00582129" w:rsidRDefault="00582129" w:rsidP="00504374">
      <w:pPr>
        <w:jc w:val="both"/>
        <w:rPr>
          <w:rFonts w:asciiTheme="majorHAnsi" w:hAnsiTheme="majorHAnsi" w:cstheme="majorHAnsi"/>
          <w:b/>
        </w:rPr>
      </w:pPr>
      <w:r>
        <w:rPr>
          <w:rFonts w:asciiTheme="majorHAnsi" w:hAnsiTheme="majorHAnsi" w:cstheme="majorHAnsi"/>
          <w:b/>
        </w:rPr>
        <w:br w:type="page"/>
      </w:r>
    </w:p>
    <w:p w14:paraId="03D0C77C" w14:textId="77777777"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3CBD724C" wp14:editId="4AD6952A">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14:paraId="7B818462" w14:textId="77777777"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14:paraId="32C0A77A"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23E5C12C"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25255802" wp14:editId="24ADFFD9">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2073DB4D"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8A81B05"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73288AA3" w14:textId="77777777"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255802"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2073DB4D" w14:textId="77777777"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8A81B05" w14:textId="77777777"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73288AA3" w14:textId="77777777" w:rsidR="00BF4891" w:rsidRPr="004C5CCC" w:rsidRDefault="00BF4891" w:rsidP="00BF4891">
                        <w:pPr>
                          <w:rPr>
                            <w:b/>
                            <w:sz w:val="32"/>
                          </w:rPr>
                        </w:pPr>
                        <w:r>
                          <w:rPr>
                            <w:b/>
                            <w:sz w:val="32"/>
                          </w:rPr>
                          <w:t>C</w:t>
                        </w:r>
                      </w:p>
                    </w:txbxContent>
                  </v:textbox>
                </v:shape>
              </v:group>
            </w:pict>
          </mc:Fallback>
        </mc:AlternateContent>
      </w:r>
      <w:r w:rsidR="0073529E">
        <w:rPr>
          <w:rFonts w:asciiTheme="majorHAnsi" w:hAnsiTheme="majorHAnsi" w:cstheme="majorHAnsi"/>
          <w:b/>
          <w:noProof/>
        </w:rPr>
        <w:drawing>
          <wp:inline distT="0" distB="0" distL="0" distR="0" wp14:anchorId="423CE75F" wp14:editId="3585028D">
            <wp:extent cx="5943600" cy="5753100"/>
            <wp:effectExtent l="0" t="0" r="0" b="0"/>
            <wp:docPr id="6" name="Picture 10" descr="d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eS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40308442" w14:textId="77777777"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14:paraId="204EB890" w14:textId="77777777" w:rsidR="00DC4DD3" w:rsidRDefault="00DC4DD3" w:rsidP="00504374">
      <w:pPr>
        <w:jc w:val="both"/>
        <w:rPr>
          <w:rFonts w:asciiTheme="majorHAnsi" w:hAnsiTheme="majorHAnsi" w:cstheme="majorHAnsi"/>
          <w:b/>
        </w:rPr>
      </w:pPr>
      <w:r>
        <w:rPr>
          <w:rFonts w:asciiTheme="majorHAnsi" w:hAnsiTheme="majorHAnsi" w:cstheme="majorHAnsi"/>
          <w:b/>
        </w:rPr>
        <w:br w:type="page"/>
      </w:r>
    </w:p>
    <w:p w14:paraId="070B24F6" w14:textId="77777777"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4ABFA94C" wp14:editId="35CEACCA">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52BF8308" w14:textId="77777777"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1E93A2E3" w14:textId="77777777"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BFA94C"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2BF8308" w14:textId="77777777"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E93A2E3" w14:textId="77777777" w:rsidR="00BF4891" w:rsidRPr="004C5CCC" w:rsidRDefault="00BF4891" w:rsidP="00BF4891">
                        <w:pPr>
                          <w:rPr>
                            <w:b/>
                            <w:sz w:val="32"/>
                          </w:rPr>
                        </w:pPr>
                        <w:r>
                          <w:rPr>
                            <w:b/>
                            <w:sz w:val="32"/>
                          </w:rPr>
                          <w:t>B</w:t>
                        </w:r>
                      </w:p>
                    </w:txbxContent>
                  </v:textbox>
                </v:shape>
              </v:group>
            </w:pict>
          </mc:Fallback>
        </mc:AlternateContent>
      </w:r>
      <w:r w:rsidR="0073529E">
        <w:rPr>
          <w:rFonts w:asciiTheme="majorHAnsi" w:hAnsiTheme="majorHAnsi" w:cstheme="majorHAnsi"/>
          <w:b/>
          <w:noProof/>
        </w:rPr>
        <w:drawing>
          <wp:inline distT="0" distB="0" distL="0" distR="0" wp14:anchorId="54C7959A" wp14:editId="07C31515">
            <wp:extent cx="5934075" cy="5734050"/>
            <wp:effectExtent l="0" t="0" r="9525" b="0"/>
            <wp:docPr id="5" name="Picture 11" descr="d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e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734050"/>
                    </a:xfrm>
                    <a:prstGeom prst="rect">
                      <a:avLst/>
                    </a:prstGeom>
                    <a:noFill/>
                    <a:ln>
                      <a:noFill/>
                    </a:ln>
                  </pic:spPr>
                </pic:pic>
              </a:graphicData>
            </a:graphic>
          </wp:inline>
        </w:drawing>
      </w:r>
    </w:p>
    <w:p w14:paraId="5195B121" w14:textId="77777777"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14:paraId="76B92EEE" w14:textId="77777777" w:rsidR="005C6C33" w:rsidRDefault="005C6C33" w:rsidP="00504374">
      <w:pPr>
        <w:jc w:val="both"/>
        <w:rPr>
          <w:rFonts w:asciiTheme="majorHAnsi" w:hAnsiTheme="majorHAnsi" w:cstheme="majorHAnsi"/>
        </w:rPr>
      </w:pPr>
      <w:r>
        <w:rPr>
          <w:rFonts w:asciiTheme="majorHAnsi" w:hAnsiTheme="majorHAnsi" w:cstheme="majorHAnsi"/>
        </w:rPr>
        <w:br w:type="page"/>
      </w:r>
    </w:p>
    <w:p w14:paraId="394A4889" w14:textId="77777777" w:rsidR="005C6C33"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620C7BD4" wp14:editId="13F74C82">
            <wp:extent cx="5943600" cy="4629150"/>
            <wp:effectExtent l="0" t="0" r="0" b="0"/>
            <wp:docPr id="12" name="Picture 12" descr="doseEqH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eEqHOP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71CD9525" w14:textId="77777777"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14:paraId="76DFA36D" w14:textId="77777777" w:rsidR="00CD587F" w:rsidRDefault="00CD587F">
      <w:pPr>
        <w:rPr>
          <w:rFonts w:asciiTheme="majorHAnsi" w:hAnsiTheme="majorHAnsi" w:cstheme="majorHAnsi"/>
        </w:rPr>
      </w:pPr>
      <w:r>
        <w:rPr>
          <w:rFonts w:asciiTheme="majorHAnsi" w:hAnsiTheme="majorHAnsi" w:cstheme="majorHAnsi"/>
        </w:rPr>
        <w:br w:type="page"/>
      </w:r>
    </w:p>
    <w:p w14:paraId="7C8D7784" w14:textId="77777777" w:rsidR="00CD587F" w:rsidRDefault="0073529E"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113EDE90" wp14:editId="33ECEACB">
            <wp:extent cx="4143375" cy="4133850"/>
            <wp:effectExtent l="0" t="0" r="9525" b="0"/>
            <wp:docPr id="13" name="Picture 13" descr="complexStability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StabilityEstim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4133850"/>
                    </a:xfrm>
                    <a:prstGeom prst="rect">
                      <a:avLst/>
                    </a:prstGeom>
                    <a:noFill/>
                    <a:ln>
                      <a:noFill/>
                    </a:ln>
                  </pic:spPr>
                </pic:pic>
              </a:graphicData>
            </a:graphic>
          </wp:inline>
        </w:drawing>
      </w:r>
    </w:p>
    <w:p w14:paraId="5A2F0AF2" w14:textId="77777777" w:rsidR="00CF3C1B" w:rsidRDefault="00CD587F" w:rsidP="00504374">
      <w:pPr>
        <w:jc w:val="both"/>
        <w:rPr>
          <w:rFonts w:asciiTheme="majorHAnsi" w:hAnsiTheme="majorHAnsi" w:cstheme="majorHAnsi"/>
          <w:b/>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r w:rsidR="00CF3C1B">
        <w:rPr>
          <w:rFonts w:asciiTheme="majorHAnsi" w:hAnsiTheme="majorHAnsi" w:cstheme="majorHAnsi"/>
          <w:b/>
        </w:rPr>
        <w:br w:type="page"/>
      </w:r>
    </w:p>
    <w:p w14:paraId="59C3D9D4" w14:textId="77777777"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22F8353B" wp14:editId="271ED6DA">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14:paraId="4CD12E71" w14:textId="77777777"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14:paraId="71AA4515" w14:textId="77777777"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14:paraId="44F29213" w14:textId="77777777"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14:paraId="68850DD8" w14:textId="77777777"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14:paraId="30254704" w14:textId="77777777"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14:paraId="3A1B70A7" w14:textId="77777777"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14:paraId="052A61C3" w14:textId="77777777"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14:paraId="66F75459" w14:textId="77777777"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14:paraId="787DB904" w14:textId="77777777"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w:pict>
              <v:group w14:anchorId="22F8353B" id="Group 35" o:spid="_x0000_s1036" style="position:absolute;left:0;text-align:left;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4CD12E71" w14:textId="77777777"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71AA4515" w14:textId="77777777"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4F29213" w14:textId="77777777"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8850DD8" w14:textId="77777777"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0254704" w14:textId="77777777"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A1B70A7" w14:textId="77777777"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52A61C3" w14:textId="77777777"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6F75459" w14:textId="77777777"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787DB904" w14:textId="77777777" w:rsidR="00582129" w:rsidRPr="004C5CCC" w:rsidRDefault="00582129" w:rsidP="00582129">
                        <w:pPr>
                          <w:rPr>
                            <w:b/>
                            <w:sz w:val="32"/>
                          </w:rPr>
                        </w:pPr>
                        <w:r>
                          <w:rPr>
                            <w:b/>
                            <w:sz w:val="32"/>
                          </w:rPr>
                          <w:t>I</w:t>
                        </w:r>
                      </w:p>
                    </w:txbxContent>
                  </v:textbox>
                </v:shape>
              </v:group>
            </w:pict>
          </mc:Fallback>
        </mc:AlternateContent>
      </w:r>
    </w:p>
    <w:p w14:paraId="498873C8" w14:textId="77777777"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525286F" wp14:editId="5D8D0FDA">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14:paraId="68A1A2FC" w14:textId="77777777"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14:paraId="5ADE70A9" w14:textId="77777777"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14:paraId="444B74B8" w14:textId="77777777"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14:paraId="580583A7" w14:textId="77777777"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14:paraId="020269D8" w14:textId="77777777"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14:paraId="5B326E19" w14:textId="77777777"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w:pict>
              <v:group w14:anchorId="6525286F"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8A1A2FC" w14:textId="77777777"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ADE70A9" w14:textId="77777777"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444B74B8" w14:textId="77777777"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80583A7" w14:textId="77777777"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20269D8" w14:textId="77777777"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326E19" w14:textId="77777777"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rew Lakes" w:date="2019-08-07T17:38:00Z" w:initials="ALL">
    <w:p w14:paraId="1ECD64CD" w14:textId="77777777" w:rsidR="00F07D79" w:rsidRDefault="00F07D79" w:rsidP="00F07D79">
      <w:pPr>
        <w:pStyle w:val="CommentText"/>
      </w:pPr>
      <w:r>
        <w:rPr>
          <w:rStyle w:val="CommentReference"/>
        </w:rPr>
        <w:annotationRef/>
      </w:r>
      <w:r>
        <w:t>Can’t find any protein-Ac-225 dose toxicity in humans! Some clinical trials in ‘Blood” journal, but can’t access.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CD64C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Lakes">
    <w15:presenceInfo w15:providerId="None" w15:userId="Andrew Lak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87F"/>
    <w:rsid w:val="00015FC3"/>
    <w:rsid w:val="000213FF"/>
    <w:rsid w:val="00026BE2"/>
    <w:rsid w:val="00031F3A"/>
    <w:rsid w:val="00042F11"/>
    <w:rsid w:val="00044576"/>
    <w:rsid w:val="00047FA0"/>
    <w:rsid w:val="000525B1"/>
    <w:rsid w:val="00065026"/>
    <w:rsid w:val="000668AB"/>
    <w:rsid w:val="00066B20"/>
    <w:rsid w:val="00081F16"/>
    <w:rsid w:val="00082B36"/>
    <w:rsid w:val="000867BD"/>
    <w:rsid w:val="000875D0"/>
    <w:rsid w:val="0009724C"/>
    <w:rsid w:val="0009798D"/>
    <w:rsid w:val="000A4F8B"/>
    <w:rsid w:val="000B26C0"/>
    <w:rsid w:val="000E016E"/>
    <w:rsid w:val="000E31FA"/>
    <w:rsid w:val="000E698C"/>
    <w:rsid w:val="000F047C"/>
    <w:rsid w:val="00101D64"/>
    <w:rsid w:val="00112CFC"/>
    <w:rsid w:val="00113F18"/>
    <w:rsid w:val="001241BF"/>
    <w:rsid w:val="0013203E"/>
    <w:rsid w:val="00137814"/>
    <w:rsid w:val="001400E2"/>
    <w:rsid w:val="00143FE0"/>
    <w:rsid w:val="00153388"/>
    <w:rsid w:val="0015344D"/>
    <w:rsid w:val="00155432"/>
    <w:rsid w:val="00165CD1"/>
    <w:rsid w:val="00166AF1"/>
    <w:rsid w:val="001707AE"/>
    <w:rsid w:val="00186DD6"/>
    <w:rsid w:val="001A49A2"/>
    <w:rsid w:val="001B0AFB"/>
    <w:rsid w:val="001B6560"/>
    <w:rsid w:val="001C20EC"/>
    <w:rsid w:val="001C51D0"/>
    <w:rsid w:val="001D1790"/>
    <w:rsid w:val="001D1FE5"/>
    <w:rsid w:val="001D4AE3"/>
    <w:rsid w:val="001E75F4"/>
    <w:rsid w:val="001F39F7"/>
    <w:rsid w:val="00223A76"/>
    <w:rsid w:val="00237E06"/>
    <w:rsid w:val="00241575"/>
    <w:rsid w:val="002443D0"/>
    <w:rsid w:val="002474C9"/>
    <w:rsid w:val="0025243C"/>
    <w:rsid w:val="0025683D"/>
    <w:rsid w:val="0026230D"/>
    <w:rsid w:val="00270D54"/>
    <w:rsid w:val="00272FF3"/>
    <w:rsid w:val="00276FC0"/>
    <w:rsid w:val="0029181E"/>
    <w:rsid w:val="002929D8"/>
    <w:rsid w:val="002B6F29"/>
    <w:rsid w:val="002C4963"/>
    <w:rsid w:val="002D5C08"/>
    <w:rsid w:val="002E414A"/>
    <w:rsid w:val="002E5D9D"/>
    <w:rsid w:val="002F0417"/>
    <w:rsid w:val="002F6861"/>
    <w:rsid w:val="00304F19"/>
    <w:rsid w:val="00320348"/>
    <w:rsid w:val="003217EB"/>
    <w:rsid w:val="00323B3C"/>
    <w:rsid w:val="00327877"/>
    <w:rsid w:val="00336BF6"/>
    <w:rsid w:val="0036205C"/>
    <w:rsid w:val="00365116"/>
    <w:rsid w:val="003720E2"/>
    <w:rsid w:val="00374B7A"/>
    <w:rsid w:val="00381E10"/>
    <w:rsid w:val="00392D3F"/>
    <w:rsid w:val="003A7DE3"/>
    <w:rsid w:val="003B3516"/>
    <w:rsid w:val="003C003F"/>
    <w:rsid w:val="003C0829"/>
    <w:rsid w:val="003C30A7"/>
    <w:rsid w:val="003E6AF1"/>
    <w:rsid w:val="003E6DF9"/>
    <w:rsid w:val="003F08F5"/>
    <w:rsid w:val="003F1D71"/>
    <w:rsid w:val="003F2504"/>
    <w:rsid w:val="00411AC1"/>
    <w:rsid w:val="00413A2D"/>
    <w:rsid w:val="0042324E"/>
    <w:rsid w:val="0043194E"/>
    <w:rsid w:val="00432ECF"/>
    <w:rsid w:val="00435035"/>
    <w:rsid w:val="00440054"/>
    <w:rsid w:val="00460E9F"/>
    <w:rsid w:val="00471ABD"/>
    <w:rsid w:val="00473E19"/>
    <w:rsid w:val="0048141A"/>
    <w:rsid w:val="00485645"/>
    <w:rsid w:val="00487510"/>
    <w:rsid w:val="004916D3"/>
    <w:rsid w:val="004B0392"/>
    <w:rsid w:val="004B408E"/>
    <w:rsid w:val="004C18BE"/>
    <w:rsid w:val="004C5CCC"/>
    <w:rsid w:val="004D0AE6"/>
    <w:rsid w:val="004E0487"/>
    <w:rsid w:val="005009C2"/>
    <w:rsid w:val="00504374"/>
    <w:rsid w:val="005104C0"/>
    <w:rsid w:val="005112DE"/>
    <w:rsid w:val="005117C4"/>
    <w:rsid w:val="005154D9"/>
    <w:rsid w:val="005161CF"/>
    <w:rsid w:val="00526BC6"/>
    <w:rsid w:val="00536F26"/>
    <w:rsid w:val="00543223"/>
    <w:rsid w:val="005478DA"/>
    <w:rsid w:val="00554F8F"/>
    <w:rsid w:val="00563D98"/>
    <w:rsid w:val="005704EE"/>
    <w:rsid w:val="005720C6"/>
    <w:rsid w:val="005725B1"/>
    <w:rsid w:val="00574BE2"/>
    <w:rsid w:val="00582129"/>
    <w:rsid w:val="005A5B0B"/>
    <w:rsid w:val="005A7BA4"/>
    <w:rsid w:val="005B569E"/>
    <w:rsid w:val="005C6C33"/>
    <w:rsid w:val="005F1DCF"/>
    <w:rsid w:val="005F5EFB"/>
    <w:rsid w:val="005F772F"/>
    <w:rsid w:val="006012E3"/>
    <w:rsid w:val="006043F9"/>
    <w:rsid w:val="0062220D"/>
    <w:rsid w:val="00633C1F"/>
    <w:rsid w:val="006479C4"/>
    <w:rsid w:val="00653A4E"/>
    <w:rsid w:val="00657B63"/>
    <w:rsid w:val="00662E68"/>
    <w:rsid w:val="00667620"/>
    <w:rsid w:val="00677A09"/>
    <w:rsid w:val="00681DC6"/>
    <w:rsid w:val="00687C85"/>
    <w:rsid w:val="00690B7B"/>
    <w:rsid w:val="006A1879"/>
    <w:rsid w:val="006B024D"/>
    <w:rsid w:val="006C1847"/>
    <w:rsid w:val="006C7A50"/>
    <w:rsid w:val="00706049"/>
    <w:rsid w:val="00722B68"/>
    <w:rsid w:val="0073529E"/>
    <w:rsid w:val="007565E7"/>
    <w:rsid w:val="00765788"/>
    <w:rsid w:val="00782A95"/>
    <w:rsid w:val="00782E1D"/>
    <w:rsid w:val="00787894"/>
    <w:rsid w:val="0079797F"/>
    <w:rsid w:val="007A00B2"/>
    <w:rsid w:val="007B016F"/>
    <w:rsid w:val="007C120E"/>
    <w:rsid w:val="007C360F"/>
    <w:rsid w:val="007C435E"/>
    <w:rsid w:val="007C5A41"/>
    <w:rsid w:val="007E09D5"/>
    <w:rsid w:val="007E3A6C"/>
    <w:rsid w:val="007E6034"/>
    <w:rsid w:val="007F2318"/>
    <w:rsid w:val="00803EB3"/>
    <w:rsid w:val="00804805"/>
    <w:rsid w:val="00810AA5"/>
    <w:rsid w:val="00827A42"/>
    <w:rsid w:val="00841B05"/>
    <w:rsid w:val="00861B35"/>
    <w:rsid w:val="0086594B"/>
    <w:rsid w:val="008806D1"/>
    <w:rsid w:val="008807CD"/>
    <w:rsid w:val="00883B0B"/>
    <w:rsid w:val="0089058B"/>
    <w:rsid w:val="00896D09"/>
    <w:rsid w:val="008A3CE1"/>
    <w:rsid w:val="008A6021"/>
    <w:rsid w:val="008B1A72"/>
    <w:rsid w:val="008B1E20"/>
    <w:rsid w:val="008C03B5"/>
    <w:rsid w:val="008C67B8"/>
    <w:rsid w:val="008C7A7C"/>
    <w:rsid w:val="008C7C57"/>
    <w:rsid w:val="008E4DE5"/>
    <w:rsid w:val="008E62EB"/>
    <w:rsid w:val="008F235B"/>
    <w:rsid w:val="008F6E8B"/>
    <w:rsid w:val="009079E2"/>
    <w:rsid w:val="009273B0"/>
    <w:rsid w:val="00936059"/>
    <w:rsid w:val="009651F3"/>
    <w:rsid w:val="009652AA"/>
    <w:rsid w:val="00965420"/>
    <w:rsid w:val="009770CC"/>
    <w:rsid w:val="00980AF2"/>
    <w:rsid w:val="009874E9"/>
    <w:rsid w:val="009B3AF2"/>
    <w:rsid w:val="009B5463"/>
    <w:rsid w:val="009B57A8"/>
    <w:rsid w:val="009D3005"/>
    <w:rsid w:val="009D74FB"/>
    <w:rsid w:val="009E563F"/>
    <w:rsid w:val="009E5990"/>
    <w:rsid w:val="009E5B8D"/>
    <w:rsid w:val="00A24E78"/>
    <w:rsid w:val="00A463C7"/>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41D32"/>
    <w:rsid w:val="00B45EF9"/>
    <w:rsid w:val="00B51AEF"/>
    <w:rsid w:val="00B535CB"/>
    <w:rsid w:val="00B553A6"/>
    <w:rsid w:val="00B56B08"/>
    <w:rsid w:val="00B614C6"/>
    <w:rsid w:val="00B64C11"/>
    <w:rsid w:val="00B721EB"/>
    <w:rsid w:val="00B9671C"/>
    <w:rsid w:val="00BA53AD"/>
    <w:rsid w:val="00BB0C69"/>
    <w:rsid w:val="00BB313B"/>
    <w:rsid w:val="00BC0E45"/>
    <w:rsid w:val="00BD2433"/>
    <w:rsid w:val="00BE10C4"/>
    <w:rsid w:val="00BE3D23"/>
    <w:rsid w:val="00BE4B84"/>
    <w:rsid w:val="00BF46D0"/>
    <w:rsid w:val="00BF4891"/>
    <w:rsid w:val="00BF5AB7"/>
    <w:rsid w:val="00C026AE"/>
    <w:rsid w:val="00C06710"/>
    <w:rsid w:val="00C12BBB"/>
    <w:rsid w:val="00C16D83"/>
    <w:rsid w:val="00C25F05"/>
    <w:rsid w:val="00C351F1"/>
    <w:rsid w:val="00C53CAB"/>
    <w:rsid w:val="00C609DD"/>
    <w:rsid w:val="00C61142"/>
    <w:rsid w:val="00C6542C"/>
    <w:rsid w:val="00C66364"/>
    <w:rsid w:val="00C73F8F"/>
    <w:rsid w:val="00C74806"/>
    <w:rsid w:val="00C769C3"/>
    <w:rsid w:val="00C81EF2"/>
    <w:rsid w:val="00C868B0"/>
    <w:rsid w:val="00C875BC"/>
    <w:rsid w:val="00C90718"/>
    <w:rsid w:val="00C91C83"/>
    <w:rsid w:val="00C96069"/>
    <w:rsid w:val="00CA2C43"/>
    <w:rsid w:val="00CB6D0D"/>
    <w:rsid w:val="00CC1637"/>
    <w:rsid w:val="00CC6756"/>
    <w:rsid w:val="00CC765A"/>
    <w:rsid w:val="00CD587F"/>
    <w:rsid w:val="00CD6374"/>
    <w:rsid w:val="00CE02B6"/>
    <w:rsid w:val="00CF2B00"/>
    <w:rsid w:val="00CF3C1B"/>
    <w:rsid w:val="00D04A6D"/>
    <w:rsid w:val="00D05504"/>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330E"/>
    <w:rsid w:val="00E26EAB"/>
    <w:rsid w:val="00E42290"/>
    <w:rsid w:val="00E507F2"/>
    <w:rsid w:val="00E63FA2"/>
    <w:rsid w:val="00E74ACE"/>
    <w:rsid w:val="00E87AE7"/>
    <w:rsid w:val="00E91DBE"/>
    <w:rsid w:val="00E922DD"/>
    <w:rsid w:val="00E95790"/>
    <w:rsid w:val="00E965F7"/>
    <w:rsid w:val="00EB2525"/>
    <w:rsid w:val="00EB5409"/>
    <w:rsid w:val="00EC658F"/>
    <w:rsid w:val="00EE3F64"/>
    <w:rsid w:val="00EF6630"/>
    <w:rsid w:val="00F053C3"/>
    <w:rsid w:val="00F05C62"/>
    <w:rsid w:val="00F07D79"/>
    <w:rsid w:val="00F17823"/>
    <w:rsid w:val="00F218B4"/>
    <w:rsid w:val="00F235DC"/>
    <w:rsid w:val="00F32DFA"/>
    <w:rsid w:val="00F340EB"/>
    <w:rsid w:val="00F360BB"/>
    <w:rsid w:val="00F419C4"/>
    <w:rsid w:val="00F42A11"/>
    <w:rsid w:val="00F54B35"/>
    <w:rsid w:val="00F66D21"/>
    <w:rsid w:val="00F70C61"/>
    <w:rsid w:val="00F802DD"/>
    <w:rsid w:val="00F95432"/>
    <w:rsid w:val="00FB11F2"/>
    <w:rsid w:val="00FB1FE2"/>
    <w:rsid w:val="00FB3CD8"/>
    <w:rsid w:val="00FB4FF0"/>
    <w:rsid w:val="00FB58CC"/>
    <w:rsid w:val="00FC4EE4"/>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C2578"/>
  <w15:docId w15:val="{03A3F463-4A8E-41BD-BE6B-3EBD7441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 w:type="character" w:styleId="CommentReference">
    <w:name w:val="annotation reference"/>
    <w:basedOn w:val="DefaultParagraphFont"/>
    <w:uiPriority w:val="99"/>
    <w:semiHidden/>
    <w:unhideWhenUsed/>
    <w:rsid w:val="00EB2525"/>
    <w:rPr>
      <w:sz w:val="16"/>
      <w:szCs w:val="16"/>
    </w:rPr>
  </w:style>
  <w:style w:type="paragraph" w:styleId="CommentText">
    <w:name w:val="annotation text"/>
    <w:basedOn w:val="Normal"/>
    <w:link w:val="CommentTextChar"/>
    <w:uiPriority w:val="99"/>
    <w:semiHidden/>
    <w:unhideWhenUsed/>
    <w:rsid w:val="00EB2525"/>
    <w:pPr>
      <w:spacing w:line="240" w:lineRule="auto"/>
    </w:pPr>
    <w:rPr>
      <w:sz w:val="20"/>
      <w:szCs w:val="20"/>
    </w:rPr>
  </w:style>
  <w:style w:type="character" w:customStyle="1" w:styleId="CommentTextChar">
    <w:name w:val="Comment Text Char"/>
    <w:basedOn w:val="DefaultParagraphFont"/>
    <w:link w:val="CommentText"/>
    <w:uiPriority w:val="99"/>
    <w:semiHidden/>
    <w:rsid w:val="00EB2525"/>
    <w:rPr>
      <w:sz w:val="20"/>
      <w:szCs w:val="20"/>
    </w:rPr>
  </w:style>
  <w:style w:type="paragraph" w:styleId="CommentSubject">
    <w:name w:val="annotation subject"/>
    <w:basedOn w:val="CommentText"/>
    <w:next w:val="CommentText"/>
    <w:link w:val="CommentSubjectChar"/>
    <w:uiPriority w:val="99"/>
    <w:semiHidden/>
    <w:unhideWhenUsed/>
    <w:rsid w:val="00EB2525"/>
    <w:rPr>
      <w:b/>
      <w:bCs/>
    </w:rPr>
  </w:style>
  <w:style w:type="character" w:customStyle="1" w:styleId="CommentSubjectChar">
    <w:name w:val="Comment Subject Char"/>
    <w:basedOn w:val="CommentTextChar"/>
    <w:link w:val="CommentSubject"/>
    <w:uiPriority w:val="99"/>
    <w:semiHidden/>
    <w:rsid w:val="00EB25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andrewllakes@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1BB01-07CC-4909-BEB3-39ADBB96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1</Pages>
  <Words>15253</Words>
  <Characters>86944</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cp:lastModifiedBy>
  <cp:revision>17</cp:revision>
  <dcterms:created xsi:type="dcterms:W3CDTF">2019-08-06T17:50:00Z</dcterms:created>
  <dcterms:modified xsi:type="dcterms:W3CDTF">2019-08-08T07:15:00Z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