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E9D93" w14:textId="77777777" w:rsidR="00F22444" w:rsidRDefault="00F22444" w:rsidP="000045A0">
      <w:pPr>
        <w:jc w:val="center"/>
        <w:rPr>
          <w:sz w:val="48"/>
          <w:szCs w:val="48"/>
        </w:rPr>
      </w:pPr>
    </w:p>
    <w:p w14:paraId="7EBBC06B" w14:textId="77777777" w:rsidR="000045A0" w:rsidRDefault="000045A0" w:rsidP="000045A0">
      <w:pPr>
        <w:jc w:val="center"/>
        <w:rPr>
          <w:sz w:val="48"/>
          <w:szCs w:val="48"/>
        </w:rPr>
      </w:pPr>
    </w:p>
    <w:p w14:paraId="562CFC6C" w14:textId="77777777" w:rsidR="000045A0" w:rsidRDefault="000045A0" w:rsidP="000045A0">
      <w:pPr>
        <w:jc w:val="center"/>
        <w:rPr>
          <w:sz w:val="48"/>
          <w:szCs w:val="48"/>
        </w:rPr>
      </w:pPr>
    </w:p>
    <w:p w14:paraId="03D1B645" w14:textId="77777777" w:rsidR="000045A0" w:rsidRDefault="000045A0" w:rsidP="000045A0">
      <w:pPr>
        <w:jc w:val="center"/>
        <w:rPr>
          <w:sz w:val="48"/>
          <w:szCs w:val="48"/>
        </w:rPr>
      </w:pPr>
    </w:p>
    <w:p w14:paraId="1F4A300A" w14:textId="77777777" w:rsidR="000045A0" w:rsidRDefault="000045A0" w:rsidP="000045A0">
      <w:pPr>
        <w:jc w:val="center"/>
        <w:rPr>
          <w:sz w:val="48"/>
          <w:szCs w:val="48"/>
        </w:rPr>
      </w:pPr>
    </w:p>
    <w:p w14:paraId="7C21A13B" w14:textId="77777777" w:rsidR="000045A0" w:rsidRDefault="000045A0" w:rsidP="000045A0">
      <w:pPr>
        <w:jc w:val="center"/>
        <w:rPr>
          <w:sz w:val="48"/>
          <w:szCs w:val="48"/>
        </w:rPr>
      </w:pPr>
    </w:p>
    <w:p w14:paraId="4F8FD4E3" w14:textId="77777777" w:rsidR="007760CE" w:rsidRDefault="007760CE" w:rsidP="000045A0">
      <w:pPr>
        <w:jc w:val="center"/>
        <w:rPr>
          <w:sz w:val="48"/>
          <w:szCs w:val="48"/>
        </w:rPr>
      </w:pPr>
      <w:r w:rsidRPr="001D3BEB">
        <w:rPr>
          <w:sz w:val="48"/>
          <w:szCs w:val="48"/>
        </w:rPr>
        <w:t>Sustainability report and areas for</w:t>
      </w:r>
      <w:r w:rsidR="00E712C3">
        <w:rPr>
          <w:sz w:val="48"/>
          <w:szCs w:val="48"/>
        </w:rPr>
        <w:t xml:space="preserve"> further</w:t>
      </w:r>
      <w:r w:rsidRPr="001D3BEB">
        <w:rPr>
          <w:sz w:val="48"/>
          <w:szCs w:val="48"/>
        </w:rPr>
        <w:t xml:space="preserve"> improvement at the University of Cincinnati</w:t>
      </w:r>
    </w:p>
    <w:p w14:paraId="5BE6E30D" w14:textId="77777777" w:rsidR="001D3BEB" w:rsidRDefault="001D3BEB" w:rsidP="000045A0">
      <w:pPr>
        <w:jc w:val="center"/>
        <w:rPr>
          <w:sz w:val="48"/>
          <w:szCs w:val="48"/>
        </w:rPr>
      </w:pPr>
    </w:p>
    <w:p w14:paraId="31335E14" w14:textId="77777777" w:rsidR="000045A0" w:rsidRDefault="000045A0" w:rsidP="000045A0">
      <w:pPr>
        <w:jc w:val="center"/>
        <w:rPr>
          <w:sz w:val="48"/>
          <w:szCs w:val="48"/>
        </w:rPr>
      </w:pPr>
    </w:p>
    <w:p w14:paraId="1AACF2AB" w14:textId="77777777" w:rsidR="000045A0" w:rsidRDefault="000045A0" w:rsidP="000045A0">
      <w:pPr>
        <w:jc w:val="center"/>
        <w:rPr>
          <w:sz w:val="48"/>
          <w:szCs w:val="48"/>
        </w:rPr>
      </w:pPr>
    </w:p>
    <w:p w14:paraId="77E655F2" w14:textId="77777777" w:rsidR="000045A0" w:rsidRDefault="000045A0" w:rsidP="000045A0">
      <w:pPr>
        <w:jc w:val="center"/>
        <w:rPr>
          <w:sz w:val="48"/>
          <w:szCs w:val="48"/>
        </w:rPr>
      </w:pPr>
    </w:p>
    <w:p w14:paraId="5A7C1E39" w14:textId="77777777" w:rsidR="000045A0" w:rsidRDefault="000045A0" w:rsidP="000045A0">
      <w:pPr>
        <w:jc w:val="center"/>
        <w:rPr>
          <w:sz w:val="48"/>
          <w:szCs w:val="48"/>
        </w:rPr>
      </w:pPr>
    </w:p>
    <w:p w14:paraId="66A04D8B" w14:textId="77777777" w:rsidR="000045A0" w:rsidRDefault="000045A0" w:rsidP="000045A0">
      <w:pPr>
        <w:jc w:val="center"/>
        <w:rPr>
          <w:sz w:val="48"/>
          <w:szCs w:val="48"/>
        </w:rPr>
      </w:pPr>
    </w:p>
    <w:p w14:paraId="2ECBA95C" w14:textId="77777777" w:rsidR="000045A0" w:rsidRPr="001D3BEB" w:rsidRDefault="000045A0" w:rsidP="000045A0">
      <w:pPr>
        <w:jc w:val="center"/>
        <w:rPr>
          <w:sz w:val="48"/>
          <w:szCs w:val="48"/>
        </w:rPr>
      </w:pPr>
    </w:p>
    <w:p w14:paraId="2021F506" w14:textId="77777777" w:rsidR="001D3BEB" w:rsidRDefault="001D3BEB" w:rsidP="000045A0">
      <w:pPr>
        <w:jc w:val="center"/>
      </w:pPr>
      <w:r>
        <w:t>Prepared for:</w:t>
      </w:r>
    </w:p>
    <w:p w14:paraId="51C1B927" w14:textId="77777777" w:rsidR="001D3BEB" w:rsidRDefault="001D3BEB" w:rsidP="000045A0">
      <w:pPr>
        <w:jc w:val="center"/>
      </w:pPr>
      <w:r>
        <w:t>Santa J. Ono, President</w:t>
      </w:r>
    </w:p>
    <w:p w14:paraId="0FE8DC12" w14:textId="77777777" w:rsidR="001D3BEB" w:rsidRDefault="001D3BEB" w:rsidP="000045A0">
      <w:pPr>
        <w:jc w:val="center"/>
      </w:pPr>
      <w:r>
        <w:t>University of Cincinnati</w:t>
      </w:r>
    </w:p>
    <w:p w14:paraId="734F5C47" w14:textId="77777777" w:rsidR="00F47C85" w:rsidRDefault="007760CE" w:rsidP="000045A0">
      <w:pPr>
        <w:jc w:val="center"/>
      </w:pPr>
      <w:r>
        <w:t xml:space="preserve">2600 Clifton Ave. Cincinnati, OH </w:t>
      </w:r>
      <w:r w:rsidR="001D3BEB">
        <w:t>45220</w:t>
      </w:r>
      <w:r>
        <w:t xml:space="preserve"> </w:t>
      </w:r>
    </w:p>
    <w:p w14:paraId="46940368" w14:textId="77777777" w:rsidR="001D3BEB" w:rsidRDefault="001D3BEB" w:rsidP="000045A0">
      <w:pPr>
        <w:jc w:val="center"/>
      </w:pPr>
    </w:p>
    <w:p w14:paraId="4E891E45" w14:textId="77777777" w:rsidR="002E33E9" w:rsidRDefault="002E33E9" w:rsidP="000045A0">
      <w:pPr>
        <w:jc w:val="center"/>
      </w:pPr>
    </w:p>
    <w:p w14:paraId="3753911C" w14:textId="77777777" w:rsidR="001D3BEB" w:rsidRDefault="001D3BEB" w:rsidP="000045A0">
      <w:pPr>
        <w:jc w:val="center"/>
      </w:pPr>
      <w:r>
        <w:t>Prepared by:</w:t>
      </w:r>
    </w:p>
    <w:p w14:paraId="1BF2C155" w14:textId="77777777" w:rsidR="001D3BEB" w:rsidRDefault="001D3BEB" w:rsidP="000045A0">
      <w:pPr>
        <w:jc w:val="center"/>
      </w:pPr>
      <w:r>
        <w:t>Andrew Lively</w:t>
      </w:r>
    </w:p>
    <w:p w14:paraId="4AEF8B68" w14:textId="77777777" w:rsidR="001D3BEB" w:rsidRDefault="001D3BEB" w:rsidP="000045A0">
      <w:pPr>
        <w:jc w:val="center"/>
      </w:pPr>
      <w:r>
        <w:t xml:space="preserve">President’s Advisory Council on Environment </w:t>
      </w:r>
      <w:r w:rsidR="00E712C3">
        <w:t>and Sustainability (PACES)</w:t>
      </w:r>
    </w:p>
    <w:p w14:paraId="62C3F117" w14:textId="77777777" w:rsidR="00E712C3" w:rsidRDefault="00E712C3" w:rsidP="000045A0">
      <w:pPr>
        <w:jc w:val="center"/>
      </w:pPr>
      <w:r>
        <w:t>October 20th,</w:t>
      </w:r>
      <w:r w:rsidR="00F22444">
        <w:t xml:space="preserve"> 2014</w:t>
      </w:r>
    </w:p>
    <w:p w14:paraId="1204F72B" w14:textId="77777777" w:rsidR="00F22444" w:rsidRDefault="00F22444" w:rsidP="000045A0">
      <w:pPr>
        <w:jc w:val="center"/>
      </w:pPr>
    </w:p>
    <w:p w14:paraId="638AF11B" w14:textId="77777777" w:rsidR="00F22444" w:rsidRDefault="00F22444" w:rsidP="000045A0">
      <w:pPr>
        <w:jc w:val="center"/>
      </w:pPr>
    </w:p>
    <w:p w14:paraId="293D4D3F" w14:textId="77777777" w:rsidR="00D60EC4" w:rsidRDefault="00D60EC4" w:rsidP="000045A0">
      <w:pPr>
        <w:jc w:val="center"/>
      </w:pPr>
    </w:p>
    <w:p w14:paraId="2FC92049" w14:textId="77777777" w:rsidR="00D60EC4" w:rsidRDefault="00D60EC4" w:rsidP="000045A0">
      <w:pPr>
        <w:jc w:val="center"/>
      </w:pPr>
    </w:p>
    <w:p w14:paraId="469AB240" w14:textId="77777777" w:rsidR="00272924" w:rsidRDefault="00272924" w:rsidP="000045A0">
      <w:pPr>
        <w:jc w:val="center"/>
        <w:sectPr w:rsidR="00272924" w:rsidSect="006A37B8">
          <w:headerReference w:type="even" r:id="rId8"/>
          <w:footerReference w:type="even" r:id="rId9"/>
          <w:footerReference w:type="default" r:id="rId10"/>
          <w:pgSz w:w="12240" w:h="15840"/>
          <w:pgMar w:top="1440" w:right="1800" w:bottom="1440" w:left="1800" w:header="720" w:footer="720" w:gutter="0"/>
          <w:cols w:space="720"/>
          <w:docGrid w:linePitch="360"/>
        </w:sectPr>
      </w:pPr>
    </w:p>
    <w:p w14:paraId="51E8656A" w14:textId="19680529" w:rsidR="00D60EC4" w:rsidRDefault="00D60EC4" w:rsidP="000045A0">
      <w:pPr>
        <w:jc w:val="center"/>
      </w:pPr>
    </w:p>
    <w:p w14:paraId="5B8765A1" w14:textId="77777777" w:rsidR="00D60EC4" w:rsidRDefault="00D60EC4" w:rsidP="000045A0">
      <w:pPr>
        <w:jc w:val="center"/>
      </w:pPr>
    </w:p>
    <w:p w14:paraId="7452AE52" w14:textId="77777777" w:rsidR="00D60EC4" w:rsidRDefault="00D60EC4" w:rsidP="000045A0">
      <w:pPr>
        <w:jc w:val="center"/>
      </w:pPr>
    </w:p>
    <w:p w14:paraId="3FCEBABD" w14:textId="77777777" w:rsidR="00414832" w:rsidRDefault="00414832" w:rsidP="000045A0">
      <w:pPr>
        <w:jc w:val="center"/>
      </w:pPr>
    </w:p>
    <w:p w14:paraId="78DEB5FE" w14:textId="77777777" w:rsidR="00414832" w:rsidRDefault="00414832" w:rsidP="000045A0">
      <w:pPr>
        <w:jc w:val="center"/>
      </w:pPr>
    </w:p>
    <w:p w14:paraId="22F68204" w14:textId="77777777" w:rsidR="00D60EC4" w:rsidRDefault="00D60EC4" w:rsidP="000045A0">
      <w:pPr>
        <w:jc w:val="center"/>
      </w:pPr>
    </w:p>
    <w:p w14:paraId="65E6A19A" w14:textId="77777777" w:rsidR="00D60EC4" w:rsidRDefault="00D60EC4" w:rsidP="000045A0">
      <w:pPr>
        <w:jc w:val="center"/>
      </w:pPr>
    </w:p>
    <w:p w14:paraId="64507365" w14:textId="77777777" w:rsidR="009E0E1C" w:rsidRDefault="009E0E1C" w:rsidP="000045A0">
      <w:pPr>
        <w:jc w:val="center"/>
        <w:sectPr w:rsidR="009E0E1C" w:rsidSect="00272924">
          <w:footerReference w:type="default" r:id="rId11"/>
          <w:type w:val="continuous"/>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592788304"/>
        <w:docPartObj>
          <w:docPartGallery w:val="Table of Contents"/>
          <w:docPartUnique/>
        </w:docPartObj>
      </w:sdtPr>
      <w:sdtEndPr>
        <w:rPr>
          <w:noProof/>
        </w:rPr>
      </w:sdtEndPr>
      <w:sdtContent>
        <w:p w14:paraId="74CDD074" w14:textId="7BAB1BC6" w:rsidR="00FA63CA" w:rsidRPr="006F20C3" w:rsidRDefault="00FA63CA" w:rsidP="000045A0">
          <w:pPr>
            <w:pStyle w:val="TOCHeading"/>
            <w:spacing w:line="240" w:lineRule="auto"/>
            <w:rPr>
              <w:sz w:val="32"/>
              <w:szCs w:val="32"/>
            </w:rPr>
          </w:pPr>
          <w:r w:rsidRPr="006F20C3">
            <w:rPr>
              <w:sz w:val="32"/>
              <w:szCs w:val="32"/>
            </w:rPr>
            <w:t>Table of Contents</w:t>
          </w:r>
        </w:p>
        <w:p w14:paraId="5525D8D6" w14:textId="66586C39" w:rsidR="00FA63CA" w:rsidRPr="006F20C3" w:rsidRDefault="00FA63CA" w:rsidP="000045A0">
          <w:pPr>
            <w:pStyle w:val="TOC1"/>
            <w:tabs>
              <w:tab w:val="right" w:leader="dot" w:pos="8630"/>
            </w:tabs>
            <w:rPr>
              <w:b w:val="0"/>
              <w:caps/>
              <w:noProof/>
              <w:sz w:val="28"/>
              <w:szCs w:val="28"/>
              <w:lang w:eastAsia="ja-JP"/>
            </w:rPr>
          </w:pPr>
          <w:r w:rsidRPr="006F20C3">
            <w:rPr>
              <w:b w:val="0"/>
              <w:sz w:val="28"/>
              <w:szCs w:val="28"/>
            </w:rPr>
            <w:fldChar w:fldCharType="begin"/>
          </w:r>
          <w:r w:rsidRPr="006F20C3">
            <w:rPr>
              <w:sz w:val="28"/>
              <w:szCs w:val="28"/>
            </w:rPr>
            <w:instrText xml:space="preserve"> TOC \o "1-3" \h \z \u </w:instrText>
          </w:r>
          <w:r w:rsidRPr="006F20C3">
            <w:rPr>
              <w:b w:val="0"/>
              <w:sz w:val="28"/>
              <w:szCs w:val="28"/>
            </w:rPr>
            <w:fldChar w:fldCharType="separate"/>
          </w:r>
          <w:r w:rsidRPr="006F20C3">
            <w:rPr>
              <w:noProof/>
              <w:sz w:val="28"/>
              <w:szCs w:val="28"/>
            </w:rPr>
            <w:t>Executive Summary</w:t>
          </w:r>
          <w:r w:rsidRPr="006F20C3">
            <w:rPr>
              <w:noProof/>
              <w:sz w:val="28"/>
              <w:szCs w:val="28"/>
            </w:rPr>
            <w:tab/>
          </w:r>
          <w:r w:rsidR="00272924">
            <w:rPr>
              <w:noProof/>
              <w:sz w:val="28"/>
              <w:szCs w:val="28"/>
            </w:rPr>
            <w:t>iii</w:t>
          </w:r>
        </w:p>
        <w:p w14:paraId="27FC648F" w14:textId="291A4672" w:rsidR="00FA63CA" w:rsidRPr="006F20C3" w:rsidRDefault="00FA63CA" w:rsidP="000045A0">
          <w:pPr>
            <w:pStyle w:val="TOC1"/>
            <w:tabs>
              <w:tab w:val="right" w:leader="dot" w:pos="8630"/>
            </w:tabs>
            <w:rPr>
              <w:b w:val="0"/>
              <w:caps/>
              <w:noProof/>
              <w:sz w:val="28"/>
              <w:szCs w:val="28"/>
              <w:lang w:eastAsia="ja-JP"/>
            </w:rPr>
          </w:pPr>
          <w:r w:rsidRPr="006F20C3">
            <w:rPr>
              <w:noProof/>
              <w:sz w:val="28"/>
              <w:szCs w:val="28"/>
            </w:rPr>
            <w:t>Introduction</w:t>
          </w:r>
          <w:r w:rsidRPr="006F20C3">
            <w:rPr>
              <w:noProof/>
              <w:sz w:val="28"/>
              <w:szCs w:val="28"/>
            </w:rPr>
            <w:tab/>
          </w:r>
          <w:r w:rsidR="00272924">
            <w:rPr>
              <w:noProof/>
              <w:sz w:val="28"/>
              <w:szCs w:val="28"/>
            </w:rPr>
            <w:t>1</w:t>
          </w:r>
        </w:p>
        <w:p w14:paraId="18AA7B1F" w14:textId="1DED518F" w:rsidR="00FA63CA" w:rsidRPr="006F20C3" w:rsidRDefault="00FA63CA" w:rsidP="000045A0">
          <w:pPr>
            <w:pStyle w:val="TOC1"/>
            <w:tabs>
              <w:tab w:val="right" w:leader="dot" w:pos="8630"/>
            </w:tabs>
            <w:rPr>
              <w:b w:val="0"/>
              <w:caps/>
              <w:noProof/>
              <w:sz w:val="28"/>
              <w:szCs w:val="28"/>
              <w:lang w:eastAsia="ja-JP"/>
            </w:rPr>
          </w:pPr>
          <w:r w:rsidRPr="006F20C3">
            <w:rPr>
              <w:noProof/>
              <w:sz w:val="28"/>
              <w:szCs w:val="28"/>
            </w:rPr>
            <w:t>Approach</w:t>
          </w:r>
          <w:r w:rsidRPr="006F20C3">
            <w:rPr>
              <w:noProof/>
              <w:sz w:val="28"/>
              <w:szCs w:val="28"/>
            </w:rPr>
            <w:tab/>
          </w:r>
          <w:r w:rsidR="00272924">
            <w:rPr>
              <w:noProof/>
              <w:sz w:val="28"/>
              <w:szCs w:val="28"/>
            </w:rPr>
            <w:t>1</w:t>
          </w:r>
        </w:p>
        <w:p w14:paraId="5F421E70" w14:textId="67E2E616" w:rsidR="00FA63CA" w:rsidRPr="006F20C3" w:rsidRDefault="00FA63CA" w:rsidP="000045A0">
          <w:pPr>
            <w:pStyle w:val="TOC1"/>
            <w:tabs>
              <w:tab w:val="right" w:leader="dot" w:pos="8630"/>
            </w:tabs>
            <w:rPr>
              <w:b w:val="0"/>
              <w:caps/>
              <w:noProof/>
              <w:sz w:val="28"/>
              <w:szCs w:val="28"/>
              <w:lang w:eastAsia="ja-JP"/>
            </w:rPr>
          </w:pPr>
          <w:r w:rsidRPr="006F20C3">
            <w:rPr>
              <w:noProof/>
              <w:sz w:val="28"/>
              <w:szCs w:val="28"/>
            </w:rPr>
            <w:t>Methods</w:t>
          </w:r>
          <w:r w:rsidRPr="006F20C3">
            <w:rPr>
              <w:noProof/>
              <w:sz w:val="28"/>
              <w:szCs w:val="28"/>
            </w:rPr>
            <w:tab/>
          </w:r>
          <w:r w:rsidR="00272924">
            <w:rPr>
              <w:noProof/>
              <w:sz w:val="28"/>
              <w:szCs w:val="28"/>
            </w:rPr>
            <w:t>1</w:t>
          </w:r>
        </w:p>
        <w:p w14:paraId="0696A826" w14:textId="1D1B4F5A" w:rsidR="00FA63CA" w:rsidRPr="006F20C3" w:rsidRDefault="00FA63CA" w:rsidP="000045A0">
          <w:pPr>
            <w:pStyle w:val="TOC1"/>
            <w:tabs>
              <w:tab w:val="right" w:leader="dot" w:pos="8630"/>
            </w:tabs>
            <w:rPr>
              <w:b w:val="0"/>
              <w:caps/>
              <w:noProof/>
              <w:sz w:val="28"/>
              <w:szCs w:val="28"/>
              <w:lang w:eastAsia="ja-JP"/>
            </w:rPr>
          </w:pPr>
          <w:r w:rsidRPr="006F20C3">
            <w:rPr>
              <w:noProof/>
              <w:sz w:val="28"/>
              <w:szCs w:val="28"/>
            </w:rPr>
            <w:t>Findings</w:t>
          </w:r>
          <w:r w:rsidRPr="006F20C3">
            <w:rPr>
              <w:noProof/>
              <w:sz w:val="28"/>
              <w:szCs w:val="28"/>
            </w:rPr>
            <w:tab/>
          </w:r>
          <w:r w:rsidR="00272924">
            <w:rPr>
              <w:noProof/>
              <w:sz w:val="28"/>
              <w:szCs w:val="28"/>
            </w:rPr>
            <w:t>2</w:t>
          </w:r>
        </w:p>
        <w:p w14:paraId="5CBD7E23" w14:textId="51B71BC1" w:rsidR="00FA63CA" w:rsidRPr="006F20C3" w:rsidRDefault="00FA63CA" w:rsidP="000045A0">
          <w:pPr>
            <w:pStyle w:val="TOC1"/>
            <w:tabs>
              <w:tab w:val="right" w:leader="dot" w:pos="8630"/>
            </w:tabs>
            <w:rPr>
              <w:b w:val="0"/>
              <w:caps/>
              <w:noProof/>
              <w:sz w:val="28"/>
              <w:szCs w:val="28"/>
              <w:lang w:eastAsia="ja-JP"/>
            </w:rPr>
          </w:pPr>
          <w:r w:rsidRPr="006F20C3">
            <w:rPr>
              <w:noProof/>
              <w:sz w:val="28"/>
              <w:szCs w:val="28"/>
            </w:rPr>
            <w:t>Analysis</w:t>
          </w:r>
          <w:r w:rsidRPr="006F20C3">
            <w:rPr>
              <w:noProof/>
              <w:sz w:val="28"/>
              <w:szCs w:val="28"/>
            </w:rPr>
            <w:tab/>
          </w:r>
          <w:r w:rsidR="00272924">
            <w:rPr>
              <w:noProof/>
              <w:sz w:val="28"/>
              <w:szCs w:val="28"/>
            </w:rPr>
            <w:t>2</w:t>
          </w:r>
        </w:p>
        <w:p w14:paraId="6C9CF7BA" w14:textId="325FE9EF" w:rsidR="00FA63CA" w:rsidRPr="006F20C3" w:rsidRDefault="00FA63CA" w:rsidP="000045A0">
          <w:pPr>
            <w:pStyle w:val="TOC1"/>
            <w:tabs>
              <w:tab w:val="right" w:leader="dot" w:pos="8630"/>
            </w:tabs>
            <w:rPr>
              <w:b w:val="0"/>
              <w:caps/>
              <w:noProof/>
              <w:sz w:val="28"/>
              <w:szCs w:val="28"/>
              <w:lang w:eastAsia="ja-JP"/>
            </w:rPr>
          </w:pPr>
          <w:r w:rsidRPr="006F20C3">
            <w:rPr>
              <w:noProof/>
              <w:sz w:val="28"/>
              <w:szCs w:val="28"/>
            </w:rPr>
            <w:t>Conclusions</w:t>
          </w:r>
          <w:r w:rsidRPr="006F20C3">
            <w:rPr>
              <w:noProof/>
              <w:sz w:val="28"/>
              <w:szCs w:val="28"/>
            </w:rPr>
            <w:tab/>
          </w:r>
          <w:r w:rsidR="003C4D63">
            <w:rPr>
              <w:noProof/>
              <w:sz w:val="28"/>
              <w:szCs w:val="28"/>
            </w:rPr>
            <w:t>3</w:t>
          </w:r>
        </w:p>
        <w:p w14:paraId="16C2E05D" w14:textId="5CD893CE" w:rsidR="00FA63CA" w:rsidRDefault="00FA63CA" w:rsidP="000045A0">
          <w:r w:rsidRPr="006F20C3">
            <w:rPr>
              <w:b/>
              <w:bCs/>
              <w:noProof/>
              <w:sz w:val="28"/>
              <w:szCs w:val="28"/>
            </w:rPr>
            <w:fldChar w:fldCharType="end"/>
          </w:r>
        </w:p>
      </w:sdtContent>
    </w:sdt>
    <w:p w14:paraId="7D67DAAE" w14:textId="76FA20EB" w:rsidR="008957DC" w:rsidRDefault="008957DC" w:rsidP="000045A0">
      <w:pPr>
        <w:jc w:val="center"/>
      </w:pPr>
    </w:p>
    <w:p w14:paraId="143D421F" w14:textId="77777777" w:rsidR="008957DC" w:rsidRDefault="008957DC" w:rsidP="000045A0">
      <w:r>
        <w:br w:type="page"/>
      </w:r>
    </w:p>
    <w:p w14:paraId="0D1E4AF3" w14:textId="77777777" w:rsidR="008957DC" w:rsidRDefault="008957DC" w:rsidP="000045A0">
      <w:pPr>
        <w:jc w:val="center"/>
        <w:sectPr w:rsidR="008957DC" w:rsidSect="009E0E1C">
          <w:footerReference w:type="default" r:id="rId12"/>
          <w:type w:val="continuous"/>
          <w:pgSz w:w="12240" w:h="15840"/>
          <w:pgMar w:top="1440" w:right="1800" w:bottom="1440" w:left="1800" w:header="720" w:footer="720" w:gutter="0"/>
          <w:cols w:space="720"/>
          <w:docGrid w:linePitch="360"/>
        </w:sectPr>
      </w:pPr>
    </w:p>
    <w:p w14:paraId="016B85BB" w14:textId="77777777" w:rsidR="00414832" w:rsidRDefault="00414832" w:rsidP="000045A0">
      <w:pPr>
        <w:pStyle w:val="Heading1"/>
      </w:pPr>
      <w:bookmarkStart w:id="0" w:name="_Toc276148208"/>
    </w:p>
    <w:p w14:paraId="1BDECF88" w14:textId="666B18F8" w:rsidR="00A96F3D" w:rsidRDefault="008957DC" w:rsidP="000045A0">
      <w:pPr>
        <w:pStyle w:val="Heading1"/>
      </w:pPr>
      <w:r>
        <w:t>Executive Summary</w:t>
      </w:r>
      <w:bookmarkEnd w:id="0"/>
    </w:p>
    <w:p w14:paraId="27D125C2" w14:textId="77777777" w:rsidR="000045A0" w:rsidRPr="000045A0" w:rsidRDefault="000045A0" w:rsidP="000045A0"/>
    <w:p w14:paraId="698E8386" w14:textId="28343571" w:rsidR="00AB7EEE" w:rsidRDefault="00582FAD" w:rsidP="000045A0">
      <w:r>
        <w:tab/>
      </w:r>
      <w:r w:rsidR="008E0F0D">
        <w:t xml:space="preserve">A large and ever growing trend as of late is for organizations to increase their efforts towards green technologies and sustainability.  </w:t>
      </w:r>
      <w:r w:rsidR="00E04EA3">
        <w:t>Through a review and grading process, the University of Cincinnati received an overall grade of B+.  While t</w:t>
      </w:r>
      <w:r w:rsidR="00A96F3D">
        <w:t xml:space="preserve">he </w:t>
      </w:r>
      <w:r w:rsidR="008E0F0D">
        <w:t>university’s</w:t>
      </w:r>
      <w:r w:rsidR="00A96F3D">
        <w:t xml:space="preserve"> sustainability efforts are above average</w:t>
      </w:r>
      <w:r w:rsidR="00D4635C">
        <w:t xml:space="preserve"> when compared to other organizations and institutions of similar size</w:t>
      </w:r>
      <w:r w:rsidR="00A96F3D">
        <w:t>, there are still</w:t>
      </w:r>
      <w:r w:rsidR="00AA5E31">
        <w:t xml:space="preserve"> several</w:t>
      </w:r>
      <w:r w:rsidR="00A96F3D">
        <w:t xml:space="preserve"> areas for </w:t>
      </w:r>
      <w:r w:rsidR="00AA5E31">
        <w:t xml:space="preserve">further </w:t>
      </w:r>
      <w:r w:rsidR="00A96F3D">
        <w:t>improvement</w:t>
      </w:r>
      <w:r w:rsidR="00E04EA3">
        <w:t xml:space="preserve">.  </w:t>
      </w:r>
      <w:r w:rsidR="008E0F0D">
        <w:t>These areas for improvement i</w:t>
      </w:r>
      <w:r w:rsidR="002A666B">
        <w:t>nclude improving its food usage, recycling</w:t>
      </w:r>
      <w:r w:rsidR="008E0F0D">
        <w:t xml:space="preserve"> efforts</w:t>
      </w:r>
      <w:r w:rsidR="002A666B">
        <w:t>, and transportation methods used.  Simple steps such as placing more recycling receptacles around campus can drive further student and faulty involvement in the university’s efforts and promote a more positive sustainability environment at the university.  Other more involved steps, but still relatively simple, would be to continue replacing the university transportation fleet with more efficient vehicles and optimized transpiration routes.</w:t>
      </w:r>
      <w:bookmarkStart w:id="1" w:name="_GoBack"/>
      <w:bookmarkEnd w:id="1"/>
    </w:p>
    <w:p w14:paraId="6546DDAD" w14:textId="40BD3AB6" w:rsidR="00AB7EEE" w:rsidRDefault="00AB7EEE" w:rsidP="000045A0"/>
    <w:p w14:paraId="368239C0" w14:textId="77777777" w:rsidR="003102E2" w:rsidRDefault="003102E2" w:rsidP="000045A0"/>
    <w:p w14:paraId="3CEE483A" w14:textId="77777777" w:rsidR="003102E2" w:rsidRDefault="003102E2" w:rsidP="000045A0"/>
    <w:p w14:paraId="1C55ABDE" w14:textId="77777777" w:rsidR="003102E2" w:rsidRDefault="003102E2" w:rsidP="000045A0"/>
    <w:p w14:paraId="1DAF327A" w14:textId="77777777" w:rsidR="003102E2" w:rsidRDefault="003102E2" w:rsidP="000045A0"/>
    <w:p w14:paraId="65302917" w14:textId="77777777" w:rsidR="003102E2" w:rsidRDefault="003102E2" w:rsidP="000045A0"/>
    <w:p w14:paraId="03A54F18" w14:textId="77777777" w:rsidR="003102E2" w:rsidRDefault="003102E2" w:rsidP="000045A0"/>
    <w:p w14:paraId="77D8093B" w14:textId="77777777" w:rsidR="003102E2" w:rsidRDefault="003102E2" w:rsidP="000045A0"/>
    <w:p w14:paraId="35E72182" w14:textId="77777777" w:rsidR="003102E2" w:rsidRDefault="003102E2" w:rsidP="000045A0"/>
    <w:p w14:paraId="7EFD427A" w14:textId="77777777" w:rsidR="003102E2" w:rsidRDefault="003102E2" w:rsidP="000045A0"/>
    <w:p w14:paraId="54EC42BF" w14:textId="77777777" w:rsidR="003102E2" w:rsidRDefault="003102E2" w:rsidP="000045A0"/>
    <w:p w14:paraId="06C9801E" w14:textId="77777777" w:rsidR="003102E2" w:rsidRDefault="003102E2" w:rsidP="000045A0"/>
    <w:p w14:paraId="7B44B37F" w14:textId="77777777" w:rsidR="003102E2" w:rsidRDefault="003102E2" w:rsidP="000045A0"/>
    <w:p w14:paraId="15A6FC9C" w14:textId="77777777" w:rsidR="003102E2" w:rsidRDefault="003102E2" w:rsidP="000045A0"/>
    <w:p w14:paraId="4235AEAF" w14:textId="77777777" w:rsidR="003102E2" w:rsidRDefault="003102E2" w:rsidP="000045A0"/>
    <w:p w14:paraId="207B4A64" w14:textId="77777777" w:rsidR="003102E2" w:rsidRDefault="003102E2" w:rsidP="000045A0"/>
    <w:p w14:paraId="34E19780" w14:textId="77777777" w:rsidR="003102E2" w:rsidRDefault="003102E2" w:rsidP="000045A0"/>
    <w:p w14:paraId="4D7DD3AE" w14:textId="77777777" w:rsidR="003102E2" w:rsidRDefault="003102E2" w:rsidP="000045A0"/>
    <w:p w14:paraId="6F2E8D4E" w14:textId="77777777" w:rsidR="003102E2" w:rsidRDefault="003102E2" w:rsidP="000045A0"/>
    <w:p w14:paraId="67EFD408" w14:textId="77777777" w:rsidR="003102E2" w:rsidRDefault="003102E2" w:rsidP="000045A0"/>
    <w:p w14:paraId="76A629EB" w14:textId="77777777" w:rsidR="003102E2" w:rsidRDefault="003102E2" w:rsidP="000045A0"/>
    <w:p w14:paraId="5FA3159A" w14:textId="77777777" w:rsidR="003102E2" w:rsidRDefault="003102E2" w:rsidP="000045A0"/>
    <w:p w14:paraId="0E80B141" w14:textId="77777777" w:rsidR="003102E2" w:rsidRDefault="003102E2" w:rsidP="000045A0"/>
    <w:p w14:paraId="3DAC5365" w14:textId="77777777" w:rsidR="003102E2" w:rsidRDefault="003102E2" w:rsidP="000045A0"/>
    <w:p w14:paraId="0F9256BF" w14:textId="77777777" w:rsidR="003102E2" w:rsidRDefault="003102E2" w:rsidP="000045A0">
      <w:pPr>
        <w:sectPr w:rsidR="003102E2" w:rsidSect="009E0E1C">
          <w:footerReference w:type="default" r:id="rId13"/>
          <w:type w:val="continuous"/>
          <w:pgSz w:w="12240" w:h="15840"/>
          <w:pgMar w:top="1440" w:right="1800" w:bottom="1440" w:left="1800" w:header="720" w:footer="720" w:gutter="0"/>
          <w:cols w:space="720"/>
          <w:docGrid w:linePitch="360"/>
        </w:sectPr>
      </w:pPr>
    </w:p>
    <w:p w14:paraId="102B94D1" w14:textId="77777777" w:rsidR="00272924" w:rsidRDefault="00272924" w:rsidP="000045A0">
      <w:pPr>
        <w:pStyle w:val="Heading1"/>
      </w:pPr>
      <w:bookmarkStart w:id="2" w:name="_Toc276148209"/>
    </w:p>
    <w:p w14:paraId="4DCC446F" w14:textId="306A40B9" w:rsidR="00A96F3D" w:rsidRDefault="00A96F3D" w:rsidP="000045A0">
      <w:pPr>
        <w:pStyle w:val="Heading1"/>
      </w:pPr>
      <w:r>
        <w:t>Introduction</w:t>
      </w:r>
      <w:bookmarkEnd w:id="2"/>
    </w:p>
    <w:p w14:paraId="16DC9873" w14:textId="77777777" w:rsidR="000045A0" w:rsidRPr="000045A0" w:rsidRDefault="000045A0" w:rsidP="000045A0"/>
    <w:p w14:paraId="485B0211" w14:textId="15C47306" w:rsidR="00A96F3D" w:rsidRDefault="00A96F3D" w:rsidP="000045A0">
      <w:r>
        <w:tab/>
      </w:r>
      <w:r w:rsidR="006E687E">
        <w:t xml:space="preserve">Sustainability means meeting the needs of the present without compromising the ability of future generations to meet their own.  </w:t>
      </w:r>
      <w:r>
        <w:t xml:space="preserve">The University of Cincinnati has </w:t>
      </w:r>
      <w:r w:rsidR="000804C8">
        <w:t xml:space="preserve">taken this message to heart and </w:t>
      </w:r>
      <w:r>
        <w:t>made visible strides to improve their sustainability score as defined by the College Sustainability Report Card.  This report outlines the current state of those efforts by the university then provides a few solutions based on the findings to further those efforts.</w:t>
      </w:r>
      <w:r w:rsidR="00E04EA3">
        <w:t xml:space="preserve">  Following an explanation of the data collection process, the report will </w:t>
      </w:r>
      <w:r w:rsidR="008E0F0D">
        <w:t>go on to explain what the data means, then draw fact based conclusions on where the university should focus its efforts.</w:t>
      </w:r>
    </w:p>
    <w:p w14:paraId="4F924FE9" w14:textId="77777777" w:rsidR="00414832" w:rsidRDefault="00414832" w:rsidP="000045A0"/>
    <w:p w14:paraId="14EFDB66" w14:textId="77777777" w:rsidR="00042805" w:rsidRDefault="00042805" w:rsidP="000045A0"/>
    <w:p w14:paraId="264FD763" w14:textId="6006CA34" w:rsidR="00A77141" w:rsidRDefault="00A77141" w:rsidP="000045A0">
      <w:pPr>
        <w:pStyle w:val="Heading1"/>
      </w:pPr>
      <w:bookmarkStart w:id="3" w:name="_Toc276148210"/>
      <w:r>
        <w:t>Approach</w:t>
      </w:r>
      <w:bookmarkEnd w:id="3"/>
    </w:p>
    <w:p w14:paraId="4B11816E" w14:textId="77777777" w:rsidR="00B672AA" w:rsidRDefault="00B672AA" w:rsidP="00B672AA"/>
    <w:p w14:paraId="799F472D" w14:textId="437D66D3" w:rsidR="00B672AA" w:rsidRDefault="00B672AA" w:rsidP="00B672AA">
      <w:r>
        <w:tab/>
        <w:t xml:space="preserve">To determine the overall grade for the University of Cincinnati’s sustainability efforts the College Sustainability Report Card uses 9 different areas, which include Administration, Climate Change &amp; Energy, Food &amp; Recycling, Green Building, </w:t>
      </w:r>
      <w:r w:rsidR="00E04EA3">
        <w:t>Student Involvement, Transportation, Endowment Transparency, Investment Priorities, and Shareholder Engagement.</w:t>
      </w:r>
      <w:r w:rsidR="006E687E">
        <w:t xml:space="preserve">  </w:t>
      </w:r>
      <w:r w:rsidR="002012C3">
        <w:t>While each of these areas</w:t>
      </w:r>
      <w:r w:rsidR="00343A8D">
        <w:t xml:space="preserve"> all are </w:t>
      </w:r>
      <w:r w:rsidR="0061571E">
        <w:t>important</w:t>
      </w:r>
      <w:r w:rsidR="00343A8D">
        <w:t xml:space="preserve"> to the university’s green efforts, some play bigger roles than others.</w:t>
      </w:r>
      <w:r w:rsidR="002012C3">
        <w:t xml:space="preserve">  This report will explore those </w:t>
      </w:r>
      <w:r w:rsidR="00656218">
        <w:t>areas and what the university is doing in those areas to increase its green efforts.</w:t>
      </w:r>
    </w:p>
    <w:p w14:paraId="3B107529" w14:textId="77777777" w:rsidR="00414832" w:rsidRDefault="00414832" w:rsidP="00B672AA"/>
    <w:p w14:paraId="50C08D41" w14:textId="77777777" w:rsidR="00042805" w:rsidRPr="00B672AA" w:rsidRDefault="00042805" w:rsidP="00B672AA"/>
    <w:p w14:paraId="7F88138A" w14:textId="22628F7E" w:rsidR="00A77141" w:rsidRDefault="00A77141" w:rsidP="000045A0">
      <w:pPr>
        <w:pStyle w:val="Heading1"/>
      </w:pPr>
      <w:bookmarkStart w:id="4" w:name="_Toc276148211"/>
      <w:r>
        <w:t>Methods</w:t>
      </w:r>
      <w:bookmarkEnd w:id="4"/>
    </w:p>
    <w:p w14:paraId="6FB8ECE9" w14:textId="77777777" w:rsidR="00D37C3C" w:rsidRDefault="00D37C3C" w:rsidP="00D37C3C"/>
    <w:p w14:paraId="4F7E0D21" w14:textId="2BEACCF3" w:rsidR="00272924" w:rsidRDefault="00D65778" w:rsidP="00D37C3C">
      <w:pPr>
        <w:sectPr w:rsidR="00272924" w:rsidSect="009E0E1C">
          <w:footerReference w:type="default" r:id="rId14"/>
          <w:type w:val="continuous"/>
          <w:pgSz w:w="12240" w:h="15840"/>
          <w:pgMar w:top="1440" w:right="1800" w:bottom="1440" w:left="1800" w:header="720" w:footer="720" w:gutter="0"/>
          <w:cols w:space="720"/>
          <w:docGrid w:linePitch="360"/>
        </w:sectPr>
      </w:pPr>
      <w:r>
        <w:tab/>
        <w:t xml:space="preserve">The information examined in this report comes directly from a survey submitted </w:t>
      </w:r>
      <w:r w:rsidR="00A92BC4">
        <w:t>with the assistance provided by university officials.  The survey covered the areas outlined in the approach through interviews with university officials</w:t>
      </w:r>
      <w:r w:rsidR="006F20C3">
        <w:t xml:space="preserve"> </w:t>
      </w:r>
      <w:r w:rsidR="00A92BC4">
        <w:t>and exploration of publically available information provided by the university.   Students were also consulted on several key areas, particularly student involvement, to get a bigger picture of the overall green eff</w:t>
      </w:r>
      <w:r w:rsidR="00704EDD">
        <w:t>ort situation at the university.</w:t>
      </w:r>
    </w:p>
    <w:p w14:paraId="3A27A014" w14:textId="1D34E7CC" w:rsidR="00A77141" w:rsidRDefault="00A77141" w:rsidP="000045A0">
      <w:pPr>
        <w:pStyle w:val="Heading1"/>
      </w:pPr>
      <w:bookmarkStart w:id="5" w:name="_Toc276148212"/>
      <w:r>
        <w:t>Findings</w:t>
      </w:r>
      <w:bookmarkEnd w:id="5"/>
    </w:p>
    <w:p w14:paraId="4FB2859B" w14:textId="77777777" w:rsidR="00C17CFD" w:rsidRDefault="00C17CFD" w:rsidP="00C17CFD"/>
    <w:p w14:paraId="693422E7" w14:textId="77777777" w:rsidR="00C12970" w:rsidRDefault="00C17CFD" w:rsidP="00C17CFD">
      <w:r>
        <w:tab/>
      </w:r>
      <w:r w:rsidR="00800ACF">
        <w:t xml:space="preserve">The first observed area the University of Cincinnati placed its efforts is through its administration. The administration in the university has created a sustainability policy, which has been made publicly available, signed the American College and University President’s Climate Commitment (ACUPCC), created a publicly available master sustainability plan, tasked committees to advise the current efforts, </w:t>
      </w:r>
      <w:r w:rsidR="00497E41">
        <w:t>and published a web site that details all of its sustainability</w:t>
      </w:r>
      <w:r w:rsidR="00C12970">
        <w:t xml:space="preserve"> efforts.</w:t>
      </w:r>
    </w:p>
    <w:p w14:paraId="0EBC7A48" w14:textId="36B7291B" w:rsidR="00C17CFD" w:rsidRDefault="00C12970" w:rsidP="00C17CFD">
      <w:r>
        <w:tab/>
      </w:r>
      <w:r w:rsidR="009544B1">
        <w:t xml:space="preserve">Part of these sustainability efforts included increasing recycling, particularly in dining halls.  A couple steps taken includes the university having 100% of the meals served by the university by </w:t>
      </w:r>
      <w:proofErr w:type="spellStart"/>
      <w:r w:rsidR="009544B1">
        <w:t>trayless</w:t>
      </w:r>
      <w:proofErr w:type="spellEnd"/>
      <w:r w:rsidR="009544B1">
        <w:t xml:space="preserve">, a program started back in 2008, continuously auditing the food waste levels of those dining halls, and </w:t>
      </w:r>
      <w:r>
        <w:t>recycling used cooking oil and biodiesel.  Those dining halls however do not recycle traditional materials, which include such items as aluminum, cardboard, glass, paper, and plastics, nor do they provide recycling receptacles for collection of recyclable materials.</w:t>
      </w:r>
    </w:p>
    <w:p w14:paraId="1F811960" w14:textId="5481E618" w:rsidR="00C12970" w:rsidRDefault="00C12970" w:rsidP="00C17CFD">
      <w:r>
        <w:tab/>
      </w:r>
      <w:r w:rsidR="0075541C">
        <w:t xml:space="preserve">Students, like the administration, have taken an interest in the university’s sustainability efforts and formed a committee comprised of about 30 students that plans events to raise awareness and further the efforts of the university.  Some of the efforts of the student group include promoting a Sustainability 101 class, petitioning faculty to include recycling receptacles in academic halls, hosting a workshop on lowing your carbon footprint while in </w:t>
      </w:r>
      <w:r w:rsidR="00CD1646">
        <w:t>university living, and creating a farmers’ market available on campus.</w:t>
      </w:r>
    </w:p>
    <w:p w14:paraId="4B76B2A2" w14:textId="7EA5C85E" w:rsidR="00836ABD" w:rsidRPr="00C17CFD" w:rsidRDefault="000018FD" w:rsidP="00C17CFD">
      <w:r>
        <w:tab/>
      </w:r>
      <w:r w:rsidR="00F84E99">
        <w:t xml:space="preserve">The university has also looked into and implemented ways to make its fleet of about 300 vehicles more efficient.  This includes the purchase and use of two 100% electric vehicles and 54 vehicles </w:t>
      </w:r>
      <w:r w:rsidR="00E0047F">
        <w:t>fueled with E85 or higher.</w:t>
      </w:r>
      <w:r w:rsidR="00B63B40">
        <w:t xml:space="preserve">  Students </w:t>
      </w:r>
      <w:r w:rsidR="00FE6A9D">
        <w:t xml:space="preserve">are </w:t>
      </w:r>
      <w:r w:rsidR="00B63B40">
        <w:t xml:space="preserve">encouraged to travel via methods other than single-occupancy </w:t>
      </w:r>
      <w:r w:rsidR="00FE6A9D">
        <w:t xml:space="preserve">vehicles </w:t>
      </w:r>
      <w:r w:rsidR="00836ABD">
        <w:t>and</w:t>
      </w:r>
      <w:r w:rsidR="00B63B40">
        <w:t xml:space="preserve"> </w:t>
      </w:r>
      <w:r w:rsidR="00FE6A9D">
        <w:t>ha</w:t>
      </w:r>
      <w:r w:rsidR="00836ABD">
        <w:t>ve</w:t>
      </w:r>
      <w:r w:rsidR="00FE6A9D">
        <w:t xml:space="preserve"> </w:t>
      </w:r>
      <w:r w:rsidR="00B63B40">
        <w:t>shown</w:t>
      </w:r>
      <w:r w:rsidR="00FE6A9D">
        <w:t xml:space="preserve"> a</w:t>
      </w:r>
      <w:r w:rsidR="00B63B40">
        <w:t xml:space="preserve"> good response at about 32%.  </w:t>
      </w:r>
      <w:r w:rsidR="00FE6A9D">
        <w:t xml:space="preserve">While on campus students, faculty, and staff are </w:t>
      </w:r>
      <w:r w:rsidR="00836ABD">
        <w:t xml:space="preserve">also </w:t>
      </w:r>
      <w:r w:rsidR="00FE6A9D">
        <w:t xml:space="preserve">offered </w:t>
      </w:r>
      <w:r w:rsidR="00836ABD">
        <w:t>methods for green, efficient travels like the bus system that travels between university buildings.</w:t>
      </w:r>
    </w:p>
    <w:p w14:paraId="11AD505C" w14:textId="40F08555" w:rsidR="00A77141" w:rsidRDefault="00A77141" w:rsidP="000045A0">
      <w:pPr>
        <w:pStyle w:val="Heading1"/>
      </w:pPr>
      <w:bookmarkStart w:id="6" w:name="_Toc276148213"/>
      <w:r>
        <w:t>Analysis</w:t>
      </w:r>
      <w:bookmarkEnd w:id="6"/>
    </w:p>
    <w:p w14:paraId="13069C3B" w14:textId="77777777" w:rsidR="00C85135" w:rsidRDefault="00C85135" w:rsidP="00C85135"/>
    <w:p w14:paraId="7C38EC78" w14:textId="3453B938" w:rsidR="008A3CB3" w:rsidRDefault="00C85135" w:rsidP="00C85135">
      <w:pPr>
        <w:sectPr w:rsidR="008A3CB3" w:rsidSect="009E0E1C">
          <w:footerReference w:type="default" r:id="rId15"/>
          <w:type w:val="continuous"/>
          <w:pgSz w:w="12240" w:h="15840"/>
          <w:pgMar w:top="1440" w:right="1800" w:bottom="1440" w:left="1800" w:header="720" w:footer="720" w:gutter="0"/>
          <w:cols w:space="720"/>
          <w:docGrid w:linePitch="360"/>
        </w:sectPr>
      </w:pPr>
      <w:r>
        <w:tab/>
      </w:r>
      <w:r w:rsidR="00394667">
        <w:t>The finding</w:t>
      </w:r>
      <w:r w:rsidR="00931CB1">
        <w:t>s</w:t>
      </w:r>
      <w:r w:rsidR="00394667">
        <w:t xml:space="preserve"> of the survey </w:t>
      </w:r>
      <w:r w:rsidR="00931CB1">
        <w:t xml:space="preserve">show a clear effort on the part of the </w:t>
      </w:r>
      <w:r w:rsidR="00881048">
        <w:t>administration</w:t>
      </w:r>
      <w:r w:rsidR="00550C41">
        <w:t xml:space="preserve">, faculty, staff, and students to </w:t>
      </w:r>
      <w:r w:rsidR="00881048">
        <w:t>increase sustainability of the university.  There are still</w:t>
      </w:r>
      <w:r w:rsidR="007F0029">
        <w:t xml:space="preserve"> definite areas for improvement, the main one being the recyclable effort on the part of the university.   Currently, as shown by the findings, the university dining halls do not recycle any of the traditional materials or offer places for the people who frequent campus a place to recycle.</w:t>
      </w:r>
      <w:r w:rsidR="00375B40">
        <w:t xml:space="preserve">  One step to increase the effort would be to place recycling receptacles campus wide </w:t>
      </w:r>
      <w:r w:rsidR="008A3CB3">
        <w:t>for everyone to use.  Another step would be to begin recycling thos</w:t>
      </w:r>
      <w:r w:rsidR="003C4D63">
        <w:t>e traditional materials that is</w:t>
      </w:r>
    </w:p>
    <w:p w14:paraId="03DE8A21" w14:textId="77777777" w:rsidR="003102E2" w:rsidRDefault="008A3CB3" w:rsidP="003102E2">
      <w:proofErr w:type="gramStart"/>
      <w:r>
        <w:t>currently</w:t>
      </w:r>
      <w:proofErr w:type="gramEnd"/>
      <w:r>
        <w:t xml:space="preserve"> just being thrown away.  Both of these would reduce the amount of trash being </w:t>
      </w:r>
      <w:bookmarkStart w:id="7" w:name="_Toc276148214"/>
      <w:r w:rsidR="003102E2">
        <w:t>produced by the university and increase the amount of materials that could be reused and repurposed.</w:t>
      </w:r>
    </w:p>
    <w:p w14:paraId="7CC2619D" w14:textId="19286441" w:rsidR="008A3CB3" w:rsidRDefault="003102E2" w:rsidP="003102E2">
      <w:r>
        <w:tab/>
        <w:t xml:space="preserve">Another step that the university can take based on the findings is the replacement </w:t>
      </w:r>
      <w:r w:rsidR="00243E96">
        <w:t xml:space="preserve">of more of their fleet with more efficient vehicles such as the electric and E85 fueled vehicles they have now.  These vehicles would not only reduce the emissions but could reduce costs that would otherwise be spent on fuel and could be placed into other efforts.  </w:t>
      </w:r>
      <w:r w:rsidR="00E2014F">
        <w:t>Combining more trips and people in vehicles would also add to the effect this step could have.  If the university embraced smarter transportation the entire community will benefit.</w:t>
      </w:r>
    </w:p>
    <w:p w14:paraId="41807F4D" w14:textId="77777777" w:rsidR="008C1917" w:rsidRDefault="008C1917" w:rsidP="000045A0">
      <w:pPr>
        <w:pStyle w:val="Heading1"/>
      </w:pPr>
    </w:p>
    <w:p w14:paraId="6637D249" w14:textId="068B3482" w:rsidR="00A77141" w:rsidRDefault="00A77141" w:rsidP="000045A0">
      <w:pPr>
        <w:pStyle w:val="Heading1"/>
      </w:pPr>
      <w:r>
        <w:t>Conclusions</w:t>
      </w:r>
      <w:bookmarkEnd w:id="7"/>
    </w:p>
    <w:p w14:paraId="335E4173" w14:textId="56452809" w:rsidR="00177C4C" w:rsidRDefault="00177C4C" w:rsidP="00177C4C">
      <w:r>
        <w:tab/>
      </w:r>
    </w:p>
    <w:p w14:paraId="361DC00E" w14:textId="159EB6E0" w:rsidR="00177C4C" w:rsidRPr="00177C4C" w:rsidRDefault="00177C4C" w:rsidP="00177C4C">
      <w:r>
        <w:tab/>
        <w:t xml:space="preserve">As stated in the analysis previously, the university is doing a lot right, and currently a lot more than the average organization of similar size, but there is always room for improvement.  The initiatives by the administration and student leaders to promote green efforts is a great start, and is reflected in the report card, but areas such as recycling and transportation can still improve.  </w:t>
      </w:r>
      <w:r w:rsidR="00305C83">
        <w:t>By taking from what others have done, such as campus wide recycling receptacles, the university will have a fuller and more complete sustainability effort in place.</w:t>
      </w:r>
    </w:p>
    <w:sectPr w:rsidR="00177C4C" w:rsidRPr="00177C4C" w:rsidSect="009E0E1C">
      <w:footerReference w:type="default" r:id="rId1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D73CC" w14:textId="77777777" w:rsidR="00177C4C" w:rsidRDefault="00177C4C" w:rsidP="00F47C85">
      <w:r>
        <w:separator/>
      </w:r>
    </w:p>
  </w:endnote>
  <w:endnote w:type="continuationSeparator" w:id="0">
    <w:p w14:paraId="3D41B8E3" w14:textId="77777777" w:rsidR="00177C4C" w:rsidRDefault="00177C4C" w:rsidP="00F4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C41A7" w14:textId="77777777" w:rsidR="00177C4C" w:rsidRDefault="002A666B">
    <w:pPr>
      <w:pStyle w:val="Footer"/>
    </w:pPr>
    <w:sdt>
      <w:sdtPr>
        <w:id w:val="969400743"/>
        <w:temporary/>
        <w:showingPlcHdr/>
      </w:sdtPr>
      <w:sdtEndPr/>
      <w:sdtContent>
        <w:r w:rsidR="00177C4C">
          <w:t>[Type text]</w:t>
        </w:r>
      </w:sdtContent>
    </w:sdt>
    <w:r w:rsidR="00177C4C">
      <w:ptab w:relativeTo="margin" w:alignment="center" w:leader="none"/>
    </w:r>
    <w:sdt>
      <w:sdtPr>
        <w:id w:val="969400748"/>
        <w:temporary/>
        <w:showingPlcHdr/>
      </w:sdtPr>
      <w:sdtEndPr/>
      <w:sdtContent>
        <w:r w:rsidR="00177C4C">
          <w:t>[Type text]</w:t>
        </w:r>
      </w:sdtContent>
    </w:sdt>
    <w:r w:rsidR="00177C4C">
      <w:ptab w:relativeTo="margin" w:alignment="right" w:leader="none"/>
    </w:r>
    <w:sdt>
      <w:sdtPr>
        <w:id w:val="969400753"/>
        <w:temporary/>
        <w:showingPlcHdr/>
      </w:sdtPr>
      <w:sdtEndPr/>
      <w:sdtContent>
        <w:r w:rsidR="00177C4C">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FEAB8" w14:textId="77777777" w:rsidR="00177C4C" w:rsidRDefault="00177C4C">
    <w:pPr>
      <w:pStyle w:val="Footer"/>
    </w:pPr>
    <w:r>
      <w:ptab w:relativeTo="margin" w:alignment="center" w:leader="none"/>
    </w:r>
    <w:r>
      <w:ptab w:relativeTo="margin" w:alignment="right" w:leader="none"/>
    </w:r>
    <w:proofErr w:type="spellStart"/>
    <w:proofErr w:type="gramStart"/>
    <w:r>
      <w:t>i</w:t>
    </w:r>
    <w:proofErr w:type="spellEnd"/>
    <w:proofErr w:type="gram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D156B" w14:textId="7E0B680F" w:rsidR="00177C4C" w:rsidRDefault="00177C4C">
    <w:pPr>
      <w:pStyle w:val="Footer"/>
    </w:pPr>
    <w:r>
      <w:ptab w:relativeTo="margin" w:alignment="center" w:leader="none"/>
    </w:r>
    <w:r>
      <w:ptab w:relativeTo="margin" w:alignment="right" w:leader="none"/>
    </w:r>
    <w:proofErr w:type="gramStart"/>
    <w:r>
      <w:t>ii</w:t>
    </w:r>
    <w:proofErr w:type="gramEnd"/>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FCE7E" w14:textId="77777777" w:rsidR="00177C4C" w:rsidRDefault="00177C4C">
    <w:pPr>
      <w:pStyle w:val="Footer"/>
    </w:pPr>
    <w:r>
      <w:ptab w:relativeTo="margin" w:alignment="center" w:leader="none"/>
    </w:r>
    <w:r>
      <w:ptab w:relativeTo="margin" w:alignment="right" w:leader="none"/>
    </w:r>
    <w:proofErr w:type="gramStart"/>
    <w:r>
      <w:t>ii</w:t>
    </w:r>
    <w:proofErr w:type="gramEnd"/>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D6A5E" w14:textId="77777777" w:rsidR="00177C4C" w:rsidRDefault="00177C4C">
    <w:pPr>
      <w:pStyle w:val="Footer"/>
    </w:pPr>
    <w:r>
      <w:ptab w:relativeTo="margin" w:alignment="center" w:leader="none"/>
    </w:r>
    <w:r>
      <w:ptab w:relativeTo="margin" w:alignment="right" w:leader="none"/>
    </w:r>
    <w:proofErr w:type="gramStart"/>
    <w:r>
      <w:t>iii</w:t>
    </w:r>
    <w:proofErr w:type="gramEnd"/>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DBD97" w14:textId="2C5975A7" w:rsidR="00177C4C" w:rsidRDefault="00177C4C">
    <w:pPr>
      <w:pStyle w:val="Footer"/>
    </w:pPr>
    <w:r>
      <w:ptab w:relativeTo="margin" w:alignment="center" w:leader="none"/>
    </w:r>
    <w:r>
      <w:ptab w:relativeTo="margin" w:alignment="right" w:leader="none"/>
    </w:r>
    <w:r>
      <w:t>1</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2F21B" w14:textId="700B8267" w:rsidR="00177C4C" w:rsidRDefault="00177C4C">
    <w:pPr>
      <w:pStyle w:val="Footer"/>
    </w:pPr>
    <w:r>
      <w:ptab w:relativeTo="margin" w:alignment="center" w:leader="none"/>
    </w:r>
    <w:r>
      <w:ptab w:relativeTo="margin" w:alignment="right" w:leader="none"/>
    </w:r>
    <w:r>
      <w:t>2</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1F5C2" w14:textId="0CC26FA3" w:rsidR="00177C4C" w:rsidRDefault="00177C4C">
    <w:pPr>
      <w:pStyle w:val="Footer"/>
    </w:pPr>
    <w:r>
      <w:ptab w:relativeTo="margin" w:alignment="center" w:leader="none"/>
    </w:r>
    <w:r>
      <w:ptab w:relativeTo="margin" w:alignment="right" w:leader="none"/>
    </w:r>
    <w:r>
      <w:t>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EEC33" w14:textId="77777777" w:rsidR="00177C4C" w:rsidRDefault="00177C4C" w:rsidP="00F47C85">
      <w:r>
        <w:separator/>
      </w:r>
    </w:p>
  </w:footnote>
  <w:footnote w:type="continuationSeparator" w:id="0">
    <w:p w14:paraId="171C2BC9" w14:textId="77777777" w:rsidR="00177C4C" w:rsidRDefault="00177C4C" w:rsidP="00F47C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0B6D3" w14:textId="77777777" w:rsidR="00177C4C" w:rsidRDefault="002A666B">
    <w:pPr>
      <w:pStyle w:val="Header"/>
    </w:pPr>
    <w:sdt>
      <w:sdtPr>
        <w:id w:val="171999623"/>
        <w:placeholder>
          <w:docPart w:val="9537F08D8BDA504E94A7634FD352725F"/>
        </w:placeholder>
        <w:temporary/>
        <w:showingPlcHdr/>
      </w:sdtPr>
      <w:sdtEndPr/>
      <w:sdtContent>
        <w:r w:rsidR="00177C4C">
          <w:t>[Type text]</w:t>
        </w:r>
      </w:sdtContent>
    </w:sdt>
    <w:r w:rsidR="00177C4C">
      <w:ptab w:relativeTo="margin" w:alignment="center" w:leader="none"/>
    </w:r>
    <w:sdt>
      <w:sdtPr>
        <w:id w:val="171999624"/>
        <w:placeholder>
          <w:docPart w:val="EACF923EF6A17A4D8209BFF5C01F7B37"/>
        </w:placeholder>
        <w:temporary/>
        <w:showingPlcHdr/>
      </w:sdtPr>
      <w:sdtEndPr/>
      <w:sdtContent>
        <w:r w:rsidR="00177C4C">
          <w:t>[Type text]</w:t>
        </w:r>
      </w:sdtContent>
    </w:sdt>
    <w:r w:rsidR="00177C4C">
      <w:ptab w:relativeTo="margin" w:alignment="right" w:leader="none"/>
    </w:r>
    <w:sdt>
      <w:sdtPr>
        <w:id w:val="171999625"/>
        <w:temporary/>
        <w:showingPlcHdr/>
      </w:sdtPr>
      <w:sdtEndPr/>
      <w:sdtContent>
        <w:r w:rsidR="00177C4C">
          <w:t>[Type text]</w:t>
        </w:r>
      </w:sdtContent>
    </w:sdt>
  </w:p>
  <w:p w14:paraId="7182A45A" w14:textId="77777777" w:rsidR="00177C4C" w:rsidRDefault="00177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CD"/>
    <w:rsid w:val="000018FD"/>
    <w:rsid w:val="000045A0"/>
    <w:rsid w:val="00042805"/>
    <w:rsid w:val="000804C8"/>
    <w:rsid w:val="00177C4C"/>
    <w:rsid w:val="001D3BEB"/>
    <w:rsid w:val="002012C3"/>
    <w:rsid w:val="002047CD"/>
    <w:rsid w:val="00243E96"/>
    <w:rsid w:val="0025181B"/>
    <w:rsid w:val="00272924"/>
    <w:rsid w:val="002A666B"/>
    <w:rsid w:val="002E33E9"/>
    <w:rsid w:val="00305C83"/>
    <w:rsid w:val="003102E2"/>
    <w:rsid w:val="00343A8D"/>
    <w:rsid w:val="0036444B"/>
    <w:rsid w:val="00375B40"/>
    <w:rsid w:val="00394667"/>
    <w:rsid w:val="003C4D63"/>
    <w:rsid w:val="00414832"/>
    <w:rsid w:val="00422880"/>
    <w:rsid w:val="00426ADD"/>
    <w:rsid w:val="00465166"/>
    <w:rsid w:val="00497E41"/>
    <w:rsid w:val="00550C41"/>
    <w:rsid w:val="00582FAD"/>
    <w:rsid w:val="0061571E"/>
    <w:rsid w:val="00623CF8"/>
    <w:rsid w:val="00656218"/>
    <w:rsid w:val="00681B53"/>
    <w:rsid w:val="006A37B8"/>
    <w:rsid w:val="006B7F65"/>
    <w:rsid w:val="006E687E"/>
    <w:rsid w:val="006F20C3"/>
    <w:rsid w:val="00704EDD"/>
    <w:rsid w:val="0075541C"/>
    <w:rsid w:val="00756CE2"/>
    <w:rsid w:val="007760CE"/>
    <w:rsid w:val="007E7066"/>
    <w:rsid w:val="007F0029"/>
    <w:rsid w:val="00800ACF"/>
    <w:rsid w:val="00836ABD"/>
    <w:rsid w:val="00881048"/>
    <w:rsid w:val="008957DC"/>
    <w:rsid w:val="008A3CB3"/>
    <w:rsid w:val="008C1917"/>
    <w:rsid w:val="008E0F0D"/>
    <w:rsid w:val="00931CB1"/>
    <w:rsid w:val="009544B1"/>
    <w:rsid w:val="009D055A"/>
    <w:rsid w:val="009E0E1C"/>
    <w:rsid w:val="00A4389A"/>
    <w:rsid w:val="00A77141"/>
    <w:rsid w:val="00A92BC4"/>
    <w:rsid w:val="00A96F3D"/>
    <w:rsid w:val="00AA5E31"/>
    <w:rsid w:val="00AB7EEE"/>
    <w:rsid w:val="00B46C83"/>
    <w:rsid w:val="00B63B40"/>
    <w:rsid w:val="00B6723C"/>
    <w:rsid w:val="00B672AA"/>
    <w:rsid w:val="00C12970"/>
    <w:rsid w:val="00C17CFD"/>
    <w:rsid w:val="00C85135"/>
    <w:rsid w:val="00CD1646"/>
    <w:rsid w:val="00CD5353"/>
    <w:rsid w:val="00D37C3C"/>
    <w:rsid w:val="00D4635C"/>
    <w:rsid w:val="00D60EC4"/>
    <w:rsid w:val="00D65778"/>
    <w:rsid w:val="00E0047F"/>
    <w:rsid w:val="00E04EA3"/>
    <w:rsid w:val="00E2014F"/>
    <w:rsid w:val="00E712C3"/>
    <w:rsid w:val="00F22444"/>
    <w:rsid w:val="00F47C85"/>
    <w:rsid w:val="00F84E99"/>
    <w:rsid w:val="00FA63CA"/>
    <w:rsid w:val="00FE6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54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4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C85"/>
    <w:pPr>
      <w:tabs>
        <w:tab w:val="center" w:pos="4320"/>
        <w:tab w:val="right" w:pos="8640"/>
      </w:tabs>
    </w:pPr>
  </w:style>
  <w:style w:type="character" w:customStyle="1" w:styleId="HeaderChar">
    <w:name w:val="Header Char"/>
    <w:basedOn w:val="DefaultParagraphFont"/>
    <w:link w:val="Header"/>
    <w:uiPriority w:val="99"/>
    <w:rsid w:val="00F47C85"/>
  </w:style>
  <w:style w:type="paragraph" w:styleId="Footer">
    <w:name w:val="footer"/>
    <w:basedOn w:val="Normal"/>
    <w:link w:val="FooterChar"/>
    <w:uiPriority w:val="99"/>
    <w:unhideWhenUsed/>
    <w:rsid w:val="00F47C85"/>
    <w:pPr>
      <w:tabs>
        <w:tab w:val="center" w:pos="4320"/>
        <w:tab w:val="right" w:pos="8640"/>
      </w:tabs>
    </w:pPr>
  </w:style>
  <w:style w:type="character" w:customStyle="1" w:styleId="FooterChar">
    <w:name w:val="Footer Char"/>
    <w:basedOn w:val="DefaultParagraphFont"/>
    <w:link w:val="Footer"/>
    <w:uiPriority w:val="99"/>
    <w:rsid w:val="00F47C85"/>
  </w:style>
  <w:style w:type="character" w:customStyle="1" w:styleId="Heading1Char">
    <w:name w:val="Heading 1 Char"/>
    <w:basedOn w:val="DefaultParagraphFont"/>
    <w:link w:val="Heading1"/>
    <w:uiPriority w:val="9"/>
    <w:rsid w:val="00F2244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2244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224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444"/>
    <w:rPr>
      <w:rFonts w:ascii="Lucida Grande" w:hAnsi="Lucida Grande" w:cs="Lucida Grande"/>
      <w:sz w:val="18"/>
      <w:szCs w:val="18"/>
    </w:rPr>
  </w:style>
  <w:style w:type="paragraph" w:styleId="TOC1">
    <w:name w:val="toc 1"/>
    <w:basedOn w:val="Normal"/>
    <w:next w:val="Normal"/>
    <w:autoRedefine/>
    <w:uiPriority w:val="39"/>
    <w:unhideWhenUsed/>
    <w:rsid w:val="00F22444"/>
    <w:pPr>
      <w:spacing w:before="120"/>
    </w:pPr>
    <w:rPr>
      <w:b/>
    </w:rPr>
  </w:style>
  <w:style w:type="paragraph" w:styleId="TOC2">
    <w:name w:val="toc 2"/>
    <w:basedOn w:val="Normal"/>
    <w:next w:val="Normal"/>
    <w:autoRedefine/>
    <w:uiPriority w:val="39"/>
    <w:semiHidden/>
    <w:unhideWhenUsed/>
    <w:rsid w:val="00F22444"/>
    <w:pPr>
      <w:ind w:left="240"/>
    </w:pPr>
    <w:rPr>
      <w:b/>
      <w:sz w:val="22"/>
      <w:szCs w:val="22"/>
    </w:rPr>
  </w:style>
  <w:style w:type="paragraph" w:styleId="TOC3">
    <w:name w:val="toc 3"/>
    <w:basedOn w:val="Normal"/>
    <w:next w:val="Normal"/>
    <w:autoRedefine/>
    <w:uiPriority w:val="39"/>
    <w:semiHidden/>
    <w:unhideWhenUsed/>
    <w:rsid w:val="00F22444"/>
    <w:pPr>
      <w:ind w:left="480"/>
    </w:pPr>
    <w:rPr>
      <w:sz w:val="22"/>
      <w:szCs w:val="22"/>
    </w:rPr>
  </w:style>
  <w:style w:type="paragraph" w:styleId="TOC4">
    <w:name w:val="toc 4"/>
    <w:basedOn w:val="Normal"/>
    <w:next w:val="Normal"/>
    <w:autoRedefine/>
    <w:uiPriority w:val="39"/>
    <w:semiHidden/>
    <w:unhideWhenUsed/>
    <w:rsid w:val="00F22444"/>
    <w:pPr>
      <w:ind w:left="720"/>
    </w:pPr>
    <w:rPr>
      <w:sz w:val="20"/>
      <w:szCs w:val="20"/>
    </w:rPr>
  </w:style>
  <w:style w:type="paragraph" w:styleId="TOC5">
    <w:name w:val="toc 5"/>
    <w:basedOn w:val="Normal"/>
    <w:next w:val="Normal"/>
    <w:autoRedefine/>
    <w:uiPriority w:val="39"/>
    <w:semiHidden/>
    <w:unhideWhenUsed/>
    <w:rsid w:val="00F22444"/>
    <w:pPr>
      <w:ind w:left="960"/>
    </w:pPr>
    <w:rPr>
      <w:sz w:val="20"/>
      <w:szCs w:val="20"/>
    </w:rPr>
  </w:style>
  <w:style w:type="paragraph" w:styleId="TOC6">
    <w:name w:val="toc 6"/>
    <w:basedOn w:val="Normal"/>
    <w:next w:val="Normal"/>
    <w:autoRedefine/>
    <w:uiPriority w:val="39"/>
    <w:semiHidden/>
    <w:unhideWhenUsed/>
    <w:rsid w:val="00F22444"/>
    <w:pPr>
      <w:ind w:left="1200"/>
    </w:pPr>
    <w:rPr>
      <w:sz w:val="20"/>
      <w:szCs w:val="20"/>
    </w:rPr>
  </w:style>
  <w:style w:type="paragraph" w:styleId="TOC7">
    <w:name w:val="toc 7"/>
    <w:basedOn w:val="Normal"/>
    <w:next w:val="Normal"/>
    <w:autoRedefine/>
    <w:uiPriority w:val="39"/>
    <w:semiHidden/>
    <w:unhideWhenUsed/>
    <w:rsid w:val="00F22444"/>
    <w:pPr>
      <w:ind w:left="1440"/>
    </w:pPr>
    <w:rPr>
      <w:sz w:val="20"/>
      <w:szCs w:val="20"/>
    </w:rPr>
  </w:style>
  <w:style w:type="paragraph" w:styleId="TOC8">
    <w:name w:val="toc 8"/>
    <w:basedOn w:val="Normal"/>
    <w:next w:val="Normal"/>
    <w:autoRedefine/>
    <w:uiPriority w:val="39"/>
    <w:semiHidden/>
    <w:unhideWhenUsed/>
    <w:rsid w:val="00F22444"/>
    <w:pPr>
      <w:ind w:left="1680"/>
    </w:pPr>
    <w:rPr>
      <w:sz w:val="20"/>
      <w:szCs w:val="20"/>
    </w:rPr>
  </w:style>
  <w:style w:type="paragraph" w:styleId="TOC9">
    <w:name w:val="toc 9"/>
    <w:basedOn w:val="Normal"/>
    <w:next w:val="Normal"/>
    <w:autoRedefine/>
    <w:uiPriority w:val="39"/>
    <w:semiHidden/>
    <w:unhideWhenUsed/>
    <w:rsid w:val="00F22444"/>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4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C85"/>
    <w:pPr>
      <w:tabs>
        <w:tab w:val="center" w:pos="4320"/>
        <w:tab w:val="right" w:pos="8640"/>
      </w:tabs>
    </w:pPr>
  </w:style>
  <w:style w:type="character" w:customStyle="1" w:styleId="HeaderChar">
    <w:name w:val="Header Char"/>
    <w:basedOn w:val="DefaultParagraphFont"/>
    <w:link w:val="Header"/>
    <w:uiPriority w:val="99"/>
    <w:rsid w:val="00F47C85"/>
  </w:style>
  <w:style w:type="paragraph" w:styleId="Footer">
    <w:name w:val="footer"/>
    <w:basedOn w:val="Normal"/>
    <w:link w:val="FooterChar"/>
    <w:uiPriority w:val="99"/>
    <w:unhideWhenUsed/>
    <w:rsid w:val="00F47C85"/>
    <w:pPr>
      <w:tabs>
        <w:tab w:val="center" w:pos="4320"/>
        <w:tab w:val="right" w:pos="8640"/>
      </w:tabs>
    </w:pPr>
  </w:style>
  <w:style w:type="character" w:customStyle="1" w:styleId="FooterChar">
    <w:name w:val="Footer Char"/>
    <w:basedOn w:val="DefaultParagraphFont"/>
    <w:link w:val="Footer"/>
    <w:uiPriority w:val="99"/>
    <w:rsid w:val="00F47C85"/>
  </w:style>
  <w:style w:type="character" w:customStyle="1" w:styleId="Heading1Char">
    <w:name w:val="Heading 1 Char"/>
    <w:basedOn w:val="DefaultParagraphFont"/>
    <w:link w:val="Heading1"/>
    <w:uiPriority w:val="9"/>
    <w:rsid w:val="00F2244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2244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224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444"/>
    <w:rPr>
      <w:rFonts w:ascii="Lucida Grande" w:hAnsi="Lucida Grande" w:cs="Lucida Grande"/>
      <w:sz w:val="18"/>
      <w:szCs w:val="18"/>
    </w:rPr>
  </w:style>
  <w:style w:type="paragraph" w:styleId="TOC1">
    <w:name w:val="toc 1"/>
    <w:basedOn w:val="Normal"/>
    <w:next w:val="Normal"/>
    <w:autoRedefine/>
    <w:uiPriority w:val="39"/>
    <w:unhideWhenUsed/>
    <w:rsid w:val="00F22444"/>
    <w:pPr>
      <w:spacing w:before="120"/>
    </w:pPr>
    <w:rPr>
      <w:b/>
    </w:rPr>
  </w:style>
  <w:style w:type="paragraph" w:styleId="TOC2">
    <w:name w:val="toc 2"/>
    <w:basedOn w:val="Normal"/>
    <w:next w:val="Normal"/>
    <w:autoRedefine/>
    <w:uiPriority w:val="39"/>
    <w:semiHidden/>
    <w:unhideWhenUsed/>
    <w:rsid w:val="00F22444"/>
    <w:pPr>
      <w:ind w:left="240"/>
    </w:pPr>
    <w:rPr>
      <w:b/>
      <w:sz w:val="22"/>
      <w:szCs w:val="22"/>
    </w:rPr>
  </w:style>
  <w:style w:type="paragraph" w:styleId="TOC3">
    <w:name w:val="toc 3"/>
    <w:basedOn w:val="Normal"/>
    <w:next w:val="Normal"/>
    <w:autoRedefine/>
    <w:uiPriority w:val="39"/>
    <w:semiHidden/>
    <w:unhideWhenUsed/>
    <w:rsid w:val="00F22444"/>
    <w:pPr>
      <w:ind w:left="480"/>
    </w:pPr>
    <w:rPr>
      <w:sz w:val="22"/>
      <w:szCs w:val="22"/>
    </w:rPr>
  </w:style>
  <w:style w:type="paragraph" w:styleId="TOC4">
    <w:name w:val="toc 4"/>
    <w:basedOn w:val="Normal"/>
    <w:next w:val="Normal"/>
    <w:autoRedefine/>
    <w:uiPriority w:val="39"/>
    <w:semiHidden/>
    <w:unhideWhenUsed/>
    <w:rsid w:val="00F22444"/>
    <w:pPr>
      <w:ind w:left="720"/>
    </w:pPr>
    <w:rPr>
      <w:sz w:val="20"/>
      <w:szCs w:val="20"/>
    </w:rPr>
  </w:style>
  <w:style w:type="paragraph" w:styleId="TOC5">
    <w:name w:val="toc 5"/>
    <w:basedOn w:val="Normal"/>
    <w:next w:val="Normal"/>
    <w:autoRedefine/>
    <w:uiPriority w:val="39"/>
    <w:semiHidden/>
    <w:unhideWhenUsed/>
    <w:rsid w:val="00F22444"/>
    <w:pPr>
      <w:ind w:left="960"/>
    </w:pPr>
    <w:rPr>
      <w:sz w:val="20"/>
      <w:szCs w:val="20"/>
    </w:rPr>
  </w:style>
  <w:style w:type="paragraph" w:styleId="TOC6">
    <w:name w:val="toc 6"/>
    <w:basedOn w:val="Normal"/>
    <w:next w:val="Normal"/>
    <w:autoRedefine/>
    <w:uiPriority w:val="39"/>
    <w:semiHidden/>
    <w:unhideWhenUsed/>
    <w:rsid w:val="00F22444"/>
    <w:pPr>
      <w:ind w:left="1200"/>
    </w:pPr>
    <w:rPr>
      <w:sz w:val="20"/>
      <w:szCs w:val="20"/>
    </w:rPr>
  </w:style>
  <w:style w:type="paragraph" w:styleId="TOC7">
    <w:name w:val="toc 7"/>
    <w:basedOn w:val="Normal"/>
    <w:next w:val="Normal"/>
    <w:autoRedefine/>
    <w:uiPriority w:val="39"/>
    <w:semiHidden/>
    <w:unhideWhenUsed/>
    <w:rsid w:val="00F22444"/>
    <w:pPr>
      <w:ind w:left="1440"/>
    </w:pPr>
    <w:rPr>
      <w:sz w:val="20"/>
      <w:szCs w:val="20"/>
    </w:rPr>
  </w:style>
  <w:style w:type="paragraph" w:styleId="TOC8">
    <w:name w:val="toc 8"/>
    <w:basedOn w:val="Normal"/>
    <w:next w:val="Normal"/>
    <w:autoRedefine/>
    <w:uiPriority w:val="39"/>
    <w:semiHidden/>
    <w:unhideWhenUsed/>
    <w:rsid w:val="00F22444"/>
    <w:pPr>
      <w:ind w:left="1680"/>
    </w:pPr>
    <w:rPr>
      <w:sz w:val="20"/>
      <w:szCs w:val="20"/>
    </w:rPr>
  </w:style>
  <w:style w:type="paragraph" w:styleId="TOC9">
    <w:name w:val="toc 9"/>
    <w:basedOn w:val="Normal"/>
    <w:next w:val="Normal"/>
    <w:autoRedefine/>
    <w:uiPriority w:val="39"/>
    <w:semiHidden/>
    <w:unhideWhenUsed/>
    <w:rsid w:val="00F2244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37F08D8BDA504E94A7634FD352725F"/>
        <w:category>
          <w:name w:val="General"/>
          <w:gallery w:val="placeholder"/>
        </w:category>
        <w:types>
          <w:type w:val="bbPlcHdr"/>
        </w:types>
        <w:behaviors>
          <w:behavior w:val="content"/>
        </w:behaviors>
        <w:guid w:val="{46DE6956-06A6-0243-9FB2-1FDF7B5691B5}"/>
      </w:docPartPr>
      <w:docPartBody>
        <w:p w:rsidR="00A50E76" w:rsidRDefault="00A50E76" w:rsidP="00A50E76">
          <w:pPr>
            <w:pStyle w:val="9537F08D8BDA504E94A7634FD352725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E76"/>
    <w:rsid w:val="000D4498"/>
    <w:rsid w:val="00A50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37F08D8BDA504E94A7634FD352725F">
    <w:name w:val="9537F08D8BDA504E94A7634FD352725F"/>
    <w:rsid w:val="00A50E76"/>
  </w:style>
  <w:style w:type="paragraph" w:customStyle="1" w:styleId="EACF923EF6A17A4D8209BFF5C01F7B37">
    <w:name w:val="EACF923EF6A17A4D8209BFF5C01F7B37"/>
    <w:rsid w:val="00A50E76"/>
  </w:style>
  <w:style w:type="paragraph" w:customStyle="1" w:styleId="AB7FB850FEE9974E8113CE4931F8B935">
    <w:name w:val="AB7FB850FEE9974E8113CE4931F8B935"/>
    <w:rsid w:val="00A50E76"/>
  </w:style>
  <w:style w:type="paragraph" w:customStyle="1" w:styleId="97C3D65C241C194FB4F103396F66F6D6">
    <w:name w:val="97C3D65C241C194FB4F103396F66F6D6"/>
    <w:rsid w:val="00A50E76"/>
  </w:style>
  <w:style w:type="paragraph" w:customStyle="1" w:styleId="B399F4BF3AA36B4C96F824BBE9D897D2">
    <w:name w:val="B399F4BF3AA36B4C96F824BBE9D897D2"/>
    <w:rsid w:val="00A50E76"/>
  </w:style>
  <w:style w:type="paragraph" w:customStyle="1" w:styleId="5822F5752B352F4E90F5D6BBD71491E5">
    <w:name w:val="5822F5752B352F4E90F5D6BBD71491E5"/>
    <w:rsid w:val="00A50E76"/>
  </w:style>
  <w:style w:type="paragraph" w:customStyle="1" w:styleId="908C199F9E72CD419CA0D62222DB45DC">
    <w:name w:val="908C199F9E72CD419CA0D62222DB45DC"/>
    <w:rsid w:val="00A50E76"/>
  </w:style>
  <w:style w:type="paragraph" w:customStyle="1" w:styleId="6F6299C94E690642B1C0B7317717F5A5">
    <w:name w:val="6F6299C94E690642B1C0B7317717F5A5"/>
    <w:rsid w:val="00A50E76"/>
  </w:style>
  <w:style w:type="paragraph" w:customStyle="1" w:styleId="75E93A849BBBE8408A860F79F7C2C91A">
    <w:name w:val="75E93A849BBBE8408A860F79F7C2C91A"/>
    <w:rsid w:val="00A50E76"/>
  </w:style>
  <w:style w:type="paragraph" w:customStyle="1" w:styleId="771FCC28012DCF47913982CA496F25A8">
    <w:name w:val="771FCC28012DCF47913982CA496F25A8"/>
    <w:rsid w:val="00A50E76"/>
  </w:style>
  <w:style w:type="paragraph" w:customStyle="1" w:styleId="45725203FD704B4D8B112470E1F7D1BF">
    <w:name w:val="45725203FD704B4D8B112470E1F7D1BF"/>
    <w:rsid w:val="00A50E76"/>
  </w:style>
  <w:style w:type="paragraph" w:customStyle="1" w:styleId="12C227D24B623D40A7AED8737C7F869B">
    <w:name w:val="12C227D24B623D40A7AED8737C7F869B"/>
    <w:rsid w:val="00A50E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37F08D8BDA504E94A7634FD352725F">
    <w:name w:val="9537F08D8BDA504E94A7634FD352725F"/>
    <w:rsid w:val="00A50E76"/>
  </w:style>
  <w:style w:type="paragraph" w:customStyle="1" w:styleId="EACF923EF6A17A4D8209BFF5C01F7B37">
    <w:name w:val="EACF923EF6A17A4D8209BFF5C01F7B37"/>
    <w:rsid w:val="00A50E76"/>
  </w:style>
  <w:style w:type="paragraph" w:customStyle="1" w:styleId="AB7FB850FEE9974E8113CE4931F8B935">
    <w:name w:val="AB7FB850FEE9974E8113CE4931F8B935"/>
    <w:rsid w:val="00A50E76"/>
  </w:style>
  <w:style w:type="paragraph" w:customStyle="1" w:styleId="97C3D65C241C194FB4F103396F66F6D6">
    <w:name w:val="97C3D65C241C194FB4F103396F66F6D6"/>
    <w:rsid w:val="00A50E76"/>
  </w:style>
  <w:style w:type="paragraph" w:customStyle="1" w:styleId="B399F4BF3AA36B4C96F824BBE9D897D2">
    <w:name w:val="B399F4BF3AA36B4C96F824BBE9D897D2"/>
    <w:rsid w:val="00A50E76"/>
  </w:style>
  <w:style w:type="paragraph" w:customStyle="1" w:styleId="5822F5752B352F4E90F5D6BBD71491E5">
    <w:name w:val="5822F5752B352F4E90F5D6BBD71491E5"/>
    <w:rsid w:val="00A50E76"/>
  </w:style>
  <w:style w:type="paragraph" w:customStyle="1" w:styleId="908C199F9E72CD419CA0D62222DB45DC">
    <w:name w:val="908C199F9E72CD419CA0D62222DB45DC"/>
    <w:rsid w:val="00A50E76"/>
  </w:style>
  <w:style w:type="paragraph" w:customStyle="1" w:styleId="6F6299C94E690642B1C0B7317717F5A5">
    <w:name w:val="6F6299C94E690642B1C0B7317717F5A5"/>
    <w:rsid w:val="00A50E76"/>
  </w:style>
  <w:style w:type="paragraph" w:customStyle="1" w:styleId="75E93A849BBBE8408A860F79F7C2C91A">
    <w:name w:val="75E93A849BBBE8408A860F79F7C2C91A"/>
    <w:rsid w:val="00A50E76"/>
  </w:style>
  <w:style w:type="paragraph" w:customStyle="1" w:styleId="771FCC28012DCF47913982CA496F25A8">
    <w:name w:val="771FCC28012DCF47913982CA496F25A8"/>
    <w:rsid w:val="00A50E76"/>
  </w:style>
  <w:style w:type="paragraph" w:customStyle="1" w:styleId="45725203FD704B4D8B112470E1F7D1BF">
    <w:name w:val="45725203FD704B4D8B112470E1F7D1BF"/>
    <w:rsid w:val="00A50E76"/>
  </w:style>
  <w:style w:type="paragraph" w:customStyle="1" w:styleId="12C227D24B623D40A7AED8737C7F869B">
    <w:name w:val="12C227D24B623D40A7AED8737C7F869B"/>
    <w:rsid w:val="00A50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CE014-A37F-2C4B-9EE7-C946EB2C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1091</Words>
  <Characters>6219</Characters>
  <Application>Microsoft Macintosh Word</Application>
  <DocSecurity>0</DocSecurity>
  <Lines>51</Lines>
  <Paragraphs>14</Paragraphs>
  <ScaleCrop>false</ScaleCrop>
  <Company/>
  <LinksUpToDate>false</LinksUpToDate>
  <CharactersWithSpaces>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Lively</dc:creator>
  <cp:keywords/>
  <dc:description/>
  <cp:lastModifiedBy>Andrew Lively</cp:lastModifiedBy>
  <cp:revision>39</cp:revision>
  <dcterms:created xsi:type="dcterms:W3CDTF">2014-10-28T22:05:00Z</dcterms:created>
  <dcterms:modified xsi:type="dcterms:W3CDTF">2014-10-31T16:38:00Z</dcterms:modified>
</cp:coreProperties>
</file>