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sz w:val="30"/>
          <w:szCs w:val="30"/>
        </w:rPr>
        <w:t xml:space="preserve">LING 150C Midterm: Answer Key and Rubric (Instructor Only)</w:t>
      </w:r>
    </w:p>
    <w:p>
      <w:pPr>
        <w:spacing w:after="100" w:before="0"/>
      </w:pPr>
      <w:r>
        <w:rPr>
          <w:rFonts w:ascii="Calibri" w:cs="Calibri" w:eastAsia="Calibri" w:hAnsi="Calibri"/>
          <w:i/>
          <w:iCs/>
          <w:sz w:val="22"/>
          <w:szCs w:val="22"/>
        </w:rPr>
        <w:t xml:space="preserve">100 points: Part A 12, Part B 44, Part C 24, Part D 20. Part B and C points are shown in parentheses; award partial credit.</w:t>
      </w:r>
    </w:p>
    <w:p>
      <w:pPr>
        <w:pStyle w:val="Heading1"/>
        <w:spacing w:after="120" w:before="240"/>
      </w:pPr>
      <w:r>
        <w:rPr>
          <w:rFonts w:ascii="Calibri" w:cs="Calibri" w:eastAsia="Calibri" w:hAnsi="Calibri"/>
          <w:b/>
          <w:bCs/>
          <w:color w:val="1F4E3D"/>
          <w:sz w:val="30"/>
          <w:szCs w:val="30"/>
        </w:rPr>
        <w:t xml:space="preserve">Part A</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500"/>
        <w:gridCol w:w="500"/>
        <w:gridCol w:w="700"/>
        <w:gridCol w:w="2300"/>
        <w:gridCol w:w="5100"/>
      </w:tblGrid>
      <w:tr>
        <w:trPr>
          <w:tblHeader/>
        </w:trPr>
        <w:tc>
          <w:tcPr>
            <w:tcW w:type="dxa" w:w="500"/>
            <w:tcBorders>
              <w:top w:val="single" w:color="999999" w:sz="4"/>
              <w:left w:val="single" w:color="999999" w:sz="4"/>
              <w:bottom w:val="single" w:color="999999" w:sz="4"/>
              <w:right w:val="single" w:color="999999" w:sz="4"/>
            </w:tcBorders>
            <w:shd w:fill="DCE9E2"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w:t>
            </w:r>
          </w:p>
        </w:tc>
        <w:tc>
          <w:tcPr>
            <w:tcW w:type="dxa" w:w="500"/>
            <w:tcBorders>
              <w:top w:val="single" w:color="999999" w:sz="4"/>
              <w:left w:val="single" w:color="999999" w:sz="4"/>
              <w:bottom w:val="single" w:color="999999" w:sz="4"/>
              <w:right w:val="single" w:color="999999" w:sz="4"/>
            </w:tcBorders>
            <w:shd w:fill="DCE9E2"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Wk</w:t>
            </w:r>
          </w:p>
        </w:tc>
        <w:tc>
          <w:tcPr>
            <w:tcW w:type="dxa" w:w="700"/>
            <w:tcBorders>
              <w:top w:val="single" w:color="999999" w:sz="4"/>
              <w:left w:val="single" w:color="999999" w:sz="4"/>
              <w:bottom w:val="single" w:color="999999" w:sz="4"/>
              <w:right w:val="single" w:color="999999" w:sz="4"/>
            </w:tcBorders>
            <w:shd w:fill="DCE9E2"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Type</w:t>
            </w:r>
          </w:p>
        </w:tc>
        <w:tc>
          <w:tcPr>
            <w:tcW w:type="dxa" w:w="2300"/>
            <w:tcBorders>
              <w:top w:val="single" w:color="999999" w:sz="4"/>
              <w:left w:val="single" w:color="999999" w:sz="4"/>
              <w:bottom w:val="single" w:color="999999" w:sz="4"/>
              <w:right w:val="single" w:color="999999" w:sz="4"/>
            </w:tcBorders>
            <w:shd w:fill="DCE9E2"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Answer</w:t>
            </w:r>
          </w:p>
        </w:tc>
        <w:tc>
          <w:tcPr>
            <w:tcW w:type="dxa" w:w="5100"/>
            <w:tcBorders>
              <w:top w:val="single" w:color="999999" w:sz="4"/>
              <w:left w:val="single" w:color="999999" w:sz="4"/>
              <w:bottom w:val="single" w:color="999999" w:sz="4"/>
              <w:right w:val="single" w:color="999999" w:sz="4"/>
            </w:tcBorders>
            <w:shd w:fill="DCE9E2"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Source / reason</w:t>
            </w:r>
          </w:p>
        </w:tc>
      </w:tr>
      <w:tr>
        <w:trPr>
          <w:tblHeader w:val="false"/>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w:t>
            </w:r>
          </w:p>
        </w:tc>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2</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TF</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True</w:t>
            </w:r>
          </w:p>
        </w:tc>
        <w:tc>
          <w:tcPr>
            <w:tcW w:type="dxa" w:w="5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Blust (Ch. 2): Austronesian is the most widespread family before European colonization; Taiwan is the source of the family.</w:t>
            </w:r>
          </w:p>
        </w:tc>
      </w:tr>
      <w:tr>
        <w:trPr>
          <w:tblHeader w:val="false"/>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2</w:t>
            </w:r>
          </w:p>
        </w:tc>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5</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MC</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w:t>
            </w:r>
          </w:p>
        </w:tc>
        <w:tc>
          <w:tcPr>
            <w:tcW w:type="dxa" w:w="5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Regular, repeated correspondences point to a common ancestor (Cook, Ch. 6).</w:t>
            </w:r>
          </w:p>
        </w:tc>
      </w:tr>
      <w:tr>
        <w:trPr>
          <w:tblHeader w:val="false"/>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3</w:t>
            </w:r>
          </w:p>
        </w:tc>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3</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FIB</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innovation (accept "shared innovation")</w:t>
            </w:r>
          </w:p>
        </w:tc>
        <w:tc>
          <w:tcPr>
            <w:tcW w:type="dxa" w:w="5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Kikusawa (Ch. 3): shared innovations, not shared retentions, define subgroups.</w:t>
            </w:r>
          </w:p>
        </w:tc>
      </w:tr>
      <w:tr>
        <w:trPr>
          <w:tblHeader w:val="false"/>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4</w:t>
            </w:r>
          </w:p>
        </w:tc>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4</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MC</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w:t>
            </w:r>
          </w:p>
        </w:tc>
        <w:tc>
          <w:tcPr>
            <w:tcW w:type="dxa" w:w="5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Inclusive = speaker + addressee (+ others); exclusive leaves the addressee out (Lichtenberk, Ch. 5).</w:t>
            </w:r>
          </w:p>
        </w:tc>
      </w:tr>
      <w:tr>
        <w:trPr>
          <w:tblHeader w:val="false"/>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5</w:t>
            </w:r>
          </w:p>
        </w:tc>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5</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TF</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False</w:t>
            </w:r>
          </w:p>
        </w:tc>
        <w:tc>
          <w:tcPr>
            <w:tcW w:type="dxa" w:w="5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"Papuan" is a negative label for non-Austronesian languages of the New Guinea region; it covers many unrelated families and isolates.</w:t>
            </w:r>
          </w:p>
        </w:tc>
      </w:tr>
      <w:tr>
        <w:trPr>
          <w:tblHeader w:val="false"/>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6</w:t>
            </w:r>
          </w:p>
        </w:tc>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6</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MC</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w:t>
            </w:r>
          </w:p>
        </w:tc>
        <w:tc>
          <w:tcPr>
            <w:tcW w:type="dxa" w:w="5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Lynch (Ch. 7); Oct 1 and Oct 13 lectures.</w:t>
            </w:r>
          </w:p>
        </w:tc>
      </w:tr>
      <w:tr>
        <w:trPr>
          <w:tblHeader w:val="false"/>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7</w:t>
            </w:r>
          </w:p>
        </w:tc>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7</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TF</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True</w:t>
            </w:r>
          </w:p>
        </w:tc>
        <w:tc>
          <w:tcPr>
            <w:tcW w:type="dxa" w:w="5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Polynesia deck, Oct 8: Hawaiian k : t correspondence.</w:t>
            </w:r>
          </w:p>
        </w:tc>
      </w:tr>
      <w:tr>
        <w:trPr>
          <w:tblHeader w:val="false"/>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8</w:t>
            </w:r>
          </w:p>
        </w:tc>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7</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MC</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w:t>
            </w:r>
          </w:p>
        </w:tc>
        <w:tc>
          <w:tcPr>
            <w:tcW w:type="dxa" w:w="5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Chamorro and Palauan descend from a different (Western Malayo-Polynesian) branch of Austronesian (Bender, Ch. 9).</w:t>
            </w:r>
          </w:p>
        </w:tc>
      </w:tr>
      <w:tr>
        <w:trPr>
          <w:tblHeader w:val="false"/>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9</w:t>
            </w:r>
          </w:p>
        </w:tc>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8</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FIB</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native (accept "first-language")</w:t>
            </w:r>
          </w:p>
        </w:tc>
        <w:tc>
          <w:tcPr>
            <w:tcW w:type="dxa" w:w="5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Meyerhoff (Ch. 13); Sakoda &amp; Siegel (Ch. 14).</w:t>
            </w:r>
          </w:p>
        </w:tc>
      </w:tr>
      <w:tr>
        <w:trPr>
          <w:tblHeader w:val="false"/>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10</w:t>
            </w:r>
          </w:p>
        </w:tc>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2</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FIB</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subgroup (accept "branch")</w:t>
            </w:r>
          </w:p>
        </w:tc>
        <w:tc>
          <w:tcPr>
            <w:tcW w:type="dxa" w:w="5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Blust (Ch. 2); Lynch (Ch. 1): Oceanic is a subgroup (branch) of Austronesian.</w:t>
            </w:r>
          </w:p>
        </w:tc>
      </w:tr>
      <w:tr>
        <w:trPr>
          <w:tblHeader w:val="false"/>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11</w:t>
            </w:r>
          </w:p>
        </w:tc>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8</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TF</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True</w:t>
            </w:r>
          </w:p>
        </w:tc>
        <w:tc>
          <w:tcPr>
            <w:tcW w:type="dxa" w:w="5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Sakoda &amp; Siegel: it has native speakers and a full range of uses.</w:t>
            </w:r>
          </w:p>
        </w:tc>
      </w:tr>
      <w:tr>
        <w:trPr>
          <w:tblHeader w:val="false"/>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12</w:t>
            </w:r>
          </w:p>
        </w:tc>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8</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MC</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w:t>
            </w:r>
          </w:p>
        </w:tc>
        <w:tc>
          <w:tcPr>
            <w:tcW w:type="dxa" w:w="5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Pidgin Hawaiian came first; Pidgin English developed after about 1875 (Sakoda &amp; Siegel).</w:t>
            </w:r>
          </w:p>
        </w:tc>
      </w:tr>
    </w:tbl>
    <w:p>
      <w:pPr>
        <w:pStyle w:val="Heading1"/>
        <w:spacing w:after="120" w:before="240"/>
      </w:pPr>
      <w:r>
        <w:rPr>
          <w:rFonts w:ascii="Calibri" w:cs="Calibri" w:eastAsia="Calibri" w:hAnsi="Calibri"/>
          <w:b/>
          <w:bCs/>
          <w:color w:val="1F4E3D"/>
          <w:sz w:val="30"/>
          <w:szCs w:val="30"/>
        </w:rPr>
        <w:t xml:space="preserve">Part B (4 points each)</w:t>
      </w:r>
    </w:p>
    <w:p>
      <w:pPr>
        <w:keepNext/>
        <w:spacing w:after="100" w:before="100"/>
      </w:pPr>
      <w:r>
        <w:rPr>
          <w:rFonts w:ascii="Calibri" w:cs="Calibri" w:eastAsia="Calibri" w:hAnsi="Calibri"/>
          <w:b/>
          <w:bCs/>
          <w:sz w:val="22"/>
          <w:szCs w:val="22"/>
        </w:rPr>
        <w:t xml:space="preserve">13. </w:t>
      </w:r>
      <w:r>
        <w:rPr>
          <w:rFonts w:ascii="Calibri" w:cs="Calibri" w:eastAsia="Calibri" w:hAnsi="Calibri"/>
          <w:sz w:val="22"/>
          <w:szCs w:val="22"/>
        </w:rPr>
        <w:t xml:space="preserve">Explain the difference between a cognate and a borrowing. How can regular sound correspondences help you tell them apart?</w:t>
      </w:r>
    </w:p>
    <w:p>
      <w:pPr>
        <w:pStyle w:val="ListParagraph"/>
        <w:numPr>
          <w:ilvl w:val="0"/>
          <w:numId w:val="2"/>
        </w:numPr>
        <w:spacing w:after="60"/>
      </w:pPr>
      <w:r>
        <w:rPr>
          <w:rFonts w:ascii="Calibri" w:cs="Calibri" w:eastAsia="Calibri" w:hAnsi="Calibri"/>
          <w:sz w:val="22"/>
          <w:szCs w:val="22"/>
        </w:rPr>
        <w:t xml:space="preserve">Cognates descend from a common ancestor; borrowings are copied from another language (1)</w:t>
      </w:r>
    </w:p>
    <w:p>
      <w:pPr>
        <w:pStyle w:val="ListParagraph"/>
        <w:numPr>
          <w:ilvl w:val="0"/>
          <w:numId w:val="2"/>
        </w:numPr>
        <w:spacing w:after="60"/>
      </w:pPr>
      <w:r>
        <w:rPr>
          <w:rFonts w:ascii="Calibri" w:cs="Calibri" w:eastAsia="Calibri" w:hAnsi="Calibri"/>
          <w:sz w:val="22"/>
          <w:szCs w:val="22"/>
        </w:rPr>
        <w:t xml:space="preserve">Cognates show regular sound correspondences across many words (1)</w:t>
      </w:r>
    </w:p>
    <w:p>
      <w:pPr>
        <w:pStyle w:val="ListParagraph"/>
        <w:numPr>
          <w:ilvl w:val="0"/>
          <w:numId w:val="2"/>
        </w:numPr>
        <w:spacing w:after="60"/>
      </w:pPr>
      <w:r>
        <w:rPr>
          <w:rFonts w:ascii="Calibri" w:cs="Calibri" w:eastAsia="Calibri" w:hAnsi="Calibri"/>
          <w:sz w:val="22"/>
          <w:szCs w:val="22"/>
        </w:rPr>
        <w:t xml:space="preserve">Borrowings tend to be irregular, cluster in particular domains, or look too similar (1)</w:t>
      </w:r>
    </w:p>
    <w:p>
      <w:pPr>
        <w:pStyle w:val="ListParagraph"/>
        <w:numPr>
          <w:ilvl w:val="0"/>
          <w:numId w:val="2"/>
        </w:numPr>
        <w:spacing w:after="60"/>
      </w:pPr>
      <w:r>
        <w:rPr>
          <w:rFonts w:ascii="Calibri" w:cs="Calibri" w:eastAsia="Calibri" w:hAnsi="Calibri"/>
          <w:sz w:val="22"/>
          <w:szCs w:val="22"/>
        </w:rPr>
        <w:t xml:space="preserve">Uses an example, e.g., Samoan fale / Hawaiian hale (1)</w:t>
      </w:r>
    </w:p>
    <w:p>
      <w:pPr>
        <w:keepNext/>
        <w:spacing w:after="100" w:before="100"/>
      </w:pPr>
      <w:r>
        <w:rPr>
          <w:rFonts w:ascii="Calibri" w:cs="Calibri" w:eastAsia="Calibri" w:hAnsi="Calibri"/>
          <w:b/>
          <w:bCs/>
          <w:sz w:val="22"/>
          <w:szCs w:val="22"/>
        </w:rPr>
        <w:t xml:space="preserve">14. </w:t>
      </w:r>
      <w:r>
        <w:rPr>
          <w:rFonts w:ascii="Calibri" w:cs="Calibri" w:eastAsia="Calibri" w:hAnsi="Calibri"/>
          <w:sz w:val="22"/>
          <w:szCs w:val="22"/>
        </w:rPr>
        <w:t xml:space="preserve">What is a shared innovation, and why is it better evidence for a subgroup than a shared retention (an old feature that several languages simply kept)?</w:t>
      </w:r>
    </w:p>
    <w:p>
      <w:pPr>
        <w:pStyle w:val="ListParagraph"/>
        <w:numPr>
          <w:ilvl w:val="0"/>
          <w:numId w:val="2"/>
        </w:numPr>
        <w:spacing w:after="60"/>
      </w:pPr>
      <w:r>
        <w:rPr>
          <w:rFonts w:ascii="Calibri" w:cs="Calibri" w:eastAsia="Calibri" w:hAnsi="Calibri"/>
          <w:sz w:val="22"/>
          <w:szCs w:val="22"/>
        </w:rPr>
        <w:t xml:space="preserve">Innovation = a change that happened once in a common ancestor (1)</w:t>
      </w:r>
    </w:p>
    <w:p>
      <w:pPr>
        <w:pStyle w:val="ListParagraph"/>
        <w:numPr>
          <w:ilvl w:val="0"/>
          <w:numId w:val="2"/>
        </w:numPr>
        <w:spacing w:after="60"/>
      </w:pPr>
      <w:r>
        <w:rPr>
          <w:rFonts w:ascii="Calibri" w:cs="Calibri" w:eastAsia="Calibri" w:hAnsi="Calibri"/>
          <w:sz w:val="22"/>
          <w:szCs w:val="22"/>
        </w:rPr>
        <w:t xml:space="preserve">Retention = inherited from an older ancestor, so it could be shared by languages outside the subgroup (2)</w:t>
      </w:r>
    </w:p>
    <w:p>
      <w:pPr>
        <w:pStyle w:val="ListParagraph"/>
        <w:numPr>
          <w:ilvl w:val="0"/>
          <w:numId w:val="2"/>
        </w:numPr>
        <w:spacing w:after="60"/>
      </w:pPr>
      <w:r>
        <w:rPr>
          <w:rFonts w:ascii="Calibri" w:cs="Calibri" w:eastAsia="Calibri" w:hAnsi="Calibri"/>
          <w:sz w:val="22"/>
          <w:szCs w:val="22"/>
        </w:rPr>
        <w:t xml:space="preserve">Only innovations show a shared period of development after splitting from others (1)</w:t>
      </w:r>
    </w:p>
    <w:p>
      <w:pPr>
        <w:keepNext/>
        <w:spacing w:after="100" w:before="100"/>
      </w:pPr>
      <w:r>
        <w:rPr>
          <w:rFonts w:ascii="Calibri" w:cs="Calibri" w:eastAsia="Calibri" w:hAnsi="Calibri"/>
          <w:b/>
          <w:bCs/>
          <w:sz w:val="22"/>
          <w:szCs w:val="22"/>
        </w:rPr>
        <w:t xml:space="preserve">15. </w:t>
      </w:r>
      <w:r>
        <w:rPr>
          <w:rFonts w:ascii="Calibri" w:cs="Calibri" w:eastAsia="Calibri" w:hAnsi="Calibri"/>
          <w:sz w:val="22"/>
          <w:szCs w:val="22"/>
        </w:rPr>
        <w:t xml:space="preserve">Name two of the three factors (time, separation, social structure) that help explain why Vanuatu has so many languages and Samoa so few. Explain how each applies.</w:t>
      </w:r>
    </w:p>
    <w:p>
      <w:pPr>
        <w:pStyle w:val="ListParagraph"/>
        <w:numPr>
          <w:ilvl w:val="0"/>
          <w:numId w:val="2"/>
        </w:numPr>
        <w:spacing w:after="60"/>
      </w:pPr>
      <w:r>
        <w:rPr>
          <w:rFonts w:ascii="Calibri" w:cs="Calibri" w:eastAsia="Calibri" w:hAnsi="Calibri"/>
          <w:sz w:val="22"/>
          <w:szCs w:val="22"/>
        </w:rPr>
        <w:t xml:space="preserve">Two factors named correctly (1)</w:t>
      </w:r>
    </w:p>
    <w:p>
      <w:pPr>
        <w:pStyle w:val="ListParagraph"/>
        <w:numPr>
          <w:ilvl w:val="0"/>
          <w:numId w:val="2"/>
        </w:numPr>
        <w:spacing w:after="60"/>
      </w:pPr>
      <w:r>
        <w:rPr>
          <w:rFonts w:ascii="Calibri" w:cs="Calibri" w:eastAsia="Calibri" w:hAnsi="Calibri"/>
          <w:sz w:val="22"/>
          <w:szCs w:val="22"/>
        </w:rPr>
        <w:t xml:space="preserve">Each factor explained (time/drift; separation, which can be social as well as geographic; social structure: large hierarchical Polynesian societies vs. small egalitarian Melanesian ones) (2)</w:t>
      </w:r>
    </w:p>
    <w:p>
      <w:pPr>
        <w:pStyle w:val="ListParagraph"/>
        <w:numPr>
          <w:ilvl w:val="0"/>
          <w:numId w:val="2"/>
        </w:numPr>
        <w:spacing w:after="60"/>
      </w:pPr>
      <w:r>
        <w:rPr>
          <w:rFonts w:ascii="Calibri" w:cs="Calibri" w:eastAsia="Calibri" w:hAnsi="Calibri"/>
          <w:sz w:val="22"/>
          <w:szCs w:val="22"/>
        </w:rPr>
        <w:t xml:space="preserve">Applied to Vanuatu vs. Samoa (1)</w:t>
      </w:r>
    </w:p>
    <w:p>
      <w:pPr>
        <w:keepNext/>
        <w:spacing w:after="100" w:before="100"/>
      </w:pPr>
      <w:r>
        <w:rPr>
          <w:rFonts w:ascii="Calibri" w:cs="Calibri" w:eastAsia="Calibri" w:hAnsi="Calibri"/>
          <w:b/>
          <w:bCs/>
          <w:sz w:val="22"/>
          <w:szCs w:val="22"/>
        </w:rPr>
        <w:t xml:space="preserve">16. </w:t>
      </w:r>
      <w:r>
        <w:rPr>
          <w:rFonts w:ascii="Calibri" w:cs="Calibri" w:eastAsia="Calibri" w:hAnsi="Calibri"/>
          <w:sz w:val="22"/>
          <w:szCs w:val="22"/>
        </w:rPr>
        <w:t xml:space="preserve">Lynch classifies Pacific languages as indigenous, metropolitan, pidgin/creole, or immigrant. Give one example of each from the Pacific.</w:t>
      </w:r>
    </w:p>
    <w:p>
      <w:pPr>
        <w:pStyle w:val="ListParagraph"/>
        <w:numPr>
          <w:ilvl w:val="0"/>
          <w:numId w:val="2"/>
        </w:numPr>
        <w:spacing w:after="60"/>
      </w:pPr>
      <w:r>
        <w:rPr>
          <w:rFonts w:ascii="Calibri" w:cs="Calibri" w:eastAsia="Calibri" w:hAnsi="Calibri"/>
          <w:sz w:val="22"/>
          <w:szCs w:val="22"/>
        </w:rPr>
        <w:t xml:space="preserve">1 point per category, with a valid example: indigenous (e.g., Samoan, Hawaiian, Abui), metropolitan (English, French), pidgin/creole (Bislama, Tok Pisin, Pijin, Hawaiian Pidgin), immigrant (e.g., Fiji Hindi, Cantonese, Japanese)</w:t>
      </w:r>
    </w:p>
    <w:p>
      <w:pPr>
        <w:keepNext/>
        <w:spacing w:after="100" w:before="100"/>
      </w:pPr>
      <w:r>
        <w:rPr>
          <w:rFonts w:ascii="Calibri" w:cs="Calibri" w:eastAsia="Calibri" w:hAnsi="Calibri"/>
          <w:b/>
          <w:bCs/>
          <w:sz w:val="22"/>
          <w:szCs w:val="22"/>
        </w:rPr>
        <w:t xml:space="preserve">17. </w:t>
      </w:r>
      <w:r>
        <w:rPr>
          <w:rFonts w:ascii="Calibri" w:cs="Calibri" w:eastAsia="Calibri" w:hAnsi="Calibri"/>
          <w:sz w:val="22"/>
          <w:szCs w:val="22"/>
        </w:rPr>
        <w:t xml:space="preserve">Why do "culture areas" (Micronesia, Polynesia, Melanesia) not line up neatly with language families? Give one example.</w:t>
      </w:r>
    </w:p>
    <w:p>
      <w:pPr>
        <w:pStyle w:val="ListParagraph"/>
        <w:numPr>
          <w:ilvl w:val="0"/>
          <w:numId w:val="2"/>
        </w:numPr>
        <w:spacing w:after="60"/>
      </w:pPr>
      <w:r>
        <w:rPr>
          <w:rFonts w:ascii="Calibri" w:cs="Calibri" w:eastAsia="Calibri" w:hAnsi="Calibri"/>
          <w:sz w:val="22"/>
          <w:szCs w:val="22"/>
        </w:rPr>
        <w:t xml:space="preserve">Culture areas group places by shared culture and geography; language families group by descent (1)</w:t>
      </w:r>
    </w:p>
    <w:p>
      <w:pPr>
        <w:pStyle w:val="ListParagraph"/>
        <w:numPr>
          <w:ilvl w:val="0"/>
          <w:numId w:val="2"/>
        </w:numPr>
        <w:spacing w:after="60"/>
      </w:pPr>
      <w:r>
        <w:rPr>
          <w:rFonts w:ascii="Calibri" w:cs="Calibri" w:eastAsia="Calibri" w:hAnsi="Calibri"/>
          <w:sz w:val="22"/>
          <w:szCs w:val="22"/>
        </w:rPr>
        <w:t xml:space="preserve">Example: Chamorro and Palauan are in Micronesia but not Oceanic; or Yapese/Nauruan/Marshallese comparison; or Polynesian Outliers outside the Polynesian triangle (2)</w:t>
      </w:r>
    </w:p>
    <w:p>
      <w:pPr>
        <w:pStyle w:val="ListParagraph"/>
        <w:numPr>
          <w:ilvl w:val="0"/>
          <w:numId w:val="2"/>
        </w:numPr>
        <w:spacing w:after="60"/>
      </w:pPr>
      <w:r>
        <w:rPr>
          <w:rFonts w:ascii="Calibri" w:cs="Calibri" w:eastAsia="Calibri" w:hAnsi="Calibri"/>
          <w:sz w:val="22"/>
          <w:szCs w:val="22"/>
        </w:rPr>
        <w:t xml:space="preserve">Conclusion: don't use region as proof of relatedness (1)</w:t>
      </w:r>
    </w:p>
    <w:p>
      <w:pPr>
        <w:keepNext/>
        <w:spacing w:after="100" w:before="100"/>
      </w:pPr>
      <w:r>
        <w:rPr>
          <w:rFonts w:ascii="Calibri" w:cs="Calibri" w:eastAsia="Calibri" w:hAnsi="Calibri"/>
          <w:b/>
          <w:bCs/>
          <w:sz w:val="22"/>
          <w:szCs w:val="22"/>
        </w:rPr>
        <w:t xml:space="preserve">18. </w:t>
      </w:r>
      <w:r>
        <w:rPr>
          <w:rFonts w:ascii="Calibri" w:cs="Calibri" w:eastAsia="Calibri" w:hAnsi="Calibri"/>
          <w:sz w:val="22"/>
          <w:szCs w:val="22"/>
        </w:rPr>
        <w:t xml:space="preserve">Two Polynesian languages can share many cognates and still not be mutually intelligible. Explain the difference between these two ideas and give one reason this can happen.</w:t>
      </w:r>
    </w:p>
    <w:p>
      <w:pPr>
        <w:pStyle w:val="ListParagraph"/>
        <w:numPr>
          <w:ilvl w:val="0"/>
          <w:numId w:val="2"/>
        </w:numPr>
        <w:spacing w:after="60"/>
      </w:pPr>
      <w:r>
        <w:rPr>
          <w:rFonts w:ascii="Calibri" w:cs="Calibri" w:eastAsia="Calibri" w:hAnsi="Calibri"/>
          <w:sz w:val="22"/>
          <w:szCs w:val="22"/>
        </w:rPr>
        <w:t xml:space="preserve">Cognates = words inherited from a common ancestor (1); mutual intelligibility = whether speakers can actually understand each other (1)</w:t>
      </w:r>
    </w:p>
    <w:p>
      <w:pPr>
        <w:pStyle w:val="ListParagraph"/>
        <w:numPr>
          <w:ilvl w:val="0"/>
          <w:numId w:val="2"/>
        </w:numPr>
        <w:spacing w:after="60"/>
      </w:pPr>
      <w:r>
        <w:rPr>
          <w:rFonts w:ascii="Calibri" w:cs="Calibri" w:eastAsia="Calibri" w:hAnsi="Calibri"/>
          <w:sz w:val="22"/>
          <w:szCs w:val="22"/>
        </w:rPr>
        <w:t xml:space="preserve">One valid reason: sound changes, differences in grammar or vocabulary, borrowing, time apart, or contact with other languages (2)</w:t>
      </w:r>
    </w:p>
    <w:p>
      <w:pPr>
        <w:pStyle w:val="ListParagraph"/>
        <w:numPr>
          <w:ilvl w:val="0"/>
          <w:numId w:val="2"/>
        </w:numPr>
        <w:spacing w:after="60"/>
      </w:pPr>
      <w:r>
        <w:rPr>
          <w:rFonts w:ascii="Calibri" w:cs="Calibri" w:eastAsia="Calibri" w:hAnsi="Calibri"/>
          <w:sz w:val="22"/>
          <w:szCs w:val="22"/>
        </w:rPr>
        <w:t xml:space="preserve">Full credit needs the two ideas kept distinct and one specific reason, not just "they sound different" (no extra points)</w:t>
      </w:r>
    </w:p>
    <w:p>
      <w:pPr>
        <w:keepNext/>
        <w:spacing w:after="100" w:before="100"/>
      </w:pPr>
      <w:r>
        <w:rPr>
          <w:rFonts w:ascii="Calibri" w:cs="Calibri" w:eastAsia="Calibri" w:hAnsi="Calibri"/>
          <w:b/>
          <w:bCs/>
          <w:sz w:val="22"/>
          <w:szCs w:val="22"/>
        </w:rPr>
        <w:t xml:space="preserve">19. </w:t>
      </w:r>
      <w:r>
        <w:rPr>
          <w:rFonts w:ascii="Calibri" w:cs="Calibri" w:eastAsia="Calibri" w:hAnsi="Calibri"/>
          <w:sz w:val="22"/>
          <w:szCs w:val="22"/>
        </w:rPr>
        <w:t xml:space="preserve">Define pidgin and creole, and name two differences between them.</w:t>
      </w:r>
    </w:p>
    <w:p>
      <w:pPr>
        <w:pStyle w:val="ListParagraph"/>
        <w:numPr>
          <w:ilvl w:val="0"/>
          <w:numId w:val="2"/>
        </w:numPr>
        <w:spacing w:after="60"/>
      </w:pPr>
      <w:r>
        <w:rPr>
          <w:rFonts w:ascii="Calibri" w:cs="Calibri" w:eastAsia="Calibri" w:hAnsi="Calibri"/>
          <w:sz w:val="22"/>
          <w:szCs w:val="22"/>
        </w:rPr>
        <w:t xml:space="preserve">Pidgin: contact language for people with no common language, restricted uses, second language (1)</w:t>
      </w:r>
    </w:p>
    <w:p>
      <w:pPr>
        <w:pStyle w:val="ListParagraph"/>
        <w:numPr>
          <w:ilvl w:val="0"/>
          <w:numId w:val="2"/>
        </w:numPr>
        <w:spacing w:after="60"/>
      </w:pPr>
      <w:r>
        <w:rPr>
          <w:rFonts w:ascii="Calibri" w:cs="Calibri" w:eastAsia="Calibri" w:hAnsi="Calibri"/>
          <w:sz w:val="22"/>
          <w:szCs w:val="22"/>
        </w:rPr>
        <w:t xml:space="preserve">Creole: has native speakers and a full range of uses (1)</w:t>
      </w:r>
    </w:p>
    <w:p>
      <w:pPr>
        <w:pStyle w:val="ListParagraph"/>
        <w:numPr>
          <w:ilvl w:val="0"/>
          <w:numId w:val="2"/>
        </w:numPr>
        <w:spacing w:after="60"/>
      </w:pPr>
      <w:r>
        <w:rPr>
          <w:rFonts w:ascii="Calibri" w:cs="Calibri" w:eastAsia="Calibri" w:hAnsi="Calibri"/>
          <w:sz w:val="22"/>
          <w:szCs w:val="22"/>
        </w:rPr>
        <w:t xml:space="preserve">Two differences (e.g., native speakers, domains of use, size of vocabulary, stable grammar) (2)</w:t>
      </w:r>
    </w:p>
    <w:p>
      <w:pPr>
        <w:keepNext/>
        <w:spacing w:after="100" w:before="100"/>
      </w:pPr>
      <w:r>
        <w:rPr>
          <w:rFonts w:ascii="Calibri" w:cs="Calibri" w:eastAsia="Calibri" w:hAnsi="Calibri"/>
          <w:b/>
          <w:bCs/>
          <w:sz w:val="22"/>
          <w:szCs w:val="22"/>
        </w:rPr>
        <w:t xml:space="preserve">20. </w:t>
      </w:r>
      <w:r>
        <w:rPr>
          <w:rFonts w:ascii="Calibri" w:cs="Calibri" w:eastAsia="Calibri" w:hAnsi="Calibri"/>
          <w:sz w:val="22"/>
          <w:szCs w:val="22"/>
        </w:rPr>
        <w:t xml:space="preserve">Meyerhoff says pidgins are "simple" only in some respects. Give one way a pidgin is simple and one way simplification creates a new problem. Is "simple" the same as "broken"?</w:t>
      </w:r>
    </w:p>
    <w:p>
      <w:pPr>
        <w:pStyle w:val="ListParagraph"/>
        <w:numPr>
          <w:ilvl w:val="0"/>
          <w:numId w:val="2"/>
        </w:numPr>
        <w:spacing w:after="60"/>
      </w:pPr>
      <w:r>
        <w:rPr>
          <w:rFonts w:ascii="Calibri" w:cs="Calibri" w:eastAsia="Calibri" w:hAnsi="Calibri"/>
          <w:sz w:val="22"/>
          <w:szCs w:val="22"/>
        </w:rPr>
        <w:t xml:space="preserve">One valid simplification (fewer function words, parataxis, simpler for adult learners) (1)</w:t>
      </w:r>
    </w:p>
    <w:p>
      <w:pPr>
        <w:pStyle w:val="ListParagraph"/>
        <w:numPr>
          <w:ilvl w:val="0"/>
          <w:numId w:val="2"/>
        </w:numPr>
        <w:spacing w:after="60"/>
      </w:pPr>
      <w:r>
        <w:rPr>
          <w:rFonts w:ascii="Calibri" w:cs="Calibri" w:eastAsia="Calibri" w:hAnsi="Calibri"/>
          <w:sz w:val="22"/>
          <w:szCs w:val="22"/>
        </w:rPr>
        <w:t xml:space="preserve">One cost (ambiguity, variation, processing) (1)</w:t>
      </w:r>
    </w:p>
    <w:p>
      <w:pPr>
        <w:pStyle w:val="ListParagraph"/>
        <w:numPr>
          <w:ilvl w:val="0"/>
          <w:numId w:val="2"/>
        </w:numPr>
        <w:spacing w:after="60"/>
      </w:pPr>
      <w:r>
        <w:rPr>
          <w:rFonts w:ascii="Calibri" w:cs="Calibri" w:eastAsia="Calibri" w:hAnsi="Calibri"/>
          <w:sz w:val="22"/>
          <w:szCs w:val="22"/>
        </w:rPr>
        <w:t xml:space="preserve">Not the same: pidgins are stable systems, not failed English (2)</w:t>
      </w:r>
    </w:p>
    <w:p>
      <w:pPr>
        <w:keepNext/>
        <w:spacing w:after="100" w:before="100"/>
      </w:pPr>
      <w:r>
        <w:rPr>
          <w:rFonts w:ascii="Calibri" w:cs="Calibri" w:eastAsia="Calibri" w:hAnsi="Calibri"/>
          <w:b/>
          <w:bCs/>
          <w:sz w:val="22"/>
          <w:szCs w:val="22"/>
        </w:rPr>
        <w:t xml:space="preserve">21. </w:t>
      </w:r>
      <w:r>
        <w:rPr>
          <w:rFonts w:ascii="Calibri" w:cs="Calibri" w:eastAsia="Calibri" w:hAnsi="Calibri"/>
          <w:sz w:val="22"/>
          <w:szCs w:val="22"/>
        </w:rPr>
        <w:t xml:space="preserve">Bislama distinguishes yumi (inclusive "we") and mifala (exclusive "we"), although English does not. Where does Bislama probably get this distinction, and what does that show about how pidgins and creoles are built?</w:t>
      </w:r>
    </w:p>
    <w:p>
      <w:pPr>
        <w:pStyle w:val="ListParagraph"/>
        <w:numPr>
          <w:ilvl w:val="0"/>
          <w:numId w:val="2"/>
        </w:numPr>
        <w:spacing w:after="60"/>
      </w:pPr>
      <w:r>
        <w:rPr>
          <w:rFonts w:ascii="Calibri" w:cs="Calibri" w:eastAsia="Calibri" w:hAnsi="Calibri"/>
          <w:sz w:val="22"/>
          <w:szCs w:val="22"/>
        </w:rPr>
        <w:t xml:space="preserve">Substrate: the local Vanuatu languages (2)</w:t>
      </w:r>
    </w:p>
    <w:p>
      <w:pPr>
        <w:pStyle w:val="ListParagraph"/>
        <w:numPr>
          <w:ilvl w:val="0"/>
          <w:numId w:val="2"/>
        </w:numPr>
        <w:spacing w:after="60"/>
      </w:pPr>
      <w:r>
        <w:rPr>
          <w:rFonts w:ascii="Calibri" w:cs="Calibri" w:eastAsia="Calibri" w:hAnsi="Calibri"/>
          <w:sz w:val="22"/>
          <w:szCs w:val="22"/>
        </w:rPr>
        <w:t xml:space="preserve">Vocabulary from the lexifier (English), grammar influenced by the substrate (1)</w:t>
      </w:r>
    </w:p>
    <w:p>
      <w:pPr>
        <w:pStyle w:val="ListParagraph"/>
        <w:numPr>
          <w:ilvl w:val="0"/>
          <w:numId w:val="2"/>
        </w:numPr>
        <w:spacing w:after="60"/>
      </w:pPr>
      <w:r>
        <w:rPr>
          <w:rFonts w:ascii="Calibri" w:cs="Calibri" w:eastAsia="Calibri" w:hAnsi="Calibri"/>
          <w:sz w:val="22"/>
          <w:szCs w:val="22"/>
        </w:rPr>
        <w:t xml:space="preserve">Creoles are not just relabeled English (1)</w:t>
      </w:r>
    </w:p>
    <w:p>
      <w:pPr>
        <w:keepNext/>
        <w:spacing w:after="100" w:before="100"/>
      </w:pPr>
      <w:r>
        <w:rPr>
          <w:rFonts w:ascii="Calibri" w:cs="Calibri" w:eastAsia="Calibri" w:hAnsi="Calibri"/>
          <w:b/>
          <w:bCs/>
          <w:sz w:val="22"/>
          <w:szCs w:val="22"/>
        </w:rPr>
        <w:t xml:space="preserve">22. </w:t>
      </w:r>
      <w:r>
        <w:rPr>
          <w:rFonts w:ascii="Calibri" w:cs="Calibri" w:eastAsia="Calibri" w:hAnsi="Calibri"/>
          <w:sz w:val="22"/>
          <w:szCs w:val="22"/>
        </w:rPr>
        <w:t xml:space="preserve">Japanese was the largest group of immigrant laborers in Hawaiʻi, yet Portuguese influenced Pidgin's grammar more. Give two reasons.</w:t>
      </w:r>
    </w:p>
    <w:p>
      <w:pPr>
        <w:pStyle w:val="ListParagraph"/>
        <w:numPr>
          <w:ilvl w:val="0"/>
          <w:numId w:val="2"/>
        </w:numPr>
        <w:spacing w:after="60"/>
      </w:pPr>
      <w:r>
        <w:rPr>
          <w:rFonts w:ascii="Calibri" w:cs="Calibri" w:eastAsia="Calibri" w:hAnsi="Calibri"/>
          <w:sz w:val="22"/>
          <w:szCs w:val="22"/>
        </w:rPr>
        <w:t xml:space="preserve">Timing: Hawaiian, Chinese, Portuguese speakers had shaped the pidgin before large Japanese immigration (1888) (2)</w:t>
      </w:r>
    </w:p>
    <w:p>
      <w:pPr>
        <w:pStyle w:val="ListParagraph"/>
        <w:numPr>
          <w:ilvl w:val="0"/>
          <w:numId w:val="2"/>
        </w:numPr>
        <w:spacing w:after="60"/>
      </w:pPr>
      <w:r>
        <w:rPr>
          <w:rFonts w:ascii="Calibri" w:cs="Calibri" w:eastAsia="Calibri" w:hAnsi="Calibri"/>
          <w:sz w:val="22"/>
          <w:szCs w:val="22"/>
        </w:rPr>
        <w:t xml:space="preserve">Portuguese children were locally born and acquired Pidgin earlier; Portuguese were the largest locally born group in schools (2)</w:t>
      </w:r>
    </w:p>
    <w:p>
      <w:pPr>
        <w:pStyle w:val="ListParagraph"/>
        <w:numPr>
          <w:ilvl w:val="0"/>
          <w:numId w:val="2"/>
        </w:numPr>
        <w:spacing w:after="60"/>
      </w:pPr>
      <w:r>
        <w:rPr>
          <w:rFonts w:ascii="Calibri" w:cs="Calibri" w:eastAsia="Calibri" w:hAnsi="Calibri"/>
          <w:sz w:val="22"/>
          <w:szCs w:val="22"/>
        </w:rPr>
        <w:t xml:space="preserve">Other valid reasons earn credit in place of either (e.g., Portuguese held skilled/luna jobs; shifted to Pidgin first)</w:t>
      </w:r>
    </w:p>
    <w:p>
      <w:pPr>
        <w:keepNext/>
        <w:spacing w:after="100" w:before="100"/>
      </w:pPr>
      <w:r>
        <w:rPr>
          <w:rFonts w:ascii="Calibri" w:cs="Calibri" w:eastAsia="Calibri" w:hAnsi="Calibri"/>
          <w:b/>
          <w:bCs/>
          <w:sz w:val="22"/>
          <w:szCs w:val="22"/>
        </w:rPr>
        <w:t xml:space="preserve">23. </w:t>
      </w:r>
      <w:r>
        <w:rPr>
          <w:rFonts w:ascii="Calibri" w:cs="Calibri" w:eastAsia="Calibri" w:hAnsi="Calibri"/>
          <w:sz w:val="22"/>
          <w:szCs w:val="22"/>
        </w:rPr>
        <w:t xml:space="preserve">People in Hawaiʻi hold very different attitudes toward Pidgin. Describe two contrasting attitudes and give one reason each exists.</w:t>
      </w:r>
    </w:p>
    <w:p>
      <w:pPr>
        <w:pStyle w:val="ListParagraph"/>
        <w:numPr>
          <w:ilvl w:val="0"/>
          <w:numId w:val="2"/>
        </w:numPr>
        <w:spacing w:after="60"/>
      </w:pPr>
      <w:r>
        <w:rPr>
          <w:rFonts w:ascii="Calibri" w:cs="Calibri" w:eastAsia="Calibri" w:hAnsi="Calibri"/>
          <w:sz w:val="22"/>
          <w:szCs w:val="22"/>
        </w:rPr>
        <w:t xml:space="preserve">Two contrasting attitudes named, e.g., Pidgin as "broken"/"bad English" or unsuitable for school and work, vs. Pidgin as a marker of local identity and community pride (2)</w:t>
      </w:r>
    </w:p>
    <w:p>
      <w:pPr>
        <w:pStyle w:val="ListParagraph"/>
        <w:numPr>
          <w:ilvl w:val="0"/>
          <w:numId w:val="2"/>
        </w:numPr>
        <w:spacing w:after="60"/>
      </w:pPr>
      <w:r>
        <w:rPr>
          <w:rFonts w:ascii="Calibri" w:cs="Calibri" w:eastAsia="Calibri" w:hAnsi="Calibri"/>
          <w:sz w:val="22"/>
          <w:szCs w:val="22"/>
        </w:rPr>
        <w:t xml:space="preserve">One reason for each (1 each; 2 total), e.g., standard-English school policy and the 1987 Board of Education decision; plantation history and local identity; Da Pidgin Coup</w:t>
      </w:r>
    </w:p>
    <w:p>
      <w:pPr>
        <w:pStyle w:val="ListParagraph"/>
        <w:numPr>
          <w:ilvl w:val="0"/>
          <w:numId w:val="2"/>
        </w:numPr>
        <w:spacing w:after="60"/>
      </w:pPr>
      <w:r>
        <w:rPr>
          <w:rFonts w:ascii="Calibri" w:cs="Calibri" w:eastAsia="Calibri" w:hAnsi="Calibri"/>
          <w:sz w:val="22"/>
          <w:szCs w:val="22"/>
        </w:rPr>
        <w:t xml:space="preserve">Zero credit for naming attitudes only, with no reason; accept any reasonable attitudes drawn from lecture or readings (no extra points)</w:t>
      </w:r>
    </w:p>
    <w:p>
      <w:pPr>
        <w:pStyle w:val="Heading1"/>
        <w:spacing w:after="120" w:before="240"/>
      </w:pPr>
      <w:r>
        <w:rPr>
          <w:rFonts w:ascii="Calibri" w:cs="Calibri" w:eastAsia="Calibri" w:hAnsi="Calibri"/>
          <w:b/>
          <w:bCs/>
          <w:color w:val="1F4E3D"/>
          <w:sz w:val="30"/>
          <w:szCs w:val="30"/>
        </w:rPr>
        <w:t xml:space="preserve">Part C (8 points each)</w:t>
      </w:r>
    </w:p>
    <w:p>
      <w:pPr>
        <w:keepNext/>
        <w:spacing w:after="100" w:before="100"/>
      </w:pPr>
      <w:r>
        <w:rPr>
          <w:rFonts w:ascii="Calibri" w:cs="Calibri" w:eastAsia="Calibri" w:hAnsi="Calibri"/>
          <w:b/>
          <w:bCs/>
          <w:sz w:val="22"/>
          <w:szCs w:val="22"/>
        </w:rPr>
        <w:t xml:space="preserve">24. Sound correspondences</w:t>
      </w:r>
    </w:p>
    <w:p>
      <w:pPr>
        <w:pStyle w:val="ListParagraph"/>
        <w:numPr>
          <w:ilvl w:val="0"/>
          <w:numId w:val="2"/>
        </w:numPr>
        <w:spacing w:after="60"/>
      </w:pPr>
      <w:r>
        <w:rPr>
          <w:rFonts w:ascii="Calibri" w:cs="Calibri" w:eastAsia="Calibri" w:hAnsi="Calibri"/>
          <w:sz w:val="22"/>
          <w:szCs w:val="22"/>
        </w:rPr>
        <w:t xml:space="preserve">(a) Hawaiian k : Samoan t; or Hawaiian h : Samoan f (1 for correspondence, 1 for citing the words)</w:t>
      </w:r>
    </w:p>
    <w:p>
      <w:pPr>
        <w:pStyle w:val="ListParagraph"/>
        <w:numPr>
          <w:ilvl w:val="0"/>
          <w:numId w:val="2"/>
        </w:numPr>
        <w:spacing w:after="60"/>
      </w:pPr>
      <w:r>
        <w:rPr>
          <w:rFonts w:ascii="Calibri" w:cs="Calibri" w:eastAsia="Calibri" w:hAnsi="Calibri"/>
          <w:sz w:val="22"/>
          <w:szCs w:val="22"/>
        </w:rPr>
        <w:t xml:space="preserve">(b) Cognates: regular correspondences across many words, basic vocabulary (2)</w:t>
      </w:r>
    </w:p>
    <w:p>
      <w:pPr>
        <w:pStyle w:val="ListParagraph"/>
        <w:numPr>
          <w:ilvl w:val="0"/>
          <w:numId w:val="2"/>
        </w:numPr>
        <w:spacing w:after="60"/>
      </w:pPr>
      <w:r>
        <w:rPr>
          <w:rFonts w:ascii="Calibri" w:cs="Calibri" w:eastAsia="Calibri" w:hAnsi="Calibri"/>
          <w:sz w:val="22"/>
          <w:szCs w:val="22"/>
        </w:rPr>
        <w:t xml:space="preserve">(c) tane; k becomes t (2; 1 for t, 1 for reasoning)</w:t>
      </w:r>
    </w:p>
    <w:p>
      <w:pPr>
        <w:pStyle w:val="ListParagraph"/>
        <w:numPr>
          <w:ilvl w:val="0"/>
          <w:numId w:val="2"/>
        </w:numPr>
        <w:spacing w:after="60"/>
      </w:pPr>
      <w:r>
        <w:rPr>
          <w:rFonts w:ascii="Calibri" w:cs="Calibri" w:eastAsia="Calibri" w:hAnsi="Calibri"/>
          <w:sz w:val="22"/>
          <w:szCs w:val="22"/>
        </w:rPr>
        <w:t xml:space="preserve">(d) Irregular matches, limited to specific domains (e.g., recent technology or foods), similar form despite different expected sounds, history of contact (2)</w:t>
      </w:r>
    </w:p>
    <w:p>
      <w:pPr>
        <w:keepNext/>
        <w:spacing w:after="100" w:before="100"/>
      </w:pPr>
      <w:r>
        <w:rPr>
          <w:rFonts w:ascii="Calibri" w:cs="Calibri" w:eastAsia="Calibri" w:hAnsi="Calibri"/>
          <w:b/>
          <w:bCs/>
          <w:sz w:val="22"/>
          <w:szCs w:val="22"/>
        </w:rPr>
        <w:t xml:space="preserve">25. Bislama data</w:t>
      </w:r>
    </w:p>
    <w:p>
      <w:pPr>
        <w:pStyle w:val="ListParagraph"/>
        <w:numPr>
          <w:ilvl w:val="0"/>
          <w:numId w:val="2"/>
        </w:numPr>
        <w:spacing w:after="60"/>
      </w:pPr>
      <w:r>
        <w:rPr>
          <w:rFonts w:ascii="Calibri" w:cs="Calibri" w:eastAsia="Calibri" w:hAnsi="Calibri"/>
          <w:sz w:val="22"/>
          <w:szCs w:val="22"/>
        </w:rPr>
        <w:t xml:space="preserve">(a) -em is added to the verb when it has an object (it is transitive) (1); English uses the same verb with or without an object, so it does not do this (1)</w:t>
      </w:r>
    </w:p>
    <w:p>
      <w:pPr>
        <w:pStyle w:val="ListParagraph"/>
        <w:numPr>
          <w:ilvl w:val="0"/>
          <w:numId w:val="2"/>
        </w:numPr>
        <w:spacing w:after="60"/>
      </w:pPr>
      <w:r>
        <w:rPr>
          <w:rFonts w:ascii="Calibri" w:cs="Calibri" w:eastAsia="Calibri" w:hAnsi="Calibri"/>
          <w:sz w:val="22"/>
          <w:szCs w:val="22"/>
        </w:rPr>
        <w:t xml:space="preserve">(b) Repetition (reduplication) adds the sense of "a lot," "many," or intensity (1); English doesn't normally mark this by repeating the verb (1); reduplication is common in Pacific languages, including the Oceanic languages of Vanuatu, so it points to the substrate, not English (1)</w:t>
      </w:r>
    </w:p>
    <w:p>
      <w:pPr>
        <w:pStyle w:val="ListParagraph"/>
        <w:numPr>
          <w:ilvl w:val="0"/>
          <w:numId w:val="2"/>
        </w:numPr>
        <w:spacing w:after="60"/>
      </w:pPr>
      <w:r>
        <w:rPr>
          <w:rFonts w:ascii="Calibri" w:cs="Calibri" w:eastAsia="Calibri" w:hAnsi="Calibri"/>
          <w:sz w:val="22"/>
          <w:szCs w:val="22"/>
        </w:rPr>
        <w:t xml:space="preserve">(c) Vocabulary is English-derived, but grammar and word-building are its own; used for academic writing, national language; native speakers; a full language (3)</w:t>
      </w:r>
    </w:p>
    <w:p>
      <w:pPr>
        <w:keepNext/>
        <w:spacing w:after="100" w:before="100"/>
      </w:pPr>
      <w:r>
        <w:rPr>
          <w:rFonts w:ascii="Calibri" w:cs="Calibri" w:eastAsia="Calibri" w:hAnsi="Calibri"/>
          <w:b/>
          <w:bCs/>
          <w:sz w:val="22"/>
          <w:szCs w:val="22"/>
        </w:rPr>
        <w:t xml:space="preserve">26. Working out a family tree</w:t>
      </w:r>
    </w:p>
    <w:p>
      <w:pPr>
        <w:pStyle w:val="ListParagraph"/>
        <w:numPr>
          <w:ilvl w:val="0"/>
          <w:numId w:val="2"/>
        </w:numPr>
        <w:spacing w:after="60"/>
      </w:pPr>
      <w:r>
        <w:rPr>
          <w:rFonts w:ascii="Calibri" w:cs="Calibri" w:eastAsia="Calibri" w:hAnsi="Calibri"/>
          <w:sz w:val="22"/>
          <w:szCs w:val="22"/>
        </w:rPr>
        <w:t xml:space="preserve">(a) B, C, and D form a subgroup: they share b → v (bako → vako) (1). C and D also share s → h and g → k (sime → hime, gito → kito), so C and D are most closely related and B split off earlier (2)</w:t>
      </w:r>
    </w:p>
    <w:p>
      <w:pPr>
        <w:pStyle w:val="ListParagraph"/>
        <w:numPr>
          <w:ilvl w:val="0"/>
          <w:numId w:val="2"/>
        </w:numPr>
        <w:spacing w:after="60"/>
      </w:pPr>
      <w:r>
        <w:rPr>
          <w:rFonts w:ascii="Calibri" w:cs="Calibri" w:eastAsia="Calibri" w:hAnsi="Calibri"/>
          <w:sz w:val="22"/>
          <w:szCs w:val="22"/>
        </w:rPr>
        <w:t xml:space="preserve">(b) No. Keeping old features is a shared retention, which does not show a special relationship, because any language can simply keep them (2). Only shared innovations (changes) are evidence for a subgroup, and A and E share none (1)</w:t>
      </w:r>
    </w:p>
    <w:p>
      <w:pPr>
        <w:pStyle w:val="ListParagraph"/>
        <w:numPr>
          <w:ilvl w:val="0"/>
          <w:numId w:val="2"/>
        </w:numPr>
        <w:spacing w:after="60"/>
      </w:pPr>
      <w:r>
        <w:rPr>
          <w:rFonts w:ascii="Calibri" w:cs="Calibri" w:eastAsia="Calibri" w:hAnsi="Calibri"/>
          <w:sz w:val="22"/>
          <w:szCs w:val="22"/>
        </w:rPr>
        <w:t xml:space="preserve">(c) vaki (1); C changed b → v and g → k (1). The implied tree is A, E, and then (B (C, D))</w:t>
      </w:r>
    </w:p>
    <w:p>
      <w:pPr>
        <w:pStyle w:val="Heading1"/>
        <w:spacing w:after="120" w:before="240"/>
      </w:pPr>
      <w:r>
        <w:rPr>
          <w:rFonts w:ascii="Calibri" w:cs="Calibri" w:eastAsia="Calibri" w:hAnsi="Calibri"/>
          <w:b/>
          <w:bCs/>
          <w:color w:val="1F4E3D"/>
          <w:sz w:val="30"/>
          <w:szCs w:val="30"/>
        </w:rPr>
        <w:t xml:space="preserve">Part D (20 points)</w:t>
      </w:r>
    </w:p>
    <w:p>
      <w:pPr>
        <w:keepNext/>
        <w:spacing w:after="100" w:before="100"/>
      </w:pPr>
      <w:r>
        <w:rPr>
          <w:rFonts w:ascii="Calibri" w:cs="Calibri" w:eastAsia="Calibri" w:hAnsi="Calibri"/>
          <w:b/>
          <w:bCs/>
          <w:sz w:val="22"/>
          <w:szCs w:val="22"/>
        </w:rPr>
        <w:t xml:space="preserve">Option 1 (Weeks 5-7). </w:t>
      </w:r>
      <w:r>
        <w:rPr>
          <w:rFonts w:ascii="Calibri" w:cs="Calibri" w:eastAsia="Calibri" w:hAnsi="Calibri"/>
          <w:sz w:val="22"/>
          <w:szCs w:val="22"/>
        </w:rPr>
        <w:t xml:space="preserve">Why are Melanesian languages so diverse while Polynesian languages are so similar? Use the three factors (time, separation, social structure) and at least two specific examples from the course (e.g., Vanuatu, Samoa, Fiji, Polynesian family tree, Vanuatu's northern and southern language split).</w:t>
      </w:r>
    </w:p>
    <w:p>
      <w:pPr>
        <w:pStyle w:val="ListParagraph"/>
        <w:numPr>
          <w:ilvl w:val="0"/>
          <w:numId w:val="2"/>
        </w:numPr>
        <w:spacing w:after="60"/>
      </w:pPr>
      <w:r>
        <w:rPr>
          <w:rFonts w:ascii="Calibri" w:cs="Calibri" w:eastAsia="Calibri" w:hAnsi="Calibri"/>
          <w:sz w:val="22"/>
          <w:szCs w:val="22"/>
        </w:rPr>
        <w:t xml:space="preserve">Clear thesis (2)</w:t>
      </w:r>
    </w:p>
    <w:p>
      <w:pPr>
        <w:pStyle w:val="ListParagraph"/>
        <w:numPr>
          <w:ilvl w:val="0"/>
          <w:numId w:val="2"/>
        </w:numPr>
        <w:spacing w:after="60"/>
      </w:pPr>
      <w:r>
        <w:rPr>
          <w:rFonts w:ascii="Calibri" w:cs="Calibri" w:eastAsia="Calibri" w:hAnsi="Calibri"/>
          <w:sz w:val="22"/>
          <w:szCs w:val="22"/>
        </w:rPr>
        <w:t xml:space="preserve">Three factors explained accurately (6)</w:t>
      </w:r>
    </w:p>
    <w:p>
      <w:pPr>
        <w:pStyle w:val="ListParagraph"/>
        <w:numPr>
          <w:ilvl w:val="0"/>
          <w:numId w:val="2"/>
        </w:numPr>
        <w:spacing w:after="60"/>
      </w:pPr>
      <w:r>
        <w:rPr>
          <w:rFonts w:ascii="Calibri" w:cs="Calibri" w:eastAsia="Calibri" w:hAnsi="Calibri"/>
          <w:sz w:val="22"/>
          <w:szCs w:val="22"/>
        </w:rPr>
        <w:t xml:space="preserve">At least two specific examples (6)</w:t>
      </w:r>
    </w:p>
    <w:p>
      <w:pPr>
        <w:pStyle w:val="ListParagraph"/>
        <w:numPr>
          <w:ilvl w:val="0"/>
          <w:numId w:val="2"/>
        </w:numPr>
        <w:spacing w:after="60"/>
      </w:pPr>
      <w:r>
        <w:rPr>
          <w:rFonts w:ascii="Calibri" w:cs="Calibri" w:eastAsia="Calibri" w:hAnsi="Calibri"/>
          <w:sz w:val="22"/>
          <w:szCs w:val="22"/>
        </w:rPr>
        <w:t xml:space="preserve">Counterpoint or complication, e.g., sea is not a barrier, Fiji as in-between (3)</w:t>
      </w:r>
    </w:p>
    <w:p>
      <w:pPr>
        <w:pStyle w:val="ListParagraph"/>
        <w:numPr>
          <w:ilvl w:val="0"/>
          <w:numId w:val="2"/>
        </w:numPr>
        <w:spacing w:after="60"/>
      </w:pPr>
      <w:r>
        <w:rPr>
          <w:rFonts w:ascii="Calibri" w:cs="Calibri" w:eastAsia="Calibri" w:hAnsi="Calibri"/>
          <w:sz w:val="22"/>
          <w:szCs w:val="22"/>
        </w:rPr>
        <w:t xml:space="preserve">Organization and clarity (3)</w:t>
      </w:r>
    </w:p>
    <w:p>
      <w:pPr>
        <w:keepNext/>
        <w:spacing w:after="100" w:before="100"/>
      </w:pPr>
      <w:r>
        <w:rPr>
          <w:rFonts w:ascii="Calibri" w:cs="Calibri" w:eastAsia="Calibri" w:hAnsi="Calibri"/>
          <w:b/>
          <w:bCs/>
          <w:sz w:val="22"/>
          <w:szCs w:val="22"/>
        </w:rPr>
        <w:t xml:space="preserve">Option 2 (Weeks 8). </w:t>
      </w:r>
      <w:r>
        <w:rPr>
          <w:rFonts w:ascii="Calibri" w:cs="Calibri" w:eastAsia="Calibri" w:hAnsi="Calibri"/>
          <w:sz w:val="22"/>
          <w:szCs w:val="22"/>
        </w:rPr>
        <w:t xml:space="preserve">"Pidgin is just broken English." Respond to this claim using evidence from: Meyerhoff (Ch. 13) and Sakoda &amp; Siegel (Hawaiʻi). Explain what the claim gets wrong, why people believe it, and what is at stake for speakers.</w:t>
      </w:r>
    </w:p>
    <w:p>
      <w:pPr>
        <w:pStyle w:val="ListParagraph"/>
        <w:numPr>
          <w:ilvl w:val="0"/>
          <w:numId w:val="2"/>
        </w:numPr>
        <w:spacing w:after="60"/>
      </w:pPr>
      <w:r>
        <w:rPr>
          <w:rFonts w:ascii="Calibri" w:cs="Calibri" w:eastAsia="Calibri" w:hAnsi="Calibri"/>
          <w:sz w:val="22"/>
          <w:szCs w:val="22"/>
        </w:rPr>
        <w:t xml:space="preserve">Clear thesis (2)</w:t>
      </w:r>
    </w:p>
    <w:p>
      <w:pPr>
        <w:pStyle w:val="ListParagraph"/>
        <w:numPr>
          <w:ilvl w:val="0"/>
          <w:numId w:val="2"/>
        </w:numPr>
        <w:spacing w:after="60"/>
      </w:pPr>
      <w:r>
        <w:rPr>
          <w:rFonts w:ascii="Calibri" w:cs="Calibri" w:eastAsia="Calibri" w:hAnsi="Calibri"/>
          <w:sz w:val="22"/>
          <w:szCs w:val="22"/>
        </w:rPr>
        <w:t xml:space="preserve">Linguistic evidence: substrate grammar, creole innovations, native speakers, full range of use (6)</w:t>
      </w:r>
    </w:p>
    <w:p>
      <w:pPr>
        <w:pStyle w:val="ListParagraph"/>
        <w:numPr>
          <w:ilvl w:val="0"/>
          <w:numId w:val="2"/>
        </w:numPr>
        <w:spacing w:after="60"/>
      </w:pPr>
      <w:r>
        <w:rPr>
          <w:rFonts w:ascii="Calibri" w:cs="Calibri" w:eastAsia="Calibri" w:hAnsi="Calibri"/>
          <w:sz w:val="22"/>
          <w:szCs w:val="22"/>
        </w:rPr>
        <w:t xml:space="preserve">Social explanation: attitudes, colonial hierarchy, standard-English policy (5)</w:t>
      </w:r>
    </w:p>
    <w:p>
      <w:pPr>
        <w:pStyle w:val="ListParagraph"/>
        <w:numPr>
          <w:ilvl w:val="0"/>
          <w:numId w:val="2"/>
        </w:numPr>
        <w:spacing w:after="60"/>
      </w:pPr>
      <w:r>
        <w:rPr>
          <w:rFonts w:ascii="Calibri" w:cs="Calibri" w:eastAsia="Calibri" w:hAnsi="Calibri"/>
          <w:sz w:val="22"/>
          <w:szCs w:val="22"/>
        </w:rPr>
        <w:t xml:space="preserve">Stakes: education, identity (3)</w:t>
      </w:r>
    </w:p>
    <w:p>
      <w:pPr>
        <w:pStyle w:val="ListParagraph"/>
        <w:numPr>
          <w:ilvl w:val="0"/>
          <w:numId w:val="2"/>
        </w:numPr>
        <w:spacing w:after="60"/>
      </w:pPr>
      <w:r>
        <w:rPr>
          <w:rFonts w:ascii="Calibri" w:cs="Calibri" w:eastAsia="Calibri" w:hAnsi="Calibri"/>
          <w:sz w:val="22"/>
          <w:szCs w:val="22"/>
        </w:rPr>
        <w:t xml:space="preserve">At least two sources used accurately, organization and clarity (4)</w:t>
      </w:r>
    </w:p>
    <w:p>
      <w:pPr>
        <w:keepNext/>
        <w:spacing w:after="100" w:before="100"/>
      </w:pPr>
      <w:r>
        <w:rPr>
          <w:rFonts w:ascii="Calibri" w:cs="Calibri" w:eastAsia="Calibri" w:hAnsi="Calibri"/>
          <w:b/>
          <w:bCs/>
          <w:sz w:val="22"/>
          <w:szCs w:val="22"/>
        </w:rPr>
        <w:t xml:space="preserve">Option 3 (Weeks 8). </w:t>
      </w:r>
      <w:r>
        <w:rPr>
          <w:rFonts w:ascii="Calibri" w:cs="Calibri" w:eastAsia="Calibri" w:hAnsi="Calibri"/>
          <w:sz w:val="22"/>
          <w:szCs w:val="22"/>
        </w:rPr>
        <w:t xml:space="preserve">Compare how a pidgin became a creole in Vanuatu (Bislama) and in Hawaiʻi. Discuss who the speakers were, which languages were involved (lexifier and substrate), when children began acquiring it, and what the creole added.</w:t>
      </w:r>
    </w:p>
    <w:p>
      <w:pPr>
        <w:pStyle w:val="ListParagraph"/>
        <w:numPr>
          <w:ilvl w:val="0"/>
          <w:numId w:val="2"/>
        </w:numPr>
        <w:spacing w:after="60"/>
      </w:pPr>
      <w:r>
        <w:rPr>
          <w:rFonts w:ascii="Calibri" w:cs="Calibri" w:eastAsia="Calibri" w:hAnsi="Calibri"/>
          <w:sz w:val="22"/>
          <w:szCs w:val="22"/>
        </w:rPr>
        <w:t xml:space="preserve">Clear thesis (2)</w:t>
      </w:r>
    </w:p>
    <w:p>
      <w:pPr>
        <w:pStyle w:val="ListParagraph"/>
        <w:numPr>
          <w:ilvl w:val="0"/>
          <w:numId w:val="2"/>
        </w:numPr>
        <w:spacing w:after="60"/>
      </w:pPr>
      <w:r>
        <w:rPr>
          <w:rFonts w:ascii="Calibri" w:cs="Calibri" w:eastAsia="Calibri" w:hAnsi="Calibri"/>
          <w:sz w:val="22"/>
          <w:szCs w:val="22"/>
        </w:rPr>
        <w:t xml:space="preserve">Vanuatu/Bislama details (5)</w:t>
      </w:r>
    </w:p>
    <w:p>
      <w:pPr>
        <w:pStyle w:val="ListParagraph"/>
        <w:numPr>
          <w:ilvl w:val="0"/>
          <w:numId w:val="2"/>
        </w:numPr>
        <w:spacing w:after="60"/>
      </w:pPr>
      <w:r>
        <w:rPr>
          <w:rFonts w:ascii="Calibri" w:cs="Calibri" w:eastAsia="Calibri" w:hAnsi="Calibri"/>
          <w:sz w:val="22"/>
          <w:szCs w:val="22"/>
        </w:rPr>
        <w:t xml:space="preserve">Hawaiʻi details: Pidgin Hawaiian then Pidgin English, 1905-1920 emergence, Portuguese, Chinese, Japanese (5)</w:t>
      </w:r>
    </w:p>
    <w:p>
      <w:pPr>
        <w:pStyle w:val="ListParagraph"/>
        <w:numPr>
          <w:ilvl w:val="0"/>
          <w:numId w:val="2"/>
        </w:numPr>
        <w:spacing w:after="60"/>
      </w:pPr>
      <w:r>
        <w:rPr>
          <w:rFonts w:ascii="Calibri" w:cs="Calibri" w:eastAsia="Calibri" w:hAnsi="Calibri"/>
          <w:sz w:val="22"/>
          <w:szCs w:val="22"/>
        </w:rPr>
        <w:t xml:space="preserve">Explicit comparison (4)</w:t>
      </w:r>
    </w:p>
    <w:p>
      <w:pPr>
        <w:pStyle w:val="ListParagraph"/>
        <w:numPr>
          <w:ilvl w:val="0"/>
          <w:numId w:val="2"/>
        </w:numPr>
        <w:spacing w:after="60"/>
      </w:pPr>
      <w:r>
        <w:rPr>
          <w:rFonts w:ascii="Calibri" w:cs="Calibri" w:eastAsia="Calibri" w:hAnsi="Calibri"/>
          <w:sz w:val="22"/>
          <w:szCs w:val="22"/>
        </w:rPr>
        <w:t xml:space="preserve">Accuracy and organization (4)</w:t>
      </w:r>
    </w:p>
    <w:p>
      <w:pPr>
        <w:pStyle w:val="Heading2"/>
        <w:keepNext/>
        <w:spacing w:after="80" w:before="200"/>
      </w:pPr>
      <w:r>
        <w:rPr>
          <w:rFonts w:ascii="Calibri" w:cs="Calibri" w:eastAsia="Calibri" w:hAnsi="Calibri"/>
          <w:b/>
          <w:bCs/>
          <w:color w:val="1F4E3D"/>
          <w:sz w:val="25"/>
          <w:szCs w:val="25"/>
        </w:rPr>
        <w:t xml:space="preserve">Grading notes</w:t>
      </w:r>
    </w:p>
    <w:p>
      <w:pPr>
        <w:pStyle w:val="ListParagraph"/>
        <w:numPr>
          <w:ilvl w:val="0"/>
          <w:numId w:val="2"/>
        </w:numPr>
        <w:spacing w:after="60"/>
      </w:pPr>
      <w:r>
        <w:rPr>
          <w:rFonts w:ascii="Calibri" w:cs="Calibri" w:eastAsia="Calibri" w:hAnsi="Calibri"/>
          <w:sz w:val="22"/>
          <w:szCs w:val="22"/>
        </w:rPr>
        <w:t xml:space="preserve">Because the exam is open-notes, reward reasoning and specific evidence over recall. Full credit does not require exact wording.</w:t>
      </w:r>
    </w:p>
    <w:p>
      <w:pPr>
        <w:pStyle w:val="ListParagraph"/>
        <w:numPr>
          <w:ilvl w:val="0"/>
          <w:numId w:val="2"/>
        </w:numPr>
        <w:spacing w:after="60"/>
      </w:pPr>
      <w:r>
        <w:rPr>
          <w:rFonts w:ascii="Calibri" w:cs="Calibri" w:eastAsia="Calibri" w:hAnsi="Calibri"/>
          <w:sz w:val="22"/>
          <w:szCs w:val="22"/>
        </w:rPr>
        <w:t xml:space="preserve">The Bislama data (Part C2) is from the substrate slide (Meyerhoff, pp. 146-147); check the "cut.cut" gloss. The family-tree languages (Part C3) are invented. The Polynesian sound correspondences (Part C1) were adapted from lecture slides, so confirm the Hawaiian-Māori-Samoan-Tongan forms before printing.</w:t>
      </w:r>
    </w:p>
    <w:sectPr>
      <w:pgSz w:w="12240" w:h="15840"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2026-10-15T18:54:33.005Z</dcterms:created>
  <dcterms:modified xsi:type="dcterms:W3CDTF">2026-10-15T18:54:33.005Z</dcterms:modified>
</cp:coreProperties>
</file>

<file path=docProps/custom.xml><?xml version="1.0" encoding="utf-8"?>
<Properties xmlns="http://schemas.openxmlformats.org/officeDocument/2006/custom-properties" xmlns:vt="http://schemas.openxmlformats.org/officeDocument/2006/docPropsVTypes"/>
</file>