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D60EF" w14:textId="23E199DB" w:rsidR="0038359E" w:rsidRDefault="00712F3D">
      <w:pP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</w:pPr>
      <w:r w:rsidRPr="00712F3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What are some anesthesia considerations regarding patients taking </w:t>
      </w:r>
      <w:proofErr w:type="spellStart"/>
      <w:r w:rsidRPr="00712F3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Semaglutide</w:t>
      </w:r>
      <w:proofErr w:type="spellEnd"/>
      <w:r w:rsidRPr="00712F3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(</w:t>
      </w:r>
      <w:proofErr w:type="spellStart"/>
      <w:r w:rsidRPr="00712F3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Ozempic</w:t>
      </w:r>
      <w:proofErr w:type="spellEnd"/>
      <w:r w:rsidR="00AA2884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)?</w:t>
      </w:r>
    </w:p>
    <w:p w14:paraId="65B33F54" w14:textId="18779A84" w:rsidR="00D749CE" w:rsidRPr="00D749CE" w:rsidRDefault="00677EC7">
      <w:pPr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</w:pPr>
      <w: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Th</w:t>
      </w:r>
      <w:r w:rsidR="00992102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e use</w:t>
      </w:r>
      <w:r w:rsidR="00265EE4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of</w:t>
      </w:r>
      <w:r w:rsidR="00992102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proofErr w:type="spellStart"/>
      <w:r w:rsidR="00433C72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</w:t>
      </w:r>
      <w:r w:rsidR="00E31FA4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ema</w:t>
      </w:r>
      <w:r w:rsidR="00D4651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glutide</w:t>
      </w:r>
      <w:proofErr w:type="spellEnd"/>
      <w:r w:rsidR="00992102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and other </w:t>
      </w:r>
      <w:r w:rsidR="00FD7ED9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g</w:t>
      </w:r>
      <w:r w:rsidR="00D50174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lucagon-like peptide-1 (</w:t>
      </w:r>
      <w:r w:rsidR="00992102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GLP-1</w:t>
      </w:r>
      <w:r w:rsidR="00D50174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)</w:t>
      </w:r>
      <w:r w:rsidR="00C34DF1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drugs </w:t>
      </w:r>
      <w:r w:rsidR="00A7067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h</w:t>
      </w:r>
      <w:r w:rsidR="00882041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ave</w:t>
      </w:r>
      <w:r w:rsidR="006C1FE9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surged in popularity </w:t>
      </w:r>
      <w:r w:rsidR="00265EE4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since their FDA approval in 2017.</w:t>
      </w:r>
      <w:r w:rsidR="00FB2991">
        <w:rPr>
          <w:rStyle w:val="FootnoteReference"/>
          <w:rFonts w:ascii="Arial" w:eastAsia="Times" w:hAnsi="Arial" w:cs="Arial"/>
          <w:color w:val="000000" w:themeColor="text1"/>
          <w:kern w:val="0"/>
          <w:lang w:val="en-US"/>
          <w14:ligatures w14:val="none"/>
        </w:rPr>
        <w:footnoteReference w:id="1"/>
      </w:r>
      <w:r w:rsidR="00086441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412CC2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While initially</w:t>
      </w:r>
      <w:r w:rsidR="00E25243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6B22F3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approved as a drug </w:t>
      </w:r>
      <w:r w:rsidR="00440E1F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to aid in the </w:t>
      </w:r>
      <w:r w:rsidR="006B22F3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management of blood sugar </w:t>
      </w:r>
      <w:r w:rsidR="009C42D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levels</w:t>
      </w:r>
      <w:r w:rsidR="00440E1F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when paired with l</w:t>
      </w:r>
      <w:r w:rsidR="00F80CEC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ifestyle changes such as diet and exercise, it has</w:t>
      </w:r>
      <w:r w:rsidR="006E1F3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since gained </w:t>
      </w:r>
      <w:r w:rsidR="009D075A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popularity</w:t>
      </w:r>
      <w:r w:rsidR="00467EF3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as</w:t>
      </w:r>
      <w:r w:rsidR="00644DF8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a weight loss drug amongst the general population.</w:t>
      </w:r>
      <w:r w:rsidR="00234CA7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 xml:space="preserve">1,2 </w:t>
      </w:r>
      <w:proofErr w:type="spellStart"/>
      <w:r w:rsidR="00D4651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Semaglutide</w:t>
      </w:r>
      <w:proofErr w:type="spellEnd"/>
      <w:r w:rsidR="00255929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9213C0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work</w:t>
      </w:r>
      <w:r w:rsidR="0041015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 by stimulating the rele</w:t>
      </w:r>
      <w:r w:rsidR="00894236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ase of insulin and in turn leads to delayed </w:t>
      </w:r>
      <w:r w:rsidR="00F97067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gastric emptying.</w:t>
      </w:r>
      <w:r w:rsidR="003965A7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>2</w:t>
      </w:r>
      <w:r w:rsidR="003965A7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676CC0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This</w:t>
      </w:r>
      <w:r w:rsidR="008B0412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delayed gastric emptying </w:t>
      </w:r>
      <w:r w:rsidR="00EE65B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leads to concerns</w:t>
      </w:r>
      <w:r w:rsidR="00DC155A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for</w:t>
      </w:r>
      <w:r w:rsidR="000708F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9B2B08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patient who are fasting in anticipation for</w:t>
      </w:r>
      <w:r w:rsidR="002D518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a</w:t>
      </w:r>
      <w:r w:rsidR="009B2B08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2D518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general anesthetic. </w:t>
      </w:r>
      <w:r w:rsidR="00DF1266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The</w:t>
      </w:r>
      <w:r w:rsidR="0080678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se inciden</w:t>
      </w:r>
      <w:r w:rsidR="005F118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ces </w:t>
      </w:r>
      <w:r w:rsidR="00980F5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have been </w:t>
      </w:r>
      <w:r w:rsidR="005F118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observed with patient undergoing </w:t>
      </w:r>
      <w:r w:rsidR="00AB2A2B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el</w:t>
      </w:r>
      <w:r w:rsidR="001A5737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ective</w:t>
      </w:r>
      <w:r w:rsidR="007C2928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7C2928" w:rsidRPr="007C2928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esophagogastroduodenoscopy</w:t>
      </w:r>
      <w:r w:rsidR="00AC1EF9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.</w:t>
      </w:r>
      <w:r w:rsidR="00AC1EF9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>2</w:t>
      </w:r>
      <w:r w:rsidR="00AC1EF9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D824B6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With the</w:t>
      </w:r>
      <w:r w:rsidR="000A0D5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C667D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delayed gastric emptying </w:t>
      </w:r>
      <w:r w:rsidR="000A0D5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that o</w:t>
      </w:r>
      <w:r w:rsidR="000671D9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ccurs </w:t>
      </w:r>
      <w:r w:rsidR="00A415E4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with</w:t>
      </w:r>
      <w:r w:rsidR="000671D9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proofErr w:type="spellStart"/>
      <w:r w:rsidR="00433C72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</w:t>
      </w:r>
      <w:r w:rsidR="000671D9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emaglutide</w:t>
      </w:r>
      <w:proofErr w:type="spellEnd"/>
      <w:r w:rsidR="000671D9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/GLP-1 drugs </w:t>
      </w:r>
      <w:r w:rsidR="00C667D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comes</w:t>
      </w:r>
      <w:r w:rsidR="00A415E4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the</w:t>
      </w:r>
      <w:r w:rsidR="00C667D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increased risk</w:t>
      </w:r>
      <w:r w:rsidR="003654C0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gas</w:t>
      </w:r>
      <w:r w:rsidR="00725ED3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tric regurgitation </w:t>
      </w:r>
      <w:r w:rsidR="009C70B6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and </w:t>
      </w:r>
      <w:r w:rsidR="00DA6D9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aspiration</w:t>
      </w:r>
      <w:r w:rsidR="009C70B6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during anesthesia</w:t>
      </w:r>
      <w:r w:rsidR="00D749C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.</w:t>
      </w:r>
      <w:r w:rsidR="00D749CE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>3</w:t>
      </w:r>
      <w:r w:rsidR="00A415E4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 xml:space="preserve"> </w:t>
      </w:r>
    </w:p>
    <w:p w14:paraId="3EC0AAD5" w14:textId="63C1A83C" w:rsidR="00A813A7" w:rsidRDefault="009C70B6">
      <w:pPr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</w:pPr>
      <w: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As </w:t>
      </w:r>
      <w:r w:rsidR="00732434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these are relatively new drugs</w:t>
      </w:r>
      <w:r w:rsidR="006011C0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(GLP-1)</w:t>
      </w:r>
      <w:r w:rsidR="00732434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that have quickly gained p</w:t>
      </w:r>
      <w:r w:rsidR="006011C0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opularity in recent years there are </w:t>
      </w:r>
      <w:r w:rsidR="001F0B2C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differing opinions </w:t>
      </w:r>
      <w:r w:rsidR="00837211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on how </w:t>
      </w:r>
      <w:r w:rsidR="001F0B2C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to manage pa</w:t>
      </w:r>
      <w:r w:rsidR="001A5730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tient</w:t>
      </w:r>
      <w:r w:rsidR="00FB37A9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</w:t>
      </w:r>
      <w:r w:rsidR="001A5730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taking </w:t>
      </w:r>
      <w:proofErr w:type="spellStart"/>
      <w:r w:rsidR="00433C72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</w:t>
      </w:r>
      <w:r w:rsidR="001A5730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emaglutide</w:t>
      </w:r>
      <w:proofErr w:type="spellEnd"/>
      <w:r w:rsidR="001A5730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(GLP-1) while receiving </w:t>
      </w:r>
      <w:r w:rsidR="0067721B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a general anesthetic. </w:t>
      </w:r>
      <w:r w:rsidR="003857CF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For example the</w:t>
      </w:r>
      <w:r w:rsidR="006E362C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0A285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American Society of Anesthesiologist </w:t>
      </w:r>
      <w:r w:rsidR="00655437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reco</w:t>
      </w:r>
      <w:r w:rsidR="007162B1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mmends that </w:t>
      </w:r>
      <w:r w:rsidR="00EC0B3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patie</w:t>
      </w:r>
      <w:r w:rsidR="009802F4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nts stop taking</w:t>
      </w:r>
      <w:r w:rsidR="009C3E2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proofErr w:type="spellStart"/>
      <w:r w:rsidR="009C3E2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</w:t>
      </w:r>
      <w:r w:rsidR="009802F4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emaglutide</w:t>
      </w:r>
      <w:proofErr w:type="spellEnd"/>
      <w:r w:rsidR="009802F4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(GLP-1) one day before </w:t>
      </w:r>
      <w:r w:rsidR="00F33F0F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receiving a general anesthe</w:t>
      </w:r>
      <w:r w:rsidR="00532E08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tic for those taking daily </w:t>
      </w:r>
      <w:r w:rsidR="00D1107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injections</w:t>
      </w:r>
      <w:r w:rsidR="00532E08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. While those who are on a wee</w:t>
      </w:r>
      <w:r w:rsidR="000C3353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kly dose should </w:t>
      </w:r>
      <w:r w:rsidR="0091056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stop 1 week before.</w:t>
      </w:r>
      <w:r w:rsidR="0091056D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 xml:space="preserve">2 </w:t>
      </w:r>
      <w:r w:rsidR="007E6BF1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A</w:t>
      </w:r>
      <w:r w:rsidR="00A261EB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n e</w:t>
      </w:r>
      <w:r w:rsidR="00B15FB0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ditorial published in the </w:t>
      </w:r>
      <w:r w:rsidR="0026433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Canadian </w:t>
      </w:r>
      <w:r w:rsidR="008509EF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Journal of </w:t>
      </w:r>
      <w:r w:rsidR="0026433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Anesthe</w:t>
      </w:r>
      <w:r w:rsidR="00653FF2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siology</w:t>
      </w:r>
      <w:r w:rsidR="007D04A3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gave</w:t>
      </w:r>
      <w:r w:rsidR="00653FF2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similar recommendations but</w:t>
      </w:r>
      <w:r w:rsidR="007D04A3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differing lengths of cessation of the drug.</w:t>
      </w:r>
      <w:r w:rsidR="00486169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DE56B7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The recommendation given in this editorial was to </w:t>
      </w:r>
      <w:r w:rsidR="00450A7A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stop</w:t>
      </w:r>
      <w:r w:rsidR="009C3E2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proofErr w:type="spellStart"/>
      <w:r w:rsidR="009C3E2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semaglutide</w:t>
      </w:r>
      <w:proofErr w:type="spellEnd"/>
      <w:r w:rsidR="009C3E2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3 weeks prior to general anesthesia</w:t>
      </w:r>
      <w:r w:rsidR="00D3334A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.</w:t>
      </w:r>
      <w:r w:rsidR="00D3334A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>3</w:t>
      </w:r>
      <w:r w:rsidR="00450A7A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E04030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It is important to</w:t>
      </w:r>
      <w:r w:rsidR="002F52F8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be</w:t>
      </w:r>
      <w:r w:rsidR="00E04030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cognizant of </w:t>
      </w:r>
      <w:r w:rsidR="002F52F8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those patients taking </w:t>
      </w:r>
      <w:proofErr w:type="spellStart"/>
      <w:r w:rsidR="002F52F8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semaglutide</w:t>
      </w:r>
      <w:proofErr w:type="spellEnd"/>
      <w:r w:rsidR="00D62121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for</w:t>
      </w:r>
      <w:r w:rsidR="0067375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type</w:t>
      </w:r>
      <w:r w:rsidR="009E3CE2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2 diabetes versus weight loss management, </w:t>
      </w:r>
      <w:r w:rsidR="0025706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a joint decision should be made in consultation with </w:t>
      </w:r>
      <w:r w:rsidR="0072736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their endocrinologist on risk/benefits of the cessation of the drug prior to anesthe</w:t>
      </w:r>
      <w:r w:rsidR="004E661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sia.</w:t>
      </w:r>
      <w:r w:rsidR="004E661E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>3</w:t>
      </w:r>
    </w:p>
    <w:p w14:paraId="48D26F2C" w14:textId="77777777" w:rsidR="00516C8D" w:rsidRDefault="00EF4E71">
      <w:pPr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</w:pPr>
      <w: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The cessation of the</w:t>
      </w:r>
      <w:r w:rsidR="007054F8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injection/drug </w:t>
      </w:r>
      <w:r w:rsidR="00C51E5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prior to anesthesia </w:t>
      </w:r>
      <w:r w:rsidR="007054F8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may not be feasible in</w:t>
      </w:r>
      <w:r w:rsidR="00C51E5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every</w:t>
      </w:r>
      <w:r w:rsidR="009B0CE7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situation, in such cases it should be assumed that the patient has a </w:t>
      </w:r>
      <w:r w:rsidR="00437680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full stomach and a rapid sequence induction should be considered.</w:t>
      </w:r>
      <w:r w:rsidR="00942AD0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 xml:space="preserve">3,4 </w:t>
      </w:r>
      <w:r w:rsidR="00A31037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I</w:t>
      </w:r>
      <w:r w:rsidR="0073552A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ncreasing the fasting period </w:t>
      </w:r>
      <w:r w:rsidR="00406EBB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for patients</w:t>
      </w:r>
      <w:r w:rsidR="001C016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taking </w:t>
      </w:r>
      <w:proofErr w:type="spellStart"/>
      <w:r w:rsidR="001C016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semaglutide</w:t>
      </w:r>
      <w:proofErr w:type="spellEnd"/>
      <w:r w:rsidR="001C0165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remains controversial as their isn’t clear evidence on it</w:t>
      </w:r>
      <w:r w:rsidR="00831746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 safety nor how long would be required to ensure gastric emptying.</w:t>
      </w:r>
      <w:r w:rsidR="00831746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>3,4</w:t>
      </w:r>
      <w:r w:rsidR="00C17388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 xml:space="preserve"> </w:t>
      </w:r>
    </w:p>
    <w:p w14:paraId="401DA66E" w14:textId="273F39DE" w:rsidR="009442BD" w:rsidRDefault="00DB4669">
      <w:pP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</w:pPr>
      <w: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Other important factors</w:t>
      </w:r>
      <w:r w:rsid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to consider:</w:t>
      </w:r>
    </w:p>
    <w:p w14:paraId="59ACD056" w14:textId="50C9158D" w:rsidR="002C6AB8" w:rsidRDefault="00187D97" w:rsidP="009442BD">
      <w:pPr>
        <w:pStyle w:val="ListParagraph"/>
        <w:numPr>
          <w:ilvl w:val="0"/>
          <w:numId w:val="1"/>
        </w:numP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</w:pPr>
      <w:r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Patient</w:t>
      </w:r>
      <w:r w:rsidR="00316FF0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 under</w:t>
      </w:r>
      <w:r w:rsidR="00CE7B7C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going a procedure</w:t>
      </w:r>
      <w:r w:rsidR="00785675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D427B1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with moderate/deep sedation</w:t>
      </w:r>
      <w:r w:rsidR="0024293C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are particularly at risk as they do not have </w:t>
      </w:r>
      <w:r w:rsidR="001709AB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a</w:t>
      </w:r>
      <w:r w:rsidR="006B78B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  <w:r w:rsidR="0024293C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protected airway</w:t>
      </w:r>
      <w:r w:rsidR="001362DF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in the event of gastric regurgitation.</w:t>
      </w:r>
      <w:r w:rsidR="00517A60" w:rsidRPr="009442BD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>2</w:t>
      </w:r>
      <w:r w:rsidR="00517A60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</w:p>
    <w:p w14:paraId="75E1B756" w14:textId="25BEDCAD" w:rsidR="002C6AB8" w:rsidRDefault="002C6AB8" w:rsidP="009442BD">
      <w:pPr>
        <w:pStyle w:val="ListParagraph"/>
        <w:numPr>
          <w:ilvl w:val="0"/>
          <w:numId w:val="1"/>
        </w:numP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</w:pPr>
      <w: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lastRenderedPageBreak/>
        <w:t>P</w:t>
      </w:r>
      <w:r w:rsidR="00932647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atients taking higher doses of </w:t>
      </w:r>
      <w:proofErr w:type="spellStart"/>
      <w:r w:rsidR="00932647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sema</w:t>
      </w:r>
      <w:r w:rsidR="00E03392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glutide</w:t>
      </w:r>
      <w:proofErr w:type="spellEnd"/>
      <w:r w:rsidR="00E03392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for weight loss management versus those taking lower doses as typically seen in type 2 diabe</w:t>
      </w:r>
      <w:r w:rsidR="00067AEE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tes management </w:t>
      </w:r>
      <w:r w:rsidR="00EE23D9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are</w:t>
      </w:r>
      <w:r w:rsidR="00092202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hypothesized to be at</w:t>
      </w:r>
      <w:r w:rsidR="008D48B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a</w:t>
      </w:r>
      <w:r w:rsidR="00092202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higher risk of delayed gastric emptying</w:t>
      </w:r>
      <w:r w:rsidR="00555B28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.</w:t>
      </w:r>
      <w:r w:rsidR="00555B28" w:rsidRPr="009442BD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>3</w:t>
      </w:r>
      <w:r w:rsidR="00555B28" w:rsidRPr="009442BD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</w:t>
      </w:r>
    </w:p>
    <w:p w14:paraId="353FF71C" w14:textId="717D30FC" w:rsidR="006D0A12" w:rsidRPr="00271A7B" w:rsidRDefault="001A5244" w:rsidP="009442BD">
      <w:pPr>
        <w:pStyle w:val="ListParagraph"/>
        <w:numPr>
          <w:ilvl w:val="0"/>
          <w:numId w:val="1"/>
        </w:numP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</w:pPr>
      <w: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Patie</w:t>
      </w:r>
      <w:r w:rsidR="008D48B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nt</w:t>
      </w:r>
      <w:r w:rsidR="001F3A37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s </w:t>
      </w:r>
      <w:r w:rsidR="008D48B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who have recently started taking </w:t>
      </w:r>
      <w:proofErr w:type="spellStart"/>
      <w:r w:rsidR="008D48B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semaglutide</w:t>
      </w:r>
      <w:proofErr w:type="spellEnd"/>
      <w:r w:rsidR="008D48BE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(GLP-</w:t>
      </w:r>
      <w:r w:rsidR="001F3A37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1) are at a increased</w:t>
      </w:r>
      <w:r w:rsidR="006C786B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risk of gastric emptying </w:t>
      </w:r>
      <w:r w:rsidR="005759BA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as well as those experienc</w:t>
      </w:r>
      <w:r w:rsidR="003D5FD3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ing </w:t>
      </w:r>
      <w:r w:rsidR="005D42E7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gastrointestinal side effects from the drug such as </w:t>
      </w:r>
      <w:r w:rsidR="003D5FD3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na</w:t>
      </w:r>
      <w:r w:rsidR="0089056F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usea, vomiting</w:t>
      </w:r>
      <w:r w:rsidR="005D42E7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, a</w:t>
      </w:r>
      <w:r w:rsidR="00AF28E6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nd abdominal </w:t>
      </w:r>
      <w:proofErr w:type="spellStart"/>
      <w:r w:rsidR="00AF28E6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distension.</w:t>
      </w:r>
      <w:r w:rsidR="00AA43C0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>3</w:t>
      </w:r>
      <w:proofErr w:type="spellEnd"/>
    </w:p>
    <w:p w14:paraId="33FADF15" w14:textId="66ECD360" w:rsidR="00271A7B" w:rsidRPr="009442BD" w:rsidRDefault="00CF1EA5" w:rsidP="009442BD">
      <w:pPr>
        <w:pStyle w:val="ListParagraph"/>
        <w:numPr>
          <w:ilvl w:val="0"/>
          <w:numId w:val="1"/>
        </w:numP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</w:pPr>
      <w: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An abdominal ultrasound can be used prior to anesthesia to verify </w:t>
      </w:r>
      <w:r w:rsidR="001D1B67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>the</w:t>
      </w:r>
      <w:r w:rsidR="004B1E32"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  <w:t xml:space="preserve"> gastric contents.</w:t>
      </w:r>
      <w:r w:rsidR="004B1E32"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  <w:t>3,4</w:t>
      </w:r>
    </w:p>
    <w:p w14:paraId="2DC20533" w14:textId="77777777" w:rsidR="00C10914" w:rsidRPr="004E661E" w:rsidRDefault="00C10914">
      <w:pPr>
        <w:rPr>
          <w:rFonts w:ascii="Arial" w:eastAsia="Times" w:hAnsi="Arial" w:cs="Arial"/>
          <w:color w:val="000000" w:themeColor="text1"/>
          <w:kern w:val="0"/>
          <w:vertAlign w:val="superscript"/>
          <w:lang w:val="en-US"/>
          <w14:ligatures w14:val="none"/>
        </w:rPr>
      </w:pPr>
    </w:p>
    <w:p w14:paraId="7FDEF8CF" w14:textId="0F0F54F0" w:rsidR="00861351" w:rsidRPr="004C2301" w:rsidRDefault="00861351" w:rsidP="00D57424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4C2301">
        <w:rPr>
          <w:rFonts w:ascii="Arial" w:eastAsia="Times New Roman" w:hAnsi="Arial" w:cs="Arial"/>
          <w:kern w:val="0"/>
          <w14:ligatures w14:val="none"/>
        </w:rPr>
        <w:t xml:space="preserve">1.Research C for DE and. Drug Trial Snapshot: </w:t>
      </w:r>
      <w:proofErr w:type="spellStart"/>
      <w:r w:rsidRPr="004C2301">
        <w:rPr>
          <w:rFonts w:ascii="Arial" w:eastAsia="Times New Roman" w:hAnsi="Arial" w:cs="Arial"/>
          <w:kern w:val="0"/>
          <w14:ligatures w14:val="none"/>
        </w:rPr>
        <w:t>Ozempic</w:t>
      </w:r>
      <w:proofErr w:type="spellEnd"/>
      <w:r w:rsidRPr="004C2301">
        <w:rPr>
          <w:rFonts w:ascii="Arial" w:eastAsia="Times New Roman" w:hAnsi="Arial" w:cs="Arial"/>
          <w:kern w:val="0"/>
          <w14:ligatures w14:val="none"/>
        </w:rPr>
        <w:t xml:space="preserve">. FDA [Internet]. 2020 Aug 20 [cited 2024 Oct 5]; Available from: </w:t>
      </w:r>
      <w:hyperlink r:id="rId7" w:history="1">
        <w:r w:rsidR="001A3948" w:rsidRPr="004C2301">
          <w:rPr>
            <w:rStyle w:val="Hyperlink"/>
            <w:rFonts w:ascii="Arial" w:eastAsia="Times New Roman" w:hAnsi="Arial" w:cs="Arial"/>
            <w:kern w:val="0"/>
            <w14:ligatures w14:val="none"/>
          </w:rPr>
          <w:t>https://www.fda.gov/drugs/drug-approvals-and-databases/drug-trial-snapshot-ozempic</w:t>
        </w:r>
      </w:hyperlink>
    </w:p>
    <w:p w14:paraId="75DD7CC6" w14:textId="77777777" w:rsidR="001A3948" w:rsidRPr="004C2301" w:rsidRDefault="001A3948" w:rsidP="00D57424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65DDFBA" w14:textId="05FE7107" w:rsidR="001A3948" w:rsidRPr="004C2301" w:rsidRDefault="001A3948" w:rsidP="001A3948">
      <w:pPr>
        <w:divId w:val="110520484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4C2301">
        <w:rPr>
          <w:rFonts w:ascii="Arial" w:eastAsia="Times New Roman" w:hAnsi="Arial" w:cs="Arial"/>
          <w:kern w:val="0"/>
          <w14:ligatures w14:val="none"/>
        </w:rPr>
        <w:t>2.Fezza</w:t>
      </w:r>
      <w:proofErr w:type="spellEnd"/>
      <w:r w:rsidRPr="004C2301">
        <w:rPr>
          <w:rFonts w:ascii="Arial" w:eastAsia="Times New Roman" w:hAnsi="Arial" w:cs="Arial"/>
          <w:kern w:val="0"/>
          <w14:ligatures w14:val="none"/>
        </w:rPr>
        <w:t xml:space="preserve"> R, Rains B, </w:t>
      </w:r>
      <w:proofErr w:type="spellStart"/>
      <w:r w:rsidRPr="004C2301">
        <w:rPr>
          <w:rFonts w:ascii="Arial" w:eastAsia="Times New Roman" w:hAnsi="Arial" w:cs="Arial"/>
          <w:kern w:val="0"/>
          <w14:ligatures w14:val="none"/>
        </w:rPr>
        <w:t>Fezza</w:t>
      </w:r>
      <w:proofErr w:type="spellEnd"/>
      <w:r w:rsidRPr="004C2301">
        <w:rPr>
          <w:rFonts w:ascii="Arial" w:eastAsia="Times New Roman" w:hAnsi="Arial" w:cs="Arial"/>
          <w:kern w:val="0"/>
          <w14:ligatures w14:val="none"/>
        </w:rPr>
        <w:t xml:space="preserve"> T, </w:t>
      </w:r>
      <w:proofErr w:type="spellStart"/>
      <w:r w:rsidRPr="004C2301">
        <w:rPr>
          <w:rFonts w:ascii="Arial" w:eastAsia="Times New Roman" w:hAnsi="Arial" w:cs="Arial"/>
          <w:kern w:val="0"/>
          <w14:ligatures w14:val="none"/>
        </w:rPr>
        <w:t>Fezza</w:t>
      </w:r>
      <w:proofErr w:type="spellEnd"/>
      <w:r w:rsidRPr="004C2301">
        <w:rPr>
          <w:rFonts w:ascii="Arial" w:eastAsia="Times New Roman" w:hAnsi="Arial" w:cs="Arial"/>
          <w:kern w:val="0"/>
          <w14:ligatures w14:val="none"/>
        </w:rPr>
        <w:t xml:space="preserve"> JP. Emerging Anesthesia Risks with </w:t>
      </w:r>
      <w:proofErr w:type="spellStart"/>
      <w:r w:rsidRPr="004C2301">
        <w:rPr>
          <w:rFonts w:ascii="Arial" w:eastAsia="Times New Roman" w:hAnsi="Arial" w:cs="Arial"/>
          <w:kern w:val="0"/>
          <w14:ligatures w14:val="none"/>
        </w:rPr>
        <w:t>Semaglutide</w:t>
      </w:r>
      <w:proofErr w:type="spellEnd"/>
      <w:r w:rsidRPr="004C2301">
        <w:rPr>
          <w:rFonts w:ascii="Arial" w:eastAsia="Times New Roman" w:hAnsi="Arial" w:cs="Arial"/>
          <w:kern w:val="0"/>
          <w14:ligatures w14:val="none"/>
        </w:rPr>
        <w:t xml:space="preserve">. </w:t>
      </w:r>
      <w:proofErr w:type="spellStart"/>
      <w:r w:rsidRPr="004C2301">
        <w:rPr>
          <w:rFonts w:ascii="Arial" w:eastAsia="Times New Roman" w:hAnsi="Arial" w:cs="Arial"/>
          <w:kern w:val="0"/>
          <w14:ligatures w14:val="none"/>
        </w:rPr>
        <w:t>Plast</w:t>
      </w:r>
      <w:proofErr w:type="spellEnd"/>
      <w:r w:rsidRPr="004C230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4C2301">
        <w:rPr>
          <w:rFonts w:ascii="Arial" w:eastAsia="Times New Roman" w:hAnsi="Arial" w:cs="Arial"/>
          <w:kern w:val="0"/>
          <w14:ligatures w14:val="none"/>
        </w:rPr>
        <w:t>Reconstr</w:t>
      </w:r>
      <w:proofErr w:type="spellEnd"/>
      <w:r w:rsidRPr="004C230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4C2301">
        <w:rPr>
          <w:rFonts w:ascii="Arial" w:eastAsia="Times New Roman" w:hAnsi="Arial" w:cs="Arial"/>
          <w:kern w:val="0"/>
          <w14:ligatures w14:val="none"/>
        </w:rPr>
        <w:t>Surg</w:t>
      </w:r>
      <w:proofErr w:type="spellEnd"/>
      <w:r w:rsidRPr="004C2301">
        <w:rPr>
          <w:rFonts w:ascii="Arial" w:eastAsia="Times New Roman" w:hAnsi="Arial" w:cs="Arial"/>
          <w:kern w:val="0"/>
          <w14:ligatures w14:val="none"/>
        </w:rPr>
        <w:t xml:space="preserve"> Glob Open [Internet]. 2023 Nov 21 [cited 2024 Oct 4];11(11):e5427. Available from: </w:t>
      </w:r>
      <w:hyperlink r:id="rId8" w:history="1">
        <w:r w:rsidR="008E7631" w:rsidRPr="004C2301">
          <w:rPr>
            <w:rStyle w:val="Hyperlink"/>
            <w:rFonts w:ascii="Arial" w:eastAsia="Times New Roman" w:hAnsi="Arial" w:cs="Arial"/>
            <w:kern w:val="0"/>
            <w14:ligatures w14:val="none"/>
          </w:rPr>
          <w:t>https://www.ncbi.nlm.nih.gov/pmc/articles/PMC10662908/</w:t>
        </w:r>
      </w:hyperlink>
    </w:p>
    <w:p w14:paraId="3BFD62CD" w14:textId="4868235E" w:rsidR="00310FF8" w:rsidRPr="004C2301" w:rsidRDefault="00310FF8" w:rsidP="00310FF8">
      <w:pPr>
        <w:spacing w:after="0" w:line="240" w:lineRule="auto"/>
        <w:divId w:val="135295860"/>
        <w:rPr>
          <w:rFonts w:ascii="Arial" w:eastAsia="Times New Roman" w:hAnsi="Arial" w:cs="Arial"/>
          <w:kern w:val="0"/>
          <w14:ligatures w14:val="none"/>
        </w:rPr>
      </w:pPr>
      <w:r w:rsidRPr="004C2301">
        <w:rPr>
          <w:rFonts w:ascii="Arial" w:eastAsia="Times New Roman" w:hAnsi="Arial" w:cs="Arial"/>
          <w:kern w:val="0"/>
          <w14:ligatures w14:val="none"/>
        </w:rPr>
        <w:t xml:space="preserve">3. Glucagon-Like Peptide-1 (GLP-1) Receptor Agonists: Risk of Aspiration during Anesthesia [Internet]. [cited 2024 Oct 5]. Available from: </w:t>
      </w:r>
      <w:hyperlink r:id="rId9" w:history="1">
        <w:r w:rsidR="00625573" w:rsidRPr="004C2301">
          <w:rPr>
            <w:rStyle w:val="Hyperlink"/>
            <w:rFonts w:ascii="Arial" w:eastAsia="Times New Roman" w:hAnsi="Arial" w:cs="Arial"/>
            <w:kern w:val="0"/>
            <w14:ligatures w14:val="none"/>
          </w:rPr>
          <w:t>https://ismpcanada.ca/bulletin/glucagon-like-peptide-1-glp-1-receptor-agonists-risk-of-aspiration-during-anesthesia/</w:t>
        </w:r>
      </w:hyperlink>
    </w:p>
    <w:p w14:paraId="5EFD65CF" w14:textId="77777777" w:rsidR="00625573" w:rsidRPr="004C2301" w:rsidRDefault="00625573" w:rsidP="00310FF8">
      <w:pPr>
        <w:spacing w:after="0" w:line="240" w:lineRule="auto"/>
        <w:divId w:val="135295860"/>
        <w:rPr>
          <w:rFonts w:ascii="Arial" w:eastAsia="Times New Roman" w:hAnsi="Arial" w:cs="Arial"/>
          <w:kern w:val="0"/>
          <w14:ligatures w14:val="none"/>
        </w:rPr>
      </w:pPr>
    </w:p>
    <w:p w14:paraId="33913283" w14:textId="70990131" w:rsidR="00625573" w:rsidRPr="004C2301" w:rsidRDefault="00F10769" w:rsidP="006214D7">
      <w:pPr>
        <w:pStyle w:val="p1"/>
        <w:divId w:val="1941376989"/>
        <w:rPr>
          <w:rFonts w:ascii="Arial" w:hAnsi="Arial" w:cs="Arial"/>
          <w:sz w:val="24"/>
          <w:szCs w:val="24"/>
        </w:rPr>
      </w:pPr>
      <w:r w:rsidRPr="004C2301">
        <w:rPr>
          <w:rStyle w:val="s1"/>
          <w:rFonts w:ascii="Arial" w:hAnsi="Arial" w:cs="Arial"/>
          <w:sz w:val="24"/>
          <w:szCs w:val="24"/>
        </w:rPr>
        <w:t xml:space="preserve">4. </w:t>
      </w:r>
      <w:r w:rsidR="00625573" w:rsidRPr="004C2301">
        <w:rPr>
          <w:rStyle w:val="s1"/>
          <w:rFonts w:ascii="Arial" w:hAnsi="Arial" w:cs="Arial"/>
          <w:sz w:val="24"/>
          <w:szCs w:val="24"/>
        </w:rPr>
        <w:t xml:space="preserve"> </w:t>
      </w:r>
      <w:r w:rsidR="006C60A9" w:rsidRPr="004C2301">
        <w:rPr>
          <w:rStyle w:val="s1"/>
          <w:rFonts w:ascii="Arial" w:hAnsi="Arial" w:cs="Arial"/>
          <w:sz w:val="24"/>
          <w:szCs w:val="24"/>
        </w:rPr>
        <w:t>C</w:t>
      </w:r>
      <w:r w:rsidR="00252FC5">
        <w:rPr>
          <w:rStyle w:val="s1"/>
          <w:rFonts w:ascii="Arial" w:hAnsi="Arial" w:cs="Arial"/>
          <w:sz w:val="24"/>
          <w:szCs w:val="24"/>
        </w:rPr>
        <w:t>anadian</w:t>
      </w:r>
      <w:r w:rsidR="006C60A9" w:rsidRPr="004C2301">
        <w:rPr>
          <w:rStyle w:val="s1"/>
          <w:rFonts w:ascii="Arial" w:hAnsi="Arial" w:cs="Arial"/>
          <w:sz w:val="24"/>
          <w:szCs w:val="24"/>
        </w:rPr>
        <w:t xml:space="preserve"> A</w:t>
      </w:r>
      <w:r w:rsidR="00252FC5">
        <w:rPr>
          <w:rStyle w:val="s1"/>
          <w:rFonts w:ascii="Arial" w:hAnsi="Arial" w:cs="Arial"/>
          <w:sz w:val="24"/>
          <w:szCs w:val="24"/>
        </w:rPr>
        <w:t>nesthesiologists</w:t>
      </w:r>
      <w:r w:rsidR="006C60A9" w:rsidRPr="004C2301">
        <w:rPr>
          <w:rStyle w:val="s1"/>
          <w:rFonts w:ascii="Arial" w:hAnsi="Arial" w:cs="Arial"/>
          <w:sz w:val="24"/>
          <w:szCs w:val="24"/>
        </w:rPr>
        <w:t>' S</w:t>
      </w:r>
      <w:r w:rsidR="009408D1">
        <w:rPr>
          <w:rStyle w:val="s1"/>
          <w:rFonts w:ascii="Arial" w:hAnsi="Arial" w:cs="Arial"/>
          <w:sz w:val="24"/>
          <w:szCs w:val="24"/>
        </w:rPr>
        <w:t>ociety</w:t>
      </w:r>
      <w:r w:rsidR="006C60A9" w:rsidRPr="004C2301">
        <w:rPr>
          <w:rFonts w:ascii="Arial" w:hAnsi="Arial" w:cs="Arial"/>
          <w:sz w:val="24"/>
          <w:szCs w:val="24"/>
        </w:rPr>
        <w:t xml:space="preserve">. </w:t>
      </w:r>
      <w:r w:rsidR="006214D7" w:rsidRPr="004C2301">
        <w:rPr>
          <w:rStyle w:val="s1"/>
          <w:rFonts w:ascii="Arial" w:hAnsi="Arial" w:cs="Arial"/>
          <w:sz w:val="24"/>
          <w:szCs w:val="24"/>
        </w:rPr>
        <w:t>CAS Medication Safety Bulletin</w:t>
      </w:r>
      <w:r w:rsidR="00625573" w:rsidRPr="004C2301">
        <w:rPr>
          <w:rStyle w:val="s1"/>
          <w:rFonts w:ascii="Arial" w:hAnsi="Arial" w:cs="Arial"/>
          <w:sz w:val="24"/>
          <w:szCs w:val="24"/>
        </w:rPr>
        <w:t>. [</w:t>
      </w:r>
      <w:r w:rsidR="001F7A25" w:rsidRPr="004C2301">
        <w:rPr>
          <w:rStyle w:val="s1"/>
          <w:rFonts w:ascii="Arial" w:hAnsi="Arial" w:cs="Arial"/>
          <w:sz w:val="24"/>
          <w:szCs w:val="24"/>
        </w:rPr>
        <w:t>documen</w:t>
      </w:r>
      <w:r w:rsidR="00584007" w:rsidRPr="004C2301">
        <w:rPr>
          <w:rStyle w:val="s1"/>
          <w:rFonts w:ascii="Arial" w:hAnsi="Arial" w:cs="Arial"/>
          <w:sz w:val="24"/>
          <w:szCs w:val="24"/>
        </w:rPr>
        <w:t>t on</w:t>
      </w:r>
      <w:r w:rsidR="001F7A25" w:rsidRPr="004C2301">
        <w:rPr>
          <w:rStyle w:val="s1"/>
          <w:rFonts w:ascii="Arial" w:hAnsi="Arial" w:cs="Arial"/>
          <w:sz w:val="24"/>
          <w:szCs w:val="24"/>
        </w:rPr>
        <w:t xml:space="preserve"> the internet</w:t>
      </w:r>
      <w:r w:rsidR="00625573" w:rsidRPr="004C2301">
        <w:rPr>
          <w:rStyle w:val="s1"/>
          <w:rFonts w:ascii="Arial" w:hAnsi="Arial" w:cs="Arial"/>
          <w:sz w:val="24"/>
          <w:szCs w:val="24"/>
        </w:rPr>
        <w:t xml:space="preserve">]. </w:t>
      </w:r>
      <w:r w:rsidR="00CF42D4" w:rsidRPr="004C2301">
        <w:rPr>
          <w:rStyle w:val="s1"/>
          <w:rFonts w:ascii="Arial" w:hAnsi="Arial" w:cs="Arial"/>
          <w:sz w:val="24"/>
          <w:szCs w:val="24"/>
        </w:rPr>
        <w:t>Toronto, Ontario</w:t>
      </w:r>
      <w:r w:rsidR="00627748" w:rsidRPr="004C2301">
        <w:rPr>
          <w:rStyle w:val="s1"/>
          <w:rFonts w:ascii="Arial" w:hAnsi="Arial" w:cs="Arial"/>
          <w:sz w:val="24"/>
          <w:szCs w:val="24"/>
        </w:rPr>
        <w:t>: 2023</w:t>
      </w:r>
      <w:r w:rsidR="00625573" w:rsidRPr="004C2301">
        <w:rPr>
          <w:rStyle w:val="s1"/>
          <w:rFonts w:ascii="Arial" w:hAnsi="Arial" w:cs="Arial"/>
          <w:sz w:val="24"/>
          <w:szCs w:val="24"/>
        </w:rPr>
        <w:t xml:space="preserve"> [cited </w:t>
      </w:r>
      <w:r w:rsidR="00A56049" w:rsidRPr="004C2301">
        <w:rPr>
          <w:rStyle w:val="s1"/>
          <w:rFonts w:ascii="Arial" w:hAnsi="Arial" w:cs="Arial"/>
          <w:sz w:val="24"/>
          <w:szCs w:val="24"/>
        </w:rPr>
        <w:t>2024</w:t>
      </w:r>
      <w:r w:rsidR="00625573" w:rsidRPr="004C2301">
        <w:rPr>
          <w:rStyle w:val="s1"/>
          <w:rFonts w:ascii="Arial" w:hAnsi="Arial" w:cs="Arial"/>
          <w:sz w:val="24"/>
          <w:szCs w:val="24"/>
        </w:rPr>
        <w:t xml:space="preserve"> </w:t>
      </w:r>
      <w:r w:rsidR="00A56049" w:rsidRPr="004C2301">
        <w:rPr>
          <w:rStyle w:val="s1"/>
          <w:rFonts w:ascii="Arial" w:hAnsi="Arial" w:cs="Arial"/>
          <w:sz w:val="24"/>
          <w:szCs w:val="24"/>
        </w:rPr>
        <w:t>Oct</w:t>
      </w:r>
      <w:r w:rsidR="00625573" w:rsidRPr="004C2301">
        <w:rPr>
          <w:rStyle w:val="s1"/>
          <w:rFonts w:ascii="Arial" w:hAnsi="Arial" w:cs="Arial"/>
          <w:sz w:val="24"/>
          <w:szCs w:val="24"/>
        </w:rPr>
        <w:t xml:space="preserve"> </w:t>
      </w:r>
      <w:r w:rsidR="00A56049" w:rsidRPr="004C2301">
        <w:rPr>
          <w:rStyle w:val="s1"/>
          <w:rFonts w:ascii="Arial" w:hAnsi="Arial" w:cs="Arial"/>
          <w:sz w:val="24"/>
          <w:szCs w:val="24"/>
        </w:rPr>
        <w:t>5</w:t>
      </w:r>
      <w:r w:rsidR="00625573" w:rsidRPr="004C2301">
        <w:rPr>
          <w:rStyle w:val="s1"/>
          <w:rFonts w:ascii="Arial" w:hAnsi="Arial" w:cs="Arial"/>
          <w:sz w:val="24"/>
          <w:szCs w:val="24"/>
        </w:rPr>
        <w:t>]. Available from:</w:t>
      </w:r>
      <w:r w:rsidR="00A813A7" w:rsidRPr="004C2301">
        <w:rPr>
          <w:rStyle w:val="s1"/>
          <w:rFonts w:ascii="Arial" w:hAnsi="Arial" w:cs="Arial"/>
          <w:sz w:val="24"/>
          <w:szCs w:val="24"/>
        </w:rPr>
        <w:t xml:space="preserve"> </w:t>
      </w:r>
      <w:r w:rsidR="003023C7" w:rsidRPr="004C2301">
        <w:rPr>
          <w:rStyle w:val="s1"/>
          <w:rFonts w:ascii="Arial" w:hAnsi="Arial" w:cs="Arial"/>
          <w:sz w:val="24"/>
          <w:szCs w:val="24"/>
        </w:rPr>
        <w:t>https://www.cas.ca/CASAssets/Documents/Advocacy/Semaglutide-bulletin_final.pdf</w:t>
      </w:r>
    </w:p>
    <w:p w14:paraId="4C100995" w14:textId="77777777" w:rsidR="00625573" w:rsidRPr="004C2301" w:rsidRDefault="00625573" w:rsidP="00310FF8">
      <w:pPr>
        <w:spacing w:after="0" w:line="240" w:lineRule="auto"/>
        <w:divId w:val="135295860"/>
        <w:rPr>
          <w:rFonts w:ascii="Arial" w:eastAsia="Times New Roman" w:hAnsi="Arial" w:cs="Arial"/>
          <w:kern w:val="0"/>
          <w14:ligatures w14:val="none"/>
        </w:rPr>
      </w:pPr>
    </w:p>
    <w:p w14:paraId="2F3A5189" w14:textId="14D455FF" w:rsidR="009B26F3" w:rsidRPr="004C2301" w:rsidRDefault="009B26F3" w:rsidP="001A3948">
      <w:pPr>
        <w:divId w:val="110520484"/>
        <w:rPr>
          <w:rFonts w:ascii="Arial" w:eastAsia="Times New Roman" w:hAnsi="Arial" w:cs="Arial"/>
          <w:kern w:val="0"/>
          <w14:ligatures w14:val="none"/>
        </w:rPr>
      </w:pPr>
    </w:p>
    <w:p w14:paraId="1B8E637B" w14:textId="77777777" w:rsidR="008E7631" w:rsidRPr="004C2301" w:rsidRDefault="008E7631" w:rsidP="001A3948">
      <w:pPr>
        <w:divId w:val="110520484"/>
        <w:rPr>
          <w:rFonts w:ascii="Arial" w:eastAsia="Times New Roman" w:hAnsi="Arial" w:cs="Arial"/>
          <w:kern w:val="0"/>
          <w14:ligatures w14:val="none"/>
        </w:rPr>
      </w:pPr>
    </w:p>
    <w:p w14:paraId="04737491" w14:textId="3A5CDDC1" w:rsidR="001A3948" w:rsidRPr="004C2301" w:rsidRDefault="001A3948" w:rsidP="00D57424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7FC1BC1" w14:textId="77777777" w:rsidR="00861351" w:rsidRPr="004C2301" w:rsidRDefault="00861351" w:rsidP="00D57424">
      <w:pPr>
        <w:rPr>
          <w:rFonts w:ascii="Arial" w:hAnsi="Arial" w:cs="Arial"/>
        </w:rPr>
      </w:pPr>
    </w:p>
    <w:p w14:paraId="2C1E81B8" w14:textId="77777777" w:rsidR="005D6145" w:rsidRDefault="005D6145">
      <w:pPr>
        <w:rPr>
          <w:rFonts w:ascii="Arial" w:eastAsia="Times" w:hAnsi="Arial" w:cs="Arial"/>
          <w:color w:val="000000" w:themeColor="text1"/>
          <w:kern w:val="0"/>
          <w:lang w:val="en-US"/>
          <w14:ligatures w14:val="none"/>
        </w:rPr>
      </w:pPr>
    </w:p>
    <w:p w14:paraId="381ED9E9" w14:textId="5AE50640" w:rsidR="00AA2884" w:rsidRDefault="00AA2884"/>
    <w:sectPr w:rsidR="00AA2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AA43C" w14:textId="77777777" w:rsidR="00984ADC" w:rsidRDefault="00984ADC" w:rsidP="00FB2991">
      <w:pPr>
        <w:spacing w:after="0" w:line="240" w:lineRule="auto"/>
      </w:pPr>
      <w:r>
        <w:separator/>
      </w:r>
    </w:p>
  </w:endnote>
  <w:endnote w:type="continuationSeparator" w:id="0">
    <w:p w14:paraId="68413C3D" w14:textId="77777777" w:rsidR="00984ADC" w:rsidRDefault="00984ADC" w:rsidP="00FB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3C310" w14:textId="77777777" w:rsidR="00984ADC" w:rsidRDefault="00984ADC" w:rsidP="00FB2991">
      <w:pPr>
        <w:spacing w:after="0" w:line="240" w:lineRule="auto"/>
      </w:pPr>
      <w:r>
        <w:separator/>
      </w:r>
    </w:p>
  </w:footnote>
  <w:footnote w:type="continuationSeparator" w:id="0">
    <w:p w14:paraId="030FA9B0" w14:textId="77777777" w:rsidR="00984ADC" w:rsidRDefault="00984ADC" w:rsidP="00FB2991">
      <w:pPr>
        <w:spacing w:after="0" w:line="240" w:lineRule="auto"/>
      </w:pPr>
      <w:r>
        <w:continuationSeparator/>
      </w:r>
    </w:p>
  </w:footnote>
  <w:footnote w:id="1">
    <w:p w14:paraId="570B5301" w14:textId="77777777" w:rsidR="00FB2991" w:rsidRDefault="00FB2991" w:rsidP="00D57424"/>
    <w:p w14:paraId="22CE51E9" w14:textId="687C3EBA" w:rsidR="00FB2991" w:rsidRDefault="00FB299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84553"/>
    <w:multiLevelType w:val="hybridMultilevel"/>
    <w:tmpl w:val="9E40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06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9E"/>
    <w:rsid w:val="000003B4"/>
    <w:rsid w:val="00035038"/>
    <w:rsid w:val="000671D9"/>
    <w:rsid w:val="00067AEE"/>
    <w:rsid w:val="000708F5"/>
    <w:rsid w:val="00086441"/>
    <w:rsid w:val="00092202"/>
    <w:rsid w:val="000A0D55"/>
    <w:rsid w:val="000A285D"/>
    <w:rsid w:val="000C3353"/>
    <w:rsid w:val="000C544F"/>
    <w:rsid w:val="00135826"/>
    <w:rsid w:val="001362DF"/>
    <w:rsid w:val="001709AB"/>
    <w:rsid w:val="001832F7"/>
    <w:rsid w:val="00187D97"/>
    <w:rsid w:val="001A3948"/>
    <w:rsid w:val="001A5244"/>
    <w:rsid w:val="001A5730"/>
    <w:rsid w:val="001A5737"/>
    <w:rsid w:val="001A69F9"/>
    <w:rsid w:val="001C0165"/>
    <w:rsid w:val="001D1B67"/>
    <w:rsid w:val="001F0210"/>
    <w:rsid w:val="001F0B2C"/>
    <w:rsid w:val="001F3A37"/>
    <w:rsid w:val="001F7A25"/>
    <w:rsid w:val="00234CA7"/>
    <w:rsid w:val="0024293C"/>
    <w:rsid w:val="00252FC5"/>
    <w:rsid w:val="00255929"/>
    <w:rsid w:val="00257065"/>
    <w:rsid w:val="0026433D"/>
    <w:rsid w:val="00265EE4"/>
    <w:rsid w:val="002706DB"/>
    <w:rsid w:val="00271A7B"/>
    <w:rsid w:val="00294201"/>
    <w:rsid w:val="00294DDE"/>
    <w:rsid w:val="002C2596"/>
    <w:rsid w:val="002C6AB8"/>
    <w:rsid w:val="002D5185"/>
    <w:rsid w:val="002F52F8"/>
    <w:rsid w:val="003023C7"/>
    <w:rsid w:val="00310FF8"/>
    <w:rsid w:val="00316FF0"/>
    <w:rsid w:val="00321970"/>
    <w:rsid w:val="003654C0"/>
    <w:rsid w:val="0038359E"/>
    <w:rsid w:val="003857CF"/>
    <w:rsid w:val="0039060B"/>
    <w:rsid w:val="003965A7"/>
    <w:rsid w:val="003D211D"/>
    <w:rsid w:val="003D3956"/>
    <w:rsid w:val="003D5FD3"/>
    <w:rsid w:val="003F201C"/>
    <w:rsid w:val="00406EBB"/>
    <w:rsid w:val="00410155"/>
    <w:rsid w:val="00412CC2"/>
    <w:rsid w:val="00433C72"/>
    <w:rsid w:val="00437680"/>
    <w:rsid w:val="004406A8"/>
    <w:rsid w:val="00440E1F"/>
    <w:rsid w:val="004452A3"/>
    <w:rsid w:val="00450A7A"/>
    <w:rsid w:val="00467EF3"/>
    <w:rsid w:val="00486169"/>
    <w:rsid w:val="00491E90"/>
    <w:rsid w:val="004B1E32"/>
    <w:rsid w:val="004C2301"/>
    <w:rsid w:val="004E661E"/>
    <w:rsid w:val="00516C8D"/>
    <w:rsid w:val="00517A60"/>
    <w:rsid w:val="00532E08"/>
    <w:rsid w:val="00555B28"/>
    <w:rsid w:val="005759BA"/>
    <w:rsid w:val="00584007"/>
    <w:rsid w:val="00597D13"/>
    <w:rsid w:val="005A2506"/>
    <w:rsid w:val="005D42E7"/>
    <w:rsid w:val="005D6145"/>
    <w:rsid w:val="005F118E"/>
    <w:rsid w:val="006011C0"/>
    <w:rsid w:val="006073C0"/>
    <w:rsid w:val="006214D7"/>
    <w:rsid w:val="00625573"/>
    <w:rsid w:val="006267DF"/>
    <w:rsid w:val="00627748"/>
    <w:rsid w:val="006445B7"/>
    <w:rsid w:val="00644DF8"/>
    <w:rsid w:val="00653FF2"/>
    <w:rsid w:val="00655437"/>
    <w:rsid w:val="00657C36"/>
    <w:rsid w:val="00673755"/>
    <w:rsid w:val="00676CC0"/>
    <w:rsid w:val="0067721B"/>
    <w:rsid w:val="00677EC7"/>
    <w:rsid w:val="006B22F3"/>
    <w:rsid w:val="006B3449"/>
    <w:rsid w:val="006B78BE"/>
    <w:rsid w:val="006C1FE9"/>
    <w:rsid w:val="006C60A9"/>
    <w:rsid w:val="006C786B"/>
    <w:rsid w:val="006D0A12"/>
    <w:rsid w:val="006E1F3E"/>
    <w:rsid w:val="006E362C"/>
    <w:rsid w:val="007054F8"/>
    <w:rsid w:val="00712F3D"/>
    <w:rsid w:val="007162B1"/>
    <w:rsid w:val="00720C5E"/>
    <w:rsid w:val="00725ED3"/>
    <w:rsid w:val="0072736E"/>
    <w:rsid w:val="00732434"/>
    <w:rsid w:val="0073552A"/>
    <w:rsid w:val="007622A2"/>
    <w:rsid w:val="00762FB5"/>
    <w:rsid w:val="007673B1"/>
    <w:rsid w:val="00785675"/>
    <w:rsid w:val="007A5739"/>
    <w:rsid w:val="007C2928"/>
    <w:rsid w:val="007D04A3"/>
    <w:rsid w:val="007D3D09"/>
    <w:rsid w:val="007E6BF1"/>
    <w:rsid w:val="007F48FE"/>
    <w:rsid w:val="0080678D"/>
    <w:rsid w:val="00831746"/>
    <w:rsid w:val="008369ED"/>
    <w:rsid w:val="00837211"/>
    <w:rsid w:val="008407C5"/>
    <w:rsid w:val="00841FB3"/>
    <w:rsid w:val="008509EF"/>
    <w:rsid w:val="00861351"/>
    <w:rsid w:val="008724FC"/>
    <w:rsid w:val="00882041"/>
    <w:rsid w:val="0089056F"/>
    <w:rsid w:val="00894236"/>
    <w:rsid w:val="00896FD7"/>
    <w:rsid w:val="008B0412"/>
    <w:rsid w:val="008B3C3F"/>
    <w:rsid w:val="008C731B"/>
    <w:rsid w:val="008D48BE"/>
    <w:rsid w:val="008E7631"/>
    <w:rsid w:val="0091056D"/>
    <w:rsid w:val="009130BC"/>
    <w:rsid w:val="00913644"/>
    <w:rsid w:val="00916C8C"/>
    <w:rsid w:val="009213C0"/>
    <w:rsid w:val="00932647"/>
    <w:rsid w:val="009408D1"/>
    <w:rsid w:val="00942AD0"/>
    <w:rsid w:val="009442BD"/>
    <w:rsid w:val="0096109A"/>
    <w:rsid w:val="009802F4"/>
    <w:rsid w:val="00980F55"/>
    <w:rsid w:val="00984ADC"/>
    <w:rsid w:val="00992102"/>
    <w:rsid w:val="009B0CE7"/>
    <w:rsid w:val="009B26F3"/>
    <w:rsid w:val="009B2B08"/>
    <w:rsid w:val="009B596F"/>
    <w:rsid w:val="009C3E2D"/>
    <w:rsid w:val="009C42DD"/>
    <w:rsid w:val="009C70B6"/>
    <w:rsid w:val="009D075A"/>
    <w:rsid w:val="009D15FA"/>
    <w:rsid w:val="009E3CE2"/>
    <w:rsid w:val="00A00AF0"/>
    <w:rsid w:val="00A06B01"/>
    <w:rsid w:val="00A12FD7"/>
    <w:rsid w:val="00A146D7"/>
    <w:rsid w:val="00A261EB"/>
    <w:rsid w:val="00A31037"/>
    <w:rsid w:val="00A415E4"/>
    <w:rsid w:val="00A56049"/>
    <w:rsid w:val="00A7067E"/>
    <w:rsid w:val="00A813A7"/>
    <w:rsid w:val="00AA2884"/>
    <w:rsid w:val="00AA43C0"/>
    <w:rsid w:val="00AB2A2B"/>
    <w:rsid w:val="00AC1EF9"/>
    <w:rsid w:val="00AF28E6"/>
    <w:rsid w:val="00B15FB0"/>
    <w:rsid w:val="00BA610D"/>
    <w:rsid w:val="00BF32BB"/>
    <w:rsid w:val="00BF37A5"/>
    <w:rsid w:val="00C10914"/>
    <w:rsid w:val="00C17388"/>
    <w:rsid w:val="00C22B04"/>
    <w:rsid w:val="00C34DF1"/>
    <w:rsid w:val="00C51E5D"/>
    <w:rsid w:val="00C667DE"/>
    <w:rsid w:val="00CE7B7C"/>
    <w:rsid w:val="00CF1EA5"/>
    <w:rsid w:val="00CF42D4"/>
    <w:rsid w:val="00D1107D"/>
    <w:rsid w:val="00D3334A"/>
    <w:rsid w:val="00D427B1"/>
    <w:rsid w:val="00D4651E"/>
    <w:rsid w:val="00D50174"/>
    <w:rsid w:val="00D62121"/>
    <w:rsid w:val="00D749CE"/>
    <w:rsid w:val="00D757EE"/>
    <w:rsid w:val="00D824B6"/>
    <w:rsid w:val="00DA6D95"/>
    <w:rsid w:val="00DB121C"/>
    <w:rsid w:val="00DB4669"/>
    <w:rsid w:val="00DC155A"/>
    <w:rsid w:val="00DE56B7"/>
    <w:rsid w:val="00DE7F2C"/>
    <w:rsid w:val="00DF1266"/>
    <w:rsid w:val="00E03392"/>
    <w:rsid w:val="00E04030"/>
    <w:rsid w:val="00E2366D"/>
    <w:rsid w:val="00E25243"/>
    <w:rsid w:val="00E31FA4"/>
    <w:rsid w:val="00E517A4"/>
    <w:rsid w:val="00E538C3"/>
    <w:rsid w:val="00EC0B3D"/>
    <w:rsid w:val="00EE23D9"/>
    <w:rsid w:val="00EE65B5"/>
    <w:rsid w:val="00EF4E71"/>
    <w:rsid w:val="00F10769"/>
    <w:rsid w:val="00F33F0F"/>
    <w:rsid w:val="00F5429D"/>
    <w:rsid w:val="00F80CEC"/>
    <w:rsid w:val="00F97067"/>
    <w:rsid w:val="00FB2991"/>
    <w:rsid w:val="00FB37A9"/>
    <w:rsid w:val="00FC2A31"/>
    <w:rsid w:val="00FC603C"/>
    <w:rsid w:val="00FC6A94"/>
    <w:rsid w:val="00FD7ED9"/>
    <w:rsid w:val="00FF2D12"/>
    <w:rsid w:val="00F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0EC1E"/>
  <w15:chartTrackingRefBased/>
  <w15:docId w15:val="{18EC2800-52A2-A74B-9D86-0E794FFE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59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91E90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491E90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9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9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299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A39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47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76482">
                              <w:marLeft w:val="360"/>
                              <w:marRight w:val="9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3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5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7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190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1066290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da.gov/drugs/drug-approvals-and-databases/drug-trial-snapshot-ozemp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smpcanada.ca/bulletin/glucagon-like-peptide-1-glp-1-receptor-agonists-risk-of-aspiration-during-anesthe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 Kuran</dc:creator>
  <cp:keywords/>
  <dc:description/>
  <cp:lastModifiedBy>Gregori Kuran</cp:lastModifiedBy>
  <cp:revision>2</cp:revision>
  <dcterms:created xsi:type="dcterms:W3CDTF">2024-10-06T03:55:00Z</dcterms:created>
  <dcterms:modified xsi:type="dcterms:W3CDTF">2024-10-06T03:55:00Z</dcterms:modified>
</cp:coreProperties>
</file>