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4CE11" w14:textId="345AC802" w:rsidR="00CC3EA9" w:rsidRPr="009F79D9" w:rsidRDefault="009F79D9" w:rsidP="009F79D9">
      <w:pPr>
        <w:jc w:val="center"/>
        <w:rPr>
          <w:rFonts w:ascii="Times New Roman" w:hAnsi="Times New Roman" w:cs="Times New Roman"/>
          <w:b/>
        </w:rPr>
      </w:pPr>
      <w:r w:rsidRPr="009F79D9">
        <w:rPr>
          <w:rFonts w:ascii="Times New Roman" w:hAnsi="Times New Roman" w:cs="Times New Roman"/>
          <w:b/>
        </w:rPr>
        <w:t>S1 Table. Parameter settings used in the AM-FCM first-arrival picking procedure.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51"/>
        <w:gridCol w:w="2099"/>
        <w:gridCol w:w="3006"/>
      </w:tblGrid>
      <w:tr w:rsidR="009F79D9" w:rsidRPr="009F79D9" w14:paraId="32AF86FD" w14:textId="77777777" w:rsidTr="00B26F8D">
        <w:trPr>
          <w:tblHeader/>
          <w:tblCellSpacing w:w="15" w:type="dxa"/>
        </w:trPr>
        <w:tc>
          <w:tcPr>
            <w:tcW w:w="1373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BB10843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Stage</w:t>
            </w:r>
          </w:p>
        </w:tc>
        <w:tc>
          <w:tcPr>
            <w:tcW w:w="2521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7196BFE3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Parameter</w:t>
            </w:r>
          </w:p>
        </w:tc>
        <w:tc>
          <w:tcPr>
            <w:tcW w:w="206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F4C6798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Code variable</w:t>
            </w:r>
          </w:p>
        </w:tc>
        <w:tc>
          <w:tcPr>
            <w:tcW w:w="2961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712EFD12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Value or setting</w:t>
            </w:r>
          </w:p>
        </w:tc>
      </w:tr>
      <w:tr w:rsidR="009F79D9" w:rsidRPr="009F79D9" w14:paraId="100DF58F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2DA5DAC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Feature construction</w:t>
            </w:r>
          </w:p>
        </w:tc>
        <w:tc>
          <w:tcPr>
            <w:tcW w:w="2521" w:type="dxa"/>
            <w:vAlign w:val="center"/>
            <w:hideMark/>
          </w:tcPr>
          <w:p w14:paraId="5E48471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Selected features</w:t>
            </w:r>
          </w:p>
        </w:tc>
        <w:tc>
          <w:tcPr>
            <w:tcW w:w="2069" w:type="dxa"/>
            <w:vAlign w:val="center"/>
            <w:hideMark/>
          </w:tcPr>
          <w:p w14:paraId="15DBC1E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FEATURE_NAMES</w:t>
            </w:r>
          </w:p>
        </w:tc>
        <w:tc>
          <w:tcPr>
            <w:tcW w:w="2961" w:type="dxa"/>
            <w:vAlign w:val="center"/>
            <w:hideMark/>
          </w:tcPr>
          <w:p w14:paraId="2AAB7E03" w14:textId="54043499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ean,Std</w:t>
            </w:r>
            <w:proofErr w:type="spellEnd"/>
          </w:p>
        </w:tc>
      </w:tr>
      <w:tr w:rsidR="009F79D9" w:rsidRPr="009F79D9" w14:paraId="02EA4851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9238D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Feature construction</w:t>
            </w:r>
          </w:p>
        </w:tc>
        <w:tc>
          <w:tcPr>
            <w:tcW w:w="2521" w:type="dxa"/>
            <w:vAlign w:val="center"/>
            <w:hideMark/>
          </w:tcPr>
          <w:p w14:paraId="3E9AFA9A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Local feature-window length</w:t>
            </w:r>
          </w:p>
        </w:tc>
        <w:tc>
          <w:tcPr>
            <w:tcW w:w="2069" w:type="dxa"/>
            <w:vAlign w:val="center"/>
            <w:hideMark/>
          </w:tcPr>
          <w:p w14:paraId="5A8CBAC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WINDOW_SIZE</w:t>
            </w:r>
          </w:p>
        </w:tc>
        <w:tc>
          <w:tcPr>
            <w:tcW w:w="2961" w:type="dxa"/>
            <w:vAlign w:val="center"/>
            <w:hideMark/>
          </w:tcPr>
          <w:p w14:paraId="63E5D35B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11 samples</w:t>
            </w:r>
          </w:p>
        </w:tc>
      </w:tr>
      <w:tr w:rsidR="009F79D9" w:rsidRPr="009F79D9" w14:paraId="7F6419E5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0E5015F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Feature construction</w:t>
            </w:r>
          </w:p>
        </w:tc>
        <w:tc>
          <w:tcPr>
            <w:tcW w:w="2521" w:type="dxa"/>
            <w:vAlign w:val="center"/>
            <w:hideMark/>
          </w:tcPr>
          <w:p w14:paraId="1C72915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Short-term window length</w:t>
            </w:r>
          </w:p>
        </w:tc>
        <w:tc>
          <w:tcPr>
            <w:tcW w:w="2069" w:type="dxa"/>
            <w:vAlign w:val="center"/>
            <w:hideMark/>
          </w:tcPr>
          <w:p w14:paraId="723DF8A3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SHORT_SIZE</w:t>
            </w:r>
          </w:p>
        </w:tc>
        <w:tc>
          <w:tcPr>
            <w:tcW w:w="2961" w:type="dxa"/>
            <w:vAlign w:val="center"/>
            <w:hideMark/>
          </w:tcPr>
          <w:p w14:paraId="4E787D19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21 samples</w:t>
            </w:r>
          </w:p>
        </w:tc>
      </w:tr>
      <w:tr w:rsidR="009F79D9" w:rsidRPr="009F79D9" w14:paraId="7F2F4EF4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42630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Feature construction</w:t>
            </w:r>
          </w:p>
        </w:tc>
        <w:tc>
          <w:tcPr>
            <w:tcW w:w="2521" w:type="dxa"/>
            <w:vAlign w:val="center"/>
            <w:hideMark/>
          </w:tcPr>
          <w:p w14:paraId="13DDA85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Long-term window length</w:t>
            </w:r>
          </w:p>
        </w:tc>
        <w:tc>
          <w:tcPr>
            <w:tcW w:w="2069" w:type="dxa"/>
            <w:vAlign w:val="center"/>
            <w:hideMark/>
          </w:tcPr>
          <w:p w14:paraId="398FA5D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LONG_SIZE</w:t>
            </w:r>
          </w:p>
        </w:tc>
        <w:tc>
          <w:tcPr>
            <w:tcW w:w="2961" w:type="dxa"/>
            <w:vAlign w:val="center"/>
            <w:hideMark/>
          </w:tcPr>
          <w:p w14:paraId="56D9DE3B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105 samples</w:t>
            </w:r>
          </w:p>
        </w:tc>
      </w:tr>
      <w:tr w:rsidR="009F79D9" w:rsidRPr="009F79D9" w14:paraId="16D07666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4F4D87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Feature normalization</w:t>
            </w:r>
          </w:p>
        </w:tc>
        <w:tc>
          <w:tcPr>
            <w:tcW w:w="2521" w:type="dxa"/>
            <w:vAlign w:val="center"/>
            <w:hideMark/>
          </w:tcPr>
          <w:p w14:paraId="5020D70C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Scaling method</w:t>
            </w:r>
          </w:p>
        </w:tc>
        <w:tc>
          <w:tcPr>
            <w:tcW w:w="2069" w:type="dxa"/>
            <w:vAlign w:val="center"/>
            <w:hideMark/>
          </w:tcPr>
          <w:p w14:paraId="16E6B95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961" w:type="dxa"/>
            <w:vAlign w:val="center"/>
            <w:hideMark/>
          </w:tcPr>
          <w:p w14:paraId="2C60C0C8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Min–Max normalization to [0, 1]</w:t>
            </w:r>
          </w:p>
        </w:tc>
      </w:tr>
      <w:tr w:rsidR="009F79D9" w:rsidRPr="009F79D9" w14:paraId="6B91B688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65AF44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</w:t>
            </w:r>
          </w:p>
        </w:tc>
        <w:tc>
          <w:tcPr>
            <w:tcW w:w="2521" w:type="dxa"/>
            <w:vAlign w:val="center"/>
            <w:hideMark/>
          </w:tcPr>
          <w:p w14:paraId="7A5B389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Minimum cluster number</w:t>
            </w:r>
          </w:p>
        </w:tc>
        <w:tc>
          <w:tcPr>
            <w:tcW w:w="2069" w:type="dxa"/>
            <w:vAlign w:val="center"/>
            <w:hideMark/>
          </w:tcPr>
          <w:p w14:paraId="1896D40C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C_MIN</w:t>
            </w:r>
          </w:p>
        </w:tc>
        <w:tc>
          <w:tcPr>
            <w:tcW w:w="2961" w:type="dxa"/>
            <w:vAlign w:val="center"/>
            <w:hideMark/>
          </w:tcPr>
          <w:p w14:paraId="6D51861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</w:p>
        </w:tc>
      </w:tr>
      <w:tr w:rsidR="009F79D9" w:rsidRPr="009F79D9" w14:paraId="09CF9CFC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014769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</w:t>
            </w:r>
          </w:p>
        </w:tc>
        <w:tc>
          <w:tcPr>
            <w:tcW w:w="2521" w:type="dxa"/>
            <w:vAlign w:val="center"/>
            <w:hideMark/>
          </w:tcPr>
          <w:p w14:paraId="3C1764F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Maximum cluster number</w:t>
            </w:r>
          </w:p>
        </w:tc>
        <w:tc>
          <w:tcPr>
            <w:tcW w:w="2069" w:type="dxa"/>
            <w:vAlign w:val="center"/>
            <w:hideMark/>
          </w:tcPr>
          <w:p w14:paraId="68882759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C_MAX</w:t>
            </w:r>
          </w:p>
        </w:tc>
        <w:tc>
          <w:tcPr>
            <w:tcW w:w="2961" w:type="dxa"/>
            <w:vAlign w:val="center"/>
            <w:hideMark/>
          </w:tcPr>
          <w:p w14:paraId="4A5A6B3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10</w:t>
            </w:r>
          </w:p>
        </w:tc>
      </w:tr>
      <w:tr w:rsidR="009F79D9" w:rsidRPr="009F79D9" w14:paraId="067B2462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C6230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</w:t>
            </w:r>
          </w:p>
        </w:tc>
        <w:tc>
          <w:tcPr>
            <w:tcW w:w="2521" w:type="dxa"/>
            <w:vAlign w:val="center"/>
            <w:hideMark/>
          </w:tcPr>
          <w:p w14:paraId="583A6EDA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Fuzziness exponent</w:t>
            </w:r>
          </w:p>
        </w:tc>
        <w:tc>
          <w:tcPr>
            <w:tcW w:w="2069" w:type="dxa"/>
            <w:vAlign w:val="center"/>
            <w:hideMark/>
          </w:tcPr>
          <w:p w14:paraId="54BB7ABC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FCM_M</w:t>
            </w:r>
          </w:p>
        </w:tc>
        <w:tc>
          <w:tcPr>
            <w:tcW w:w="2961" w:type="dxa"/>
            <w:vAlign w:val="center"/>
            <w:hideMark/>
          </w:tcPr>
          <w:p w14:paraId="37605A7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2.0</w:t>
            </w:r>
          </w:p>
        </w:tc>
      </w:tr>
      <w:tr w:rsidR="009F79D9" w:rsidRPr="009F79D9" w14:paraId="718A5873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D2F69F7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</w:t>
            </w:r>
          </w:p>
        </w:tc>
        <w:tc>
          <w:tcPr>
            <w:tcW w:w="2521" w:type="dxa"/>
            <w:vAlign w:val="center"/>
            <w:hideMark/>
          </w:tcPr>
          <w:p w14:paraId="5F01029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Maximum iterations</w:t>
            </w:r>
          </w:p>
        </w:tc>
        <w:tc>
          <w:tcPr>
            <w:tcW w:w="2069" w:type="dxa"/>
            <w:vAlign w:val="center"/>
            <w:hideMark/>
          </w:tcPr>
          <w:p w14:paraId="44CC6CB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FCM_MAX_ITER</w:t>
            </w:r>
          </w:p>
        </w:tc>
        <w:tc>
          <w:tcPr>
            <w:tcW w:w="2961" w:type="dxa"/>
            <w:vAlign w:val="center"/>
            <w:hideMark/>
          </w:tcPr>
          <w:p w14:paraId="71735B8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100</w:t>
            </w:r>
          </w:p>
        </w:tc>
      </w:tr>
      <w:tr w:rsidR="009F79D9" w:rsidRPr="009F79D9" w14:paraId="1DE6E286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37025E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</w:t>
            </w:r>
          </w:p>
        </w:tc>
        <w:tc>
          <w:tcPr>
            <w:tcW w:w="2521" w:type="dxa"/>
            <w:vAlign w:val="center"/>
            <w:hideMark/>
          </w:tcPr>
          <w:p w14:paraId="606A8E3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Convergence tolerance</w:t>
            </w:r>
          </w:p>
        </w:tc>
        <w:tc>
          <w:tcPr>
            <w:tcW w:w="2069" w:type="dxa"/>
            <w:vAlign w:val="center"/>
            <w:hideMark/>
          </w:tcPr>
          <w:p w14:paraId="72DFC85F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FCM_ERROR</w:t>
            </w:r>
          </w:p>
        </w:tc>
        <w:tc>
          <w:tcPr>
            <w:tcW w:w="2961" w:type="dxa"/>
            <w:vAlign w:val="center"/>
            <w:hideMark/>
          </w:tcPr>
          <w:p w14:paraId="0E16DB47" w14:textId="2B9EEB38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1×10</w:t>
            </w:r>
            <w:r w:rsidRPr="009F79D9">
              <w:rPr>
                <w:rFonts w:ascii="Times New Roman" w:eastAsia="微软雅黑" w:hAnsi="Times New Roman" w:cs="Times New Roman"/>
                <w:sz w:val="21"/>
                <w:szCs w:val="21"/>
                <w:vertAlign w:val="superscript"/>
              </w:rPr>
              <w:t>−</w:t>
            </w:r>
            <w:r>
              <w:rPr>
                <w:rFonts w:ascii="Times New Roman" w:eastAsia="微软雅黑" w:hAnsi="Times New Roman" w:cs="Times New Roman"/>
                <w:sz w:val="21"/>
                <w:szCs w:val="21"/>
                <w:vertAlign w:val="superscript"/>
              </w:rPr>
              <w:t>6</w:t>
            </w:r>
          </w:p>
        </w:tc>
      </w:tr>
      <w:tr w:rsidR="009F79D9" w:rsidRPr="009F79D9" w14:paraId="0126BD91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D8CFD3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</w:t>
            </w:r>
          </w:p>
        </w:tc>
        <w:tc>
          <w:tcPr>
            <w:tcW w:w="2521" w:type="dxa"/>
            <w:vAlign w:val="center"/>
            <w:hideMark/>
          </w:tcPr>
          <w:p w14:paraId="64DA9B8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Random state</w:t>
            </w:r>
          </w:p>
        </w:tc>
        <w:tc>
          <w:tcPr>
            <w:tcW w:w="2069" w:type="dxa"/>
            <w:vAlign w:val="center"/>
            <w:hideMark/>
          </w:tcPr>
          <w:p w14:paraId="318CF8D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FCM_RANDOM_STATE</w:t>
            </w:r>
          </w:p>
        </w:tc>
        <w:tc>
          <w:tcPr>
            <w:tcW w:w="2961" w:type="dxa"/>
            <w:vAlign w:val="center"/>
            <w:hideMark/>
          </w:tcPr>
          <w:p w14:paraId="0831FF9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42</w:t>
            </w:r>
          </w:p>
        </w:tc>
      </w:tr>
      <w:tr w:rsidR="009F79D9" w:rsidRPr="009F79D9" w14:paraId="18F1231B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430D43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Signal-cluster selection</w:t>
            </w:r>
          </w:p>
        </w:tc>
        <w:tc>
          <w:tcPr>
            <w:tcW w:w="2521" w:type="dxa"/>
            <w:vAlign w:val="center"/>
            <w:hideMark/>
          </w:tcPr>
          <w:p w14:paraId="156095EA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Selection criterion</w:t>
            </w:r>
          </w:p>
        </w:tc>
        <w:tc>
          <w:tcPr>
            <w:tcW w:w="2069" w:type="dxa"/>
            <w:vAlign w:val="center"/>
            <w:hideMark/>
          </w:tcPr>
          <w:p w14:paraId="3563F76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961" w:type="dxa"/>
            <w:vAlign w:val="center"/>
            <w:hideMark/>
          </w:tcPr>
          <w:p w14:paraId="571698CF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Cluster with the largest mean centroid value across the selected features</w:t>
            </w:r>
          </w:p>
        </w:tc>
      </w:tr>
      <w:tr w:rsidR="009F79D9" w:rsidRPr="009F79D9" w14:paraId="192288FC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5DC777B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 detection</w:t>
            </w:r>
          </w:p>
        </w:tc>
        <w:tc>
          <w:tcPr>
            <w:tcW w:w="2521" w:type="dxa"/>
            <w:vAlign w:val="center"/>
            <w:hideMark/>
          </w:tcPr>
          <w:p w14:paraId="25E09E2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Minimum peak height</w:t>
            </w:r>
          </w:p>
        </w:tc>
        <w:tc>
          <w:tcPr>
            <w:tcW w:w="2069" w:type="dxa"/>
            <w:vAlign w:val="center"/>
            <w:hideMark/>
          </w:tcPr>
          <w:p w14:paraId="351EEF97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PEAK_HEIGHT</w:t>
            </w:r>
          </w:p>
        </w:tc>
        <w:tc>
          <w:tcPr>
            <w:tcW w:w="2961" w:type="dxa"/>
            <w:vAlign w:val="center"/>
            <w:hideMark/>
          </w:tcPr>
          <w:p w14:paraId="7EDA5602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0.55</w:t>
            </w:r>
          </w:p>
        </w:tc>
      </w:tr>
      <w:tr w:rsidR="009F79D9" w:rsidRPr="009F79D9" w14:paraId="085F6725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CEDE192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 detection</w:t>
            </w:r>
          </w:p>
        </w:tc>
        <w:tc>
          <w:tcPr>
            <w:tcW w:w="2521" w:type="dxa"/>
            <w:vAlign w:val="center"/>
            <w:hideMark/>
          </w:tcPr>
          <w:p w14:paraId="2CF3767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Minimum peak prominence</w:t>
            </w:r>
          </w:p>
        </w:tc>
        <w:tc>
          <w:tcPr>
            <w:tcW w:w="2069" w:type="dxa"/>
            <w:vAlign w:val="center"/>
            <w:hideMark/>
          </w:tcPr>
          <w:p w14:paraId="131426DF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PEAK_PROMINENCE</w:t>
            </w:r>
          </w:p>
        </w:tc>
        <w:tc>
          <w:tcPr>
            <w:tcW w:w="2961" w:type="dxa"/>
            <w:vAlign w:val="center"/>
            <w:hideMark/>
          </w:tcPr>
          <w:p w14:paraId="0723ED9D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0.12</w:t>
            </w:r>
          </w:p>
        </w:tc>
      </w:tr>
      <w:tr w:rsidR="009F79D9" w:rsidRPr="009F79D9" w14:paraId="3DA309C6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F04B86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 detection</w:t>
            </w:r>
          </w:p>
        </w:tc>
        <w:tc>
          <w:tcPr>
            <w:tcW w:w="2521" w:type="dxa"/>
            <w:vAlign w:val="center"/>
            <w:hideMark/>
          </w:tcPr>
          <w:p w14:paraId="0322351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Minimum peak width</w:t>
            </w:r>
          </w:p>
        </w:tc>
        <w:tc>
          <w:tcPr>
            <w:tcW w:w="2069" w:type="dxa"/>
            <w:vAlign w:val="center"/>
            <w:hideMark/>
          </w:tcPr>
          <w:p w14:paraId="525B4A48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PEAK_WIDTH</w:t>
            </w:r>
          </w:p>
        </w:tc>
        <w:tc>
          <w:tcPr>
            <w:tcW w:w="2961" w:type="dxa"/>
            <w:vAlign w:val="center"/>
            <w:hideMark/>
          </w:tcPr>
          <w:p w14:paraId="133D9C5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2 samples</w:t>
            </w:r>
          </w:p>
        </w:tc>
      </w:tr>
      <w:tr w:rsidR="009F79D9" w:rsidRPr="009F79D9" w14:paraId="73F93873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2BAC0C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 detection</w:t>
            </w:r>
          </w:p>
        </w:tc>
        <w:tc>
          <w:tcPr>
            <w:tcW w:w="2521" w:type="dxa"/>
            <w:vAlign w:val="center"/>
            <w:hideMark/>
          </w:tcPr>
          <w:p w14:paraId="41836A7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Minimum peak distance</w:t>
            </w:r>
          </w:p>
        </w:tc>
        <w:tc>
          <w:tcPr>
            <w:tcW w:w="2069" w:type="dxa"/>
            <w:vAlign w:val="center"/>
            <w:hideMark/>
          </w:tcPr>
          <w:p w14:paraId="69972F17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PEAK_DISTANCE</w:t>
            </w:r>
          </w:p>
        </w:tc>
        <w:tc>
          <w:tcPr>
            <w:tcW w:w="2961" w:type="dxa"/>
            <w:vAlign w:val="center"/>
            <w:hideMark/>
          </w:tcPr>
          <w:p w14:paraId="67F66E7A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3 samples</w:t>
            </w:r>
          </w:p>
        </w:tc>
      </w:tr>
      <w:tr w:rsidR="009F79D9" w:rsidRPr="009F79D9" w14:paraId="650A63D7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F796D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 merging</w:t>
            </w:r>
          </w:p>
        </w:tc>
        <w:tc>
          <w:tcPr>
            <w:tcW w:w="2521" w:type="dxa"/>
            <w:vAlign w:val="center"/>
            <w:hideMark/>
          </w:tcPr>
          <w:p w14:paraId="4762110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Active-region threshold</w:t>
            </w:r>
          </w:p>
        </w:tc>
        <w:tc>
          <w:tcPr>
            <w:tcW w:w="2069" w:type="dxa"/>
            <w:vAlign w:val="center"/>
            <w:hideMark/>
          </w:tcPr>
          <w:p w14:paraId="1833A3AB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REGION_THRESHOLD</w:t>
            </w:r>
          </w:p>
        </w:tc>
        <w:tc>
          <w:tcPr>
            <w:tcW w:w="2961" w:type="dxa"/>
            <w:vAlign w:val="center"/>
            <w:hideMark/>
          </w:tcPr>
          <w:p w14:paraId="101A891A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0.40</w:t>
            </w:r>
          </w:p>
        </w:tc>
      </w:tr>
      <w:tr w:rsidR="009F79D9" w:rsidRPr="009F79D9" w14:paraId="1EE4DE1A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AA50E3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 merging</w:t>
            </w:r>
          </w:p>
        </w:tc>
        <w:tc>
          <w:tcPr>
            <w:tcW w:w="2521" w:type="dxa"/>
            <w:vAlign w:val="center"/>
            <w:hideMark/>
          </w:tcPr>
          <w:p w14:paraId="091E3489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Within-region peak selection</w:t>
            </w:r>
          </w:p>
        </w:tc>
        <w:tc>
          <w:tcPr>
            <w:tcW w:w="2069" w:type="dxa"/>
            <w:vAlign w:val="center"/>
            <w:hideMark/>
          </w:tcPr>
          <w:p w14:paraId="66D2313A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961" w:type="dxa"/>
            <w:vAlign w:val="center"/>
            <w:hideMark/>
          </w:tcPr>
          <w:p w14:paraId="28B76686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Peaks belongi</w:t>
            </w:r>
            <w:bookmarkStart w:id="0" w:name="_GoBack"/>
            <w:bookmarkEnd w:id="0"/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ng to the same continuous active region are merged; the peak with the greatest prominence is retained</w:t>
            </w:r>
          </w:p>
        </w:tc>
      </w:tr>
      <w:tr w:rsidR="009F79D9" w:rsidRPr="009F79D9" w14:paraId="36034C32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D29407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 determination</w:t>
            </w:r>
          </w:p>
        </w:tc>
        <w:tc>
          <w:tcPr>
            <w:tcW w:w="2521" w:type="dxa"/>
            <w:vAlign w:val="center"/>
            <w:hideMark/>
          </w:tcPr>
          <w:p w14:paraId="429C12B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 ratio</w:t>
            </w:r>
          </w:p>
        </w:tc>
        <w:tc>
          <w:tcPr>
            <w:tcW w:w="2069" w:type="dxa"/>
            <w:vAlign w:val="center"/>
            <w:hideMark/>
          </w:tcPr>
          <w:p w14:paraId="7885DFDF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ONSET_RATIO</w:t>
            </w:r>
          </w:p>
        </w:tc>
        <w:tc>
          <w:tcPr>
            <w:tcW w:w="2961" w:type="dxa"/>
            <w:vAlign w:val="center"/>
            <w:hideMark/>
          </w:tcPr>
          <w:p w14:paraId="42EA6A78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0.35</w:t>
            </w:r>
          </w:p>
        </w:tc>
      </w:tr>
      <w:tr w:rsidR="009F79D9" w:rsidRPr="009F79D9" w14:paraId="0335F68C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78EE26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 determination</w:t>
            </w:r>
          </w:p>
        </w:tc>
        <w:tc>
          <w:tcPr>
            <w:tcW w:w="2521" w:type="dxa"/>
            <w:vAlign w:val="center"/>
            <w:hideMark/>
          </w:tcPr>
          <w:p w14:paraId="7F901A6C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Required consecutive samples</w:t>
            </w:r>
          </w:p>
        </w:tc>
        <w:tc>
          <w:tcPr>
            <w:tcW w:w="2069" w:type="dxa"/>
            <w:vAlign w:val="center"/>
            <w:hideMark/>
          </w:tcPr>
          <w:p w14:paraId="5652AA5A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ONSET_CONSECUTIVE</w:t>
            </w:r>
          </w:p>
        </w:tc>
        <w:tc>
          <w:tcPr>
            <w:tcW w:w="2961" w:type="dxa"/>
            <w:vAlign w:val="center"/>
            <w:hideMark/>
          </w:tcPr>
          <w:p w14:paraId="3C5E281F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2 samples</w:t>
            </w:r>
          </w:p>
        </w:tc>
      </w:tr>
      <w:tr w:rsidR="009F79D9" w:rsidRPr="009F79D9" w14:paraId="2F6CDA30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83FFEB3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 determination</w:t>
            </w:r>
          </w:p>
        </w:tc>
        <w:tc>
          <w:tcPr>
            <w:tcW w:w="2521" w:type="dxa"/>
            <w:vAlign w:val="center"/>
            <w:hideMark/>
          </w:tcPr>
          <w:p w14:paraId="5A1AE87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Look-back window</w:t>
            </w:r>
          </w:p>
        </w:tc>
        <w:tc>
          <w:tcPr>
            <w:tcW w:w="2069" w:type="dxa"/>
            <w:vAlign w:val="center"/>
            <w:hideMark/>
          </w:tcPr>
          <w:p w14:paraId="5554894C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ONSET_LOOKBACK</w:t>
            </w:r>
          </w:p>
        </w:tc>
        <w:tc>
          <w:tcPr>
            <w:tcW w:w="2961" w:type="dxa"/>
            <w:vAlign w:val="center"/>
            <w:hideMark/>
          </w:tcPr>
          <w:p w14:paraId="27241CAD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100 samples</w:t>
            </w:r>
          </w:p>
        </w:tc>
      </w:tr>
      <w:tr w:rsidR="009F79D9" w:rsidRPr="009F79D9" w14:paraId="4CFF3F77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DFB25E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 determination</w:t>
            </w:r>
          </w:p>
        </w:tc>
        <w:tc>
          <w:tcPr>
            <w:tcW w:w="2521" w:type="dxa"/>
            <w:vAlign w:val="center"/>
            <w:hideMark/>
          </w:tcPr>
          <w:p w14:paraId="26E9C6D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Local-baseline percentile</w:t>
            </w:r>
          </w:p>
        </w:tc>
        <w:tc>
          <w:tcPr>
            <w:tcW w:w="2069" w:type="dxa"/>
            <w:vAlign w:val="center"/>
            <w:hideMark/>
          </w:tcPr>
          <w:p w14:paraId="717D06E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ONSET_BASELINE_PERCENTILE</w:t>
            </w:r>
          </w:p>
        </w:tc>
        <w:tc>
          <w:tcPr>
            <w:tcW w:w="2961" w:type="dxa"/>
            <w:vAlign w:val="center"/>
            <w:hideMark/>
          </w:tcPr>
          <w:p w14:paraId="647DE677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10th percentile</w:t>
            </w:r>
          </w:p>
        </w:tc>
      </w:tr>
      <w:tr w:rsidR="009F79D9" w:rsidRPr="009F79D9" w14:paraId="25CE5D70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732A912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 determination</w:t>
            </w:r>
          </w:p>
        </w:tc>
        <w:tc>
          <w:tcPr>
            <w:tcW w:w="2521" w:type="dxa"/>
            <w:vAlign w:val="center"/>
            <w:hideMark/>
          </w:tcPr>
          <w:p w14:paraId="6D8D068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Onset-level definition</w:t>
            </w:r>
          </w:p>
        </w:tc>
        <w:tc>
          <w:tcPr>
            <w:tcW w:w="2069" w:type="dxa"/>
            <w:vAlign w:val="center"/>
            <w:hideMark/>
          </w:tcPr>
          <w:p w14:paraId="563F838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bookmarkStart w:id="1" w:name="MTBlankEqn"/>
        <w:tc>
          <w:tcPr>
            <w:tcW w:w="2961" w:type="dxa"/>
            <w:vAlign w:val="center"/>
            <w:hideMark/>
          </w:tcPr>
          <w:p w14:paraId="5DA53425" w14:textId="474B7938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position w:val="-16"/>
              </w:rPr>
              <w:object w:dxaOrig="1320" w:dyaOrig="360" w14:anchorId="45295B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9" type="#_x0000_t75" style="width:66.1pt;height:18.25pt" o:ole="">
                  <v:imagedata r:id="rId4" o:title=""/>
                </v:shape>
                <o:OLEObject Type="Embed" ProgID="Equation.DSMT4" ShapeID="_x0000_i1139" DrawAspect="Content" ObjectID="_1851343516" r:id="rId5"/>
              </w:object>
            </w:r>
            <w:bookmarkEnd w:id="1"/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, where </w:t>
            </w:r>
            <w:r w:rsidRPr="009F79D9"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B</w:t>
            </w: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is the local baseline, </w:t>
            </w:r>
            <w:r w:rsidRPr="009F79D9">
              <w:rPr>
                <w:rFonts w:ascii="Times New Roman" w:eastAsia="宋体" w:hAnsi="Times New Roman" w:cs="Times New Roman"/>
                <w:i/>
                <w:sz w:val="21"/>
                <w:szCs w:val="21"/>
              </w:rPr>
              <w:t>T</w:t>
            </w: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is the onset ratio, and </w:t>
            </w:r>
            <w:r w:rsidRPr="009F79D9">
              <w:rPr>
                <w:position w:val="-16"/>
              </w:rPr>
              <w:object w:dxaOrig="360" w:dyaOrig="340" w14:anchorId="14150CFA">
                <v:shape id="_x0000_i1140" type="#_x0000_t75" style="width:18.25pt;height:17.2pt" o:ole="">
                  <v:imagedata r:id="rId6" o:title=""/>
                </v:shape>
                <o:OLEObject Type="Embed" ProgID="Equation.DSMT4" ShapeID="_x0000_i1140" DrawAspect="Content" ObjectID="_1851343517" r:id="rId7"/>
              </w:object>
            </w: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is the peak membership</w:t>
            </w:r>
          </w:p>
        </w:tc>
      </w:tr>
      <w:tr w:rsidR="009F79D9" w:rsidRPr="009F79D9" w14:paraId="6217CE6C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8E35E09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Adaptive stopping</w:t>
            </w:r>
          </w:p>
        </w:tc>
        <w:tc>
          <w:tcPr>
            <w:tcW w:w="2521" w:type="dxa"/>
            <w:vAlign w:val="center"/>
            <w:hideMark/>
          </w:tcPr>
          <w:p w14:paraId="459B82F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Stopping criterion</w:t>
            </w:r>
          </w:p>
        </w:tc>
        <w:tc>
          <w:tcPr>
            <w:tcW w:w="2069" w:type="dxa"/>
            <w:vAlign w:val="center"/>
            <w:hideMark/>
          </w:tcPr>
          <w:p w14:paraId="79FD30B2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961" w:type="dxa"/>
            <w:vAlign w:val="center"/>
            <w:hideMark/>
          </w:tcPr>
          <w:p w14:paraId="0142287C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Stop when exactly one valid peak remains after region-based merging and a valid onset is identified</w:t>
            </w:r>
          </w:p>
        </w:tc>
      </w:tr>
      <w:tr w:rsidR="009F79D9" w:rsidRPr="009F79D9" w14:paraId="790B06B3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56F9F9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Reliability assessment</w:t>
            </w:r>
          </w:p>
        </w:tc>
        <w:tc>
          <w:tcPr>
            <w:tcW w:w="2521" w:type="dxa"/>
            <w:vAlign w:val="center"/>
            <w:hideMark/>
          </w:tcPr>
          <w:p w14:paraId="11C0AA9D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No unique valid peak</w:t>
            </w:r>
          </w:p>
        </w:tc>
        <w:tc>
          <w:tcPr>
            <w:tcW w:w="2069" w:type="dxa"/>
            <w:vAlign w:val="center"/>
            <w:hideMark/>
          </w:tcPr>
          <w:p w14:paraId="275E04C1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961" w:type="dxa"/>
            <w:vAlign w:val="center"/>
            <w:hideMark/>
          </w:tcPr>
          <w:p w14:paraId="5CE93109" w14:textId="11D5CC6A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Increase C; if no unique valid peak is obtained by </w:t>
            </w:r>
            <w:proofErr w:type="spellStart"/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C</w:t>
            </w:r>
            <w:r w:rsidRPr="009F79D9">
              <w:rPr>
                <w:rFonts w:ascii="Times New Roman" w:eastAsia="宋体" w:hAnsi="Times New Roman" w:cs="Times New Roman"/>
                <w:sz w:val="21"/>
                <w:szCs w:val="21"/>
                <w:vertAlign w:val="subscript"/>
              </w:rPr>
              <w:t>max</w:t>
            </w:r>
            <w:proofErr w:type="spellEnd"/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, classify the trace as unreliable</w:t>
            </w:r>
          </w:p>
        </w:tc>
      </w:tr>
      <w:tr w:rsidR="009F79D9" w:rsidRPr="009F79D9" w14:paraId="19673F1A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70CF877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Reliability assessment</w:t>
            </w:r>
          </w:p>
        </w:tc>
        <w:tc>
          <w:tcPr>
            <w:tcW w:w="2521" w:type="dxa"/>
            <w:vAlign w:val="center"/>
            <w:hideMark/>
          </w:tcPr>
          <w:p w14:paraId="07A4B564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No valid onset crossing</w:t>
            </w:r>
          </w:p>
        </w:tc>
        <w:tc>
          <w:tcPr>
            <w:tcW w:w="2069" w:type="dxa"/>
            <w:vAlign w:val="center"/>
            <w:hideMark/>
          </w:tcPr>
          <w:p w14:paraId="54CF6DBB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961" w:type="dxa"/>
            <w:vAlign w:val="center"/>
            <w:hideMark/>
          </w:tcPr>
          <w:p w14:paraId="34B185D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If a unique peak is obtained but no valid onset is found, classify the trace as unreliable</w:t>
            </w:r>
          </w:p>
        </w:tc>
      </w:tr>
      <w:tr w:rsidR="009F79D9" w:rsidRPr="009F79D9" w14:paraId="32414E75" w14:textId="77777777" w:rsidTr="00B26F8D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8EC875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Stability diagnosis</w:t>
            </w:r>
          </w:p>
        </w:tc>
        <w:tc>
          <w:tcPr>
            <w:tcW w:w="2521" w:type="dxa"/>
            <w:vAlign w:val="center"/>
            <w:hideMark/>
          </w:tcPr>
          <w:p w14:paraId="150FCAC0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Peak-position tolerance</w:t>
            </w:r>
          </w:p>
        </w:tc>
        <w:tc>
          <w:tcPr>
            <w:tcW w:w="2069" w:type="dxa"/>
            <w:vAlign w:val="center"/>
            <w:hideMark/>
          </w:tcPr>
          <w:p w14:paraId="19E1F48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STABLE_SHIFT</w:t>
            </w:r>
          </w:p>
        </w:tc>
        <w:tc>
          <w:tcPr>
            <w:tcW w:w="2961" w:type="dxa"/>
            <w:vAlign w:val="center"/>
            <w:hideMark/>
          </w:tcPr>
          <w:p w14:paraId="0C6FA609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3 samples; diagnostic only and not used as a stopping criterion</w:t>
            </w:r>
          </w:p>
        </w:tc>
      </w:tr>
      <w:tr w:rsidR="009F79D9" w:rsidRPr="009F79D9" w14:paraId="2DD05F2D" w14:textId="77777777" w:rsidTr="00B26F8D">
        <w:trPr>
          <w:tblCellSpacing w:w="15" w:type="dxa"/>
        </w:trPr>
        <w:tc>
          <w:tcPr>
            <w:tcW w:w="1373" w:type="dxa"/>
            <w:tcBorders>
              <w:bottom w:val="single" w:sz="12" w:space="0" w:color="auto"/>
            </w:tcBorders>
            <w:vAlign w:val="center"/>
            <w:hideMark/>
          </w:tcPr>
          <w:p w14:paraId="0E6BB84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Additional smoothing</w:t>
            </w:r>
          </w:p>
        </w:tc>
        <w:tc>
          <w:tcPr>
            <w:tcW w:w="2521" w:type="dxa"/>
            <w:tcBorders>
              <w:bottom w:val="single" w:sz="12" w:space="0" w:color="auto"/>
            </w:tcBorders>
            <w:vAlign w:val="center"/>
            <w:hideMark/>
          </w:tcPr>
          <w:p w14:paraId="5588F9C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Membership-curve smoothing</w:t>
            </w:r>
          </w:p>
        </w:tc>
        <w:tc>
          <w:tcPr>
            <w:tcW w:w="2069" w:type="dxa"/>
            <w:tcBorders>
              <w:bottom w:val="single" w:sz="12" w:space="0" w:color="auto"/>
            </w:tcBorders>
            <w:vAlign w:val="center"/>
            <w:hideMark/>
          </w:tcPr>
          <w:p w14:paraId="02E2D815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—</w:t>
            </w:r>
          </w:p>
        </w:tc>
        <w:tc>
          <w:tcPr>
            <w:tcW w:w="2961" w:type="dxa"/>
            <w:tcBorders>
              <w:bottom w:val="single" w:sz="12" w:space="0" w:color="auto"/>
            </w:tcBorders>
            <w:vAlign w:val="center"/>
            <w:hideMark/>
          </w:tcPr>
          <w:p w14:paraId="5388451E" w14:textId="77777777" w:rsidR="009F79D9" w:rsidRPr="009F79D9" w:rsidRDefault="009F79D9" w:rsidP="009F79D9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79D9">
              <w:rPr>
                <w:rFonts w:ascii="Times New Roman" w:eastAsia="宋体" w:hAnsi="Times New Roman" w:cs="Times New Roman"/>
                <w:sz w:val="21"/>
                <w:szCs w:val="21"/>
              </w:rPr>
              <w:t>No additional smoothing is applied before peak detection</w:t>
            </w:r>
          </w:p>
        </w:tc>
      </w:tr>
    </w:tbl>
    <w:p w14:paraId="19B7B3D2" w14:textId="77777777" w:rsidR="009F79D9" w:rsidRPr="009F79D9" w:rsidRDefault="009F79D9">
      <w:pPr>
        <w:rPr>
          <w:rFonts w:ascii="Times New Roman" w:hAnsi="Times New Roman" w:cs="Times New Roman"/>
        </w:rPr>
      </w:pPr>
    </w:p>
    <w:sectPr w:rsidR="009F79D9" w:rsidRPr="009F79D9" w:rsidSect="008A66D4">
      <w:pgSz w:w="11910" w:h="16840" w:code="9"/>
      <w:pgMar w:top="1134" w:right="1134" w:bottom="1134" w:left="1418" w:header="851" w:footer="992" w:gutter="284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70"/>
    <w:rsid w:val="002A3222"/>
    <w:rsid w:val="007B6231"/>
    <w:rsid w:val="008A66D4"/>
    <w:rsid w:val="009F79D9"/>
    <w:rsid w:val="00B26F8D"/>
    <w:rsid w:val="00C13970"/>
    <w:rsid w:val="00CC3EA9"/>
    <w:rsid w:val="00D5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A6A5"/>
  <w15:chartTrackingRefBased/>
  <w15:docId w15:val="{10206D4A-8A01-4B36-BD61-291EB50A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F79D9"/>
    <w:rPr>
      <w:rFonts w:ascii="宋体" w:eastAsia="宋体" w:hAnsi="宋体" w:cs="宋体"/>
      <w:sz w:val="24"/>
      <w:szCs w:val="24"/>
    </w:rPr>
  </w:style>
  <w:style w:type="character" w:customStyle="1" w:styleId="katex">
    <w:name w:val="katex"/>
    <w:basedOn w:val="a0"/>
    <w:rsid w:val="009F7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7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</dc:creator>
  <cp:keywords/>
  <dc:description/>
  <cp:lastModifiedBy>LYN</cp:lastModifiedBy>
  <cp:revision>3</cp:revision>
  <dcterms:created xsi:type="dcterms:W3CDTF">2026-09-19T09:00:00Z</dcterms:created>
  <dcterms:modified xsi:type="dcterms:W3CDTF">2026-09-19T09:03:00Z</dcterms:modified>
</cp:coreProperties>
</file>