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28A57" w14:textId="77777777" w:rsidR="00F24A6C" w:rsidRDefault="00D743FF" w:rsidP="00D743FF">
      <w:pPr>
        <w:pStyle w:val="Heading2"/>
      </w:pPr>
      <w:r>
        <w:t>Purpose</w:t>
      </w:r>
    </w:p>
    <w:p w14:paraId="7A01EDFD" w14:textId="77777777" w:rsidR="00D743FF" w:rsidRDefault="00D743FF" w:rsidP="00D743FF">
      <w:r>
        <w:t>The purpose of this lab is to determine the acceleration due to gravity</w:t>
      </w:r>
      <w:r w:rsidR="00DD0821">
        <w:t>.</w:t>
      </w:r>
    </w:p>
    <w:p w14:paraId="37140091" w14:textId="77777777" w:rsidR="00D743FF" w:rsidRDefault="00D743FF" w:rsidP="00D743FF">
      <w:pPr>
        <w:pStyle w:val="Heading2"/>
      </w:pPr>
      <w:r>
        <w:t>Hypothesis</w:t>
      </w:r>
    </w:p>
    <w:p w14:paraId="156685AF" w14:textId="63D7CFDB" w:rsidR="00D743FF" w:rsidRDefault="0019291F" w:rsidP="00D743FF">
      <w:r>
        <w:t>If the height an object is dropped from increases, the time it takes to fall to the ground increases</w:t>
      </w:r>
      <w:r w:rsidR="0062424F">
        <w:t xml:space="preserve"> by a value proportional to the height</w:t>
      </w:r>
      <w:r>
        <w:t>.</w:t>
      </w:r>
    </w:p>
    <w:p w14:paraId="1923373C" w14:textId="77777777" w:rsidR="00D743FF" w:rsidRDefault="00D743FF" w:rsidP="00D743FF">
      <w:pPr>
        <w:pStyle w:val="Heading2"/>
      </w:pPr>
      <w:r>
        <w:t>Methodology</w:t>
      </w:r>
    </w:p>
    <w:p w14:paraId="770AB629" w14:textId="46D6D396" w:rsidR="00D743FF" w:rsidRDefault="0038750D" w:rsidP="00D743FF">
      <w:r>
        <w:t xml:space="preserve">During the experiment, a basketball was dropped from differing heights off bleachers. The heights </w:t>
      </w:r>
      <w:r w:rsidR="0062424F">
        <w:t>were</w:t>
      </w:r>
      <w:r>
        <w:t xml:space="preserve"> based off where the </w:t>
      </w:r>
      <w:r w:rsidR="0062424F">
        <w:t>stairs and platforms</w:t>
      </w:r>
      <w:r>
        <w:t xml:space="preserve"> of the bleachers </w:t>
      </w:r>
      <w:r w:rsidR="0062424F">
        <w:t>were</w:t>
      </w:r>
      <w:r>
        <w:t xml:space="preserve">. The first </w:t>
      </w:r>
      <w:r w:rsidR="0062424F">
        <w:t>drop</w:t>
      </w:r>
      <w:r>
        <w:t xml:space="preserve"> (1.54 m) was</w:t>
      </w:r>
      <w:r w:rsidR="0062424F">
        <w:t xml:space="preserve"> done</w:t>
      </w:r>
      <w:r>
        <w:t xml:space="preserve"> halfway up the stairs to the main</w:t>
      </w:r>
      <w:r w:rsidR="0062424F">
        <w:t xml:space="preserve"> walking</w:t>
      </w:r>
      <w:r>
        <w:t xml:space="preserve"> platform of the bleachers. The second (2.96 m) was from the main</w:t>
      </w:r>
      <w:r w:rsidR="0062424F">
        <w:t xml:space="preserve"> walking</w:t>
      </w:r>
      <w:r>
        <w:t xml:space="preserve"> platform of the bleachers, and the third </w:t>
      </w:r>
      <w:r w:rsidR="0062424F">
        <w:t>drop (3.80m)</w:t>
      </w:r>
      <w:r>
        <w:t xml:space="preserve"> was </w:t>
      </w:r>
      <w:r w:rsidR="0062424F">
        <w:t>done</w:t>
      </w:r>
      <w:r>
        <w:t xml:space="preserve"> </w:t>
      </w:r>
      <w:proofErr w:type="gramStart"/>
      <w:r>
        <w:t>off of</w:t>
      </w:r>
      <w:proofErr w:type="gramEnd"/>
      <w:r>
        <w:t xml:space="preserve"> the </w:t>
      </w:r>
      <w:r w:rsidR="0062424F">
        <w:t>stair</w:t>
      </w:r>
      <w:r>
        <w:t xml:space="preserve"> halfway up the bleachers. The ball could not be dropped from any higher than this because our tape measure’s length was limited. The timer was started when a verbal countdown hit zero, and it was stopped once the ball hit the ground. The countdown was the best way that the dropping of  the ball and the starting of the timer could be synchronized.</w:t>
      </w:r>
      <w:r w:rsidR="0062424F">
        <w:t xml:space="preserve"> This countdown and measurement </w:t>
      </w:r>
      <w:proofErr w:type="gramStart"/>
      <w:r w:rsidR="0062424F">
        <w:t>was</w:t>
      </w:r>
      <w:proofErr w:type="gramEnd"/>
      <w:r w:rsidR="0062424F">
        <w:t xml:space="preserve"> repeated</w:t>
      </w:r>
      <w:r w:rsidR="00C422B0">
        <w:t xml:space="preserve"> 3 times for each height to achieve a more accurate measurement.</w:t>
      </w:r>
    </w:p>
    <w:p w14:paraId="70FB3A07" w14:textId="77777777" w:rsidR="00D743FF" w:rsidRDefault="00D743FF" w:rsidP="00D743FF">
      <w:pPr>
        <w:pStyle w:val="Heading2"/>
      </w:pPr>
      <w:r>
        <w:t>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9291F" w14:paraId="33B0A5E3" w14:textId="77777777" w:rsidTr="0019291F">
        <w:tc>
          <w:tcPr>
            <w:tcW w:w="1335" w:type="dxa"/>
          </w:tcPr>
          <w:p w14:paraId="70EE178D" w14:textId="77777777" w:rsidR="0019291F" w:rsidRPr="002E3898" w:rsidRDefault="002E3898" w:rsidP="00D743FF">
            <w:r>
              <w:t>x</w:t>
            </w:r>
            <w:r>
              <w:rPr>
                <w:vertAlign w:val="subscript"/>
              </w:rPr>
              <w:t>i</w:t>
            </w:r>
            <w:r>
              <w:t xml:space="preserve"> (m)</w:t>
            </w:r>
          </w:p>
        </w:tc>
        <w:tc>
          <w:tcPr>
            <w:tcW w:w="1335" w:type="dxa"/>
          </w:tcPr>
          <w:p w14:paraId="790A638C" w14:textId="77777777" w:rsidR="0019291F" w:rsidRPr="002E3898" w:rsidRDefault="002E3898" w:rsidP="002E3898">
            <w:r>
              <w:t>t</w:t>
            </w:r>
            <w:r>
              <w:rPr>
                <w:vertAlign w:val="subscript"/>
              </w:rPr>
              <w:t>1</w:t>
            </w:r>
            <w:r>
              <w:t xml:space="preserve"> (s)</w:t>
            </w:r>
          </w:p>
        </w:tc>
        <w:tc>
          <w:tcPr>
            <w:tcW w:w="1336" w:type="dxa"/>
          </w:tcPr>
          <w:p w14:paraId="1E99DE48" w14:textId="77777777" w:rsidR="0019291F" w:rsidRPr="002E3898" w:rsidRDefault="002E3898" w:rsidP="00D743FF">
            <w:r>
              <w:t>t</w:t>
            </w:r>
            <w:r>
              <w:rPr>
                <w:vertAlign w:val="subscript"/>
              </w:rPr>
              <w:t>2</w:t>
            </w:r>
            <w:r>
              <w:t xml:space="preserve"> (s)</w:t>
            </w:r>
          </w:p>
        </w:tc>
        <w:tc>
          <w:tcPr>
            <w:tcW w:w="1336" w:type="dxa"/>
          </w:tcPr>
          <w:p w14:paraId="0FF143B4" w14:textId="77777777" w:rsidR="0019291F" w:rsidRPr="002E3898" w:rsidRDefault="002E3898" w:rsidP="00D743FF">
            <w:r>
              <w:t>t</w:t>
            </w:r>
            <w:r>
              <w:rPr>
                <w:vertAlign w:val="subscript"/>
              </w:rPr>
              <w:t xml:space="preserve">3 </w:t>
            </w:r>
            <w:r>
              <w:t>(s)</w:t>
            </w:r>
          </w:p>
        </w:tc>
        <w:tc>
          <w:tcPr>
            <w:tcW w:w="1336" w:type="dxa"/>
          </w:tcPr>
          <w:p w14:paraId="35BF182C" w14:textId="77777777" w:rsidR="0019291F" w:rsidRPr="002E3898" w:rsidRDefault="002E3898" w:rsidP="00D743FF">
            <w:proofErr w:type="spellStart"/>
            <w:r>
              <w:t>t</w:t>
            </w:r>
            <w:r>
              <w:rPr>
                <w:vertAlign w:val="subscript"/>
              </w:rPr>
              <w:t>avg</w:t>
            </w:r>
            <w:proofErr w:type="spellEnd"/>
            <w:r>
              <w:t xml:space="preserve"> (s)</w:t>
            </w:r>
          </w:p>
        </w:tc>
        <w:tc>
          <w:tcPr>
            <w:tcW w:w="1336" w:type="dxa"/>
          </w:tcPr>
          <w:p w14:paraId="7F0F2A45" w14:textId="77777777" w:rsidR="0019291F" w:rsidRPr="002E3898" w:rsidRDefault="002E3898" w:rsidP="00D743FF">
            <w:r>
              <w:t>a (m/s</w:t>
            </w:r>
            <w:r>
              <w:rPr>
                <w:vertAlign w:val="superscript"/>
              </w:rPr>
              <w:t>2</w:t>
            </w:r>
            <w:r>
              <w:t>)</w:t>
            </w:r>
          </w:p>
        </w:tc>
        <w:tc>
          <w:tcPr>
            <w:tcW w:w="1336" w:type="dxa"/>
          </w:tcPr>
          <w:p w14:paraId="03D5948D" w14:textId="77777777" w:rsidR="0019291F" w:rsidRDefault="002E3898" w:rsidP="00D743FF">
            <w:r>
              <w:t>% error</w:t>
            </w:r>
          </w:p>
        </w:tc>
      </w:tr>
      <w:tr w:rsidR="0019291F" w14:paraId="740DB149" w14:textId="77777777" w:rsidTr="0019291F">
        <w:tc>
          <w:tcPr>
            <w:tcW w:w="1335" w:type="dxa"/>
          </w:tcPr>
          <w:p w14:paraId="1AD8C5F1" w14:textId="77777777" w:rsidR="0019291F" w:rsidRDefault="002E3898" w:rsidP="00D743FF">
            <w:r>
              <w:t>1.54</w:t>
            </w:r>
          </w:p>
        </w:tc>
        <w:tc>
          <w:tcPr>
            <w:tcW w:w="1335" w:type="dxa"/>
          </w:tcPr>
          <w:p w14:paraId="092E652D" w14:textId="77777777" w:rsidR="0019291F" w:rsidRDefault="002E3898" w:rsidP="00D743FF">
            <w:r>
              <w:t>.83</w:t>
            </w:r>
          </w:p>
        </w:tc>
        <w:tc>
          <w:tcPr>
            <w:tcW w:w="1336" w:type="dxa"/>
          </w:tcPr>
          <w:p w14:paraId="53EC32C8" w14:textId="77777777" w:rsidR="0019291F" w:rsidRDefault="002E3898" w:rsidP="00D743FF">
            <w:r>
              <w:t>.65</w:t>
            </w:r>
          </w:p>
        </w:tc>
        <w:tc>
          <w:tcPr>
            <w:tcW w:w="1336" w:type="dxa"/>
          </w:tcPr>
          <w:p w14:paraId="27650EC8" w14:textId="77777777" w:rsidR="0019291F" w:rsidRDefault="00B3797B" w:rsidP="00D743FF">
            <w:r>
              <w:t>.84</w:t>
            </w:r>
          </w:p>
        </w:tc>
        <w:tc>
          <w:tcPr>
            <w:tcW w:w="1336" w:type="dxa"/>
          </w:tcPr>
          <w:p w14:paraId="6AF4C640" w14:textId="77777777" w:rsidR="0019291F" w:rsidRDefault="00B3797B" w:rsidP="00D743FF">
            <w:r>
              <w:t>.77</w:t>
            </w:r>
          </w:p>
        </w:tc>
        <w:tc>
          <w:tcPr>
            <w:tcW w:w="1336" w:type="dxa"/>
          </w:tcPr>
          <w:p w14:paraId="4B667CE9" w14:textId="77777777" w:rsidR="0019291F" w:rsidRDefault="00E2752A" w:rsidP="00D743FF">
            <w:r>
              <w:t>-5.19</w:t>
            </w:r>
          </w:p>
        </w:tc>
        <w:tc>
          <w:tcPr>
            <w:tcW w:w="1336" w:type="dxa"/>
          </w:tcPr>
          <w:p w14:paraId="35D2D3A2" w14:textId="77777777" w:rsidR="0019291F" w:rsidRDefault="00E2752A" w:rsidP="00D743FF">
            <w:r>
              <w:t>153%</w:t>
            </w:r>
          </w:p>
        </w:tc>
      </w:tr>
      <w:tr w:rsidR="0019291F" w14:paraId="70C229A0" w14:textId="77777777" w:rsidTr="0019291F">
        <w:tc>
          <w:tcPr>
            <w:tcW w:w="1335" w:type="dxa"/>
          </w:tcPr>
          <w:p w14:paraId="4C5729A4" w14:textId="77777777" w:rsidR="0019291F" w:rsidRDefault="002E3898" w:rsidP="00D743FF">
            <w:r>
              <w:t>2.96</w:t>
            </w:r>
          </w:p>
        </w:tc>
        <w:tc>
          <w:tcPr>
            <w:tcW w:w="1335" w:type="dxa"/>
          </w:tcPr>
          <w:p w14:paraId="46E5569D" w14:textId="77777777" w:rsidR="0019291F" w:rsidRDefault="00B3797B" w:rsidP="00D743FF">
            <w:r>
              <w:t>.97</w:t>
            </w:r>
          </w:p>
        </w:tc>
        <w:tc>
          <w:tcPr>
            <w:tcW w:w="1336" w:type="dxa"/>
          </w:tcPr>
          <w:p w14:paraId="67389D4C" w14:textId="77777777" w:rsidR="0019291F" w:rsidRDefault="00B3797B" w:rsidP="00D743FF">
            <w:r>
              <w:t>.90</w:t>
            </w:r>
          </w:p>
        </w:tc>
        <w:tc>
          <w:tcPr>
            <w:tcW w:w="1336" w:type="dxa"/>
          </w:tcPr>
          <w:p w14:paraId="01F76BC4" w14:textId="77777777" w:rsidR="0019291F" w:rsidRDefault="00B3797B" w:rsidP="00D743FF">
            <w:r>
              <w:t>.92</w:t>
            </w:r>
          </w:p>
        </w:tc>
        <w:tc>
          <w:tcPr>
            <w:tcW w:w="1336" w:type="dxa"/>
          </w:tcPr>
          <w:p w14:paraId="0BEDFB0C" w14:textId="77777777" w:rsidR="0019291F" w:rsidRDefault="00B3797B" w:rsidP="00D743FF">
            <w:r>
              <w:t>.93</w:t>
            </w:r>
          </w:p>
        </w:tc>
        <w:tc>
          <w:tcPr>
            <w:tcW w:w="1336" w:type="dxa"/>
          </w:tcPr>
          <w:p w14:paraId="43C4C1B8" w14:textId="77777777" w:rsidR="0019291F" w:rsidRDefault="00E2752A" w:rsidP="00D743FF">
            <w:r>
              <w:t>-6.84</w:t>
            </w:r>
          </w:p>
        </w:tc>
        <w:tc>
          <w:tcPr>
            <w:tcW w:w="1336" w:type="dxa"/>
          </w:tcPr>
          <w:p w14:paraId="6E488FD1" w14:textId="77777777" w:rsidR="0019291F" w:rsidRDefault="00E2752A" w:rsidP="00D743FF">
            <w:r>
              <w:t>169%</w:t>
            </w:r>
          </w:p>
        </w:tc>
      </w:tr>
      <w:tr w:rsidR="0019291F" w14:paraId="652E2C45" w14:textId="77777777" w:rsidTr="0019291F">
        <w:tc>
          <w:tcPr>
            <w:tcW w:w="1335" w:type="dxa"/>
          </w:tcPr>
          <w:p w14:paraId="63C3E41F" w14:textId="77777777" w:rsidR="0019291F" w:rsidRDefault="002E3898" w:rsidP="00D743FF">
            <w:r>
              <w:t>3.80</w:t>
            </w:r>
          </w:p>
        </w:tc>
        <w:tc>
          <w:tcPr>
            <w:tcW w:w="1335" w:type="dxa"/>
          </w:tcPr>
          <w:p w14:paraId="6D1362FC" w14:textId="77777777" w:rsidR="0019291F" w:rsidRDefault="00B3797B" w:rsidP="00D743FF">
            <w:r>
              <w:t>.95</w:t>
            </w:r>
          </w:p>
        </w:tc>
        <w:tc>
          <w:tcPr>
            <w:tcW w:w="1336" w:type="dxa"/>
          </w:tcPr>
          <w:p w14:paraId="1BC942B4" w14:textId="77777777" w:rsidR="0019291F" w:rsidRDefault="00B3797B" w:rsidP="00D743FF">
            <w:r>
              <w:t>1.20</w:t>
            </w:r>
          </w:p>
        </w:tc>
        <w:tc>
          <w:tcPr>
            <w:tcW w:w="1336" w:type="dxa"/>
          </w:tcPr>
          <w:p w14:paraId="1310AF43" w14:textId="77777777" w:rsidR="0019291F" w:rsidRDefault="00B3797B" w:rsidP="00D743FF">
            <w:r>
              <w:t>1.12</w:t>
            </w:r>
          </w:p>
        </w:tc>
        <w:tc>
          <w:tcPr>
            <w:tcW w:w="1336" w:type="dxa"/>
          </w:tcPr>
          <w:p w14:paraId="022055D7" w14:textId="77777777" w:rsidR="0019291F" w:rsidRDefault="00B3797B" w:rsidP="00D743FF">
            <w:r>
              <w:t>1.09</w:t>
            </w:r>
          </w:p>
        </w:tc>
        <w:tc>
          <w:tcPr>
            <w:tcW w:w="1336" w:type="dxa"/>
          </w:tcPr>
          <w:p w14:paraId="2D89CAEF" w14:textId="77777777" w:rsidR="0019291F" w:rsidRDefault="00E2752A" w:rsidP="00D743FF">
            <w:r>
              <w:t>-6.40</w:t>
            </w:r>
          </w:p>
        </w:tc>
        <w:tc>
          <w:tcPr>
            <w:tcW w:w="1336" w:type="dxa"/>
          </w:tcPr>
          <w:p w14:paraId="1A3B04A7" w14:textId="77777777" w:rsidR="0019291F" w:rsidRDefault="00E2752A" w:rsidP="00D743FF">
            <w:r>
              <w:t>165%</w:t>
            </w:r>
          </w:p>
        </w:tc>
      </w:tr>
    </w:tbl>
    <w:p w14:paraId="37653659" w14:textId="77777777" w:rsidR="00D743FF" w:rsidRDefault="00D743FF" w:rsidP="00D743FF"/>
    <w:p w14:paraId="40E2C1A9" w14:textId="77777777" w:rsidR="00D743FF" w:rsidRDefault="00D743FF" w:rsidP="00D743FF">
      <w:pPr>
        <w:pStyle w:val="Heading2"/>
      </w:pPr>
      <w:r>
        <w:t>Constants and Equations</w:t>
      </w:r>
    </w:p>
    <w:p w14:paraId="375BE5F5" w14:textId="3716DD41" w:rsidR="00C422B0" w:rsidRPr="00C422B0" w:rsidRDefault="00C422B0" w:rsidP="00D743FF">
      <w:pPr>
        <w:rPr>
          <w:rFonts w:asciiTheme="majorHAnsi" w:eastAsiaTheme="majorEastAsia" w:hAnsiTheme="majorHAnsi" w:cstheme="majorBidi"/>
          <w:i/>
          <w:iCs/>
        </w:rPr>
      </w:pPr>
      <m:oMathPara>
        <m:oMath>
          <m:sSub>
            <m:sSubPr>
              <m:ctrlPr>
                <w:rPr>
                  <w:rFonts w:ascii="Cambria Math" w:eastAsiaTheme="majorEastAsia" w:hAnsi="Cambria Math" w:cstheme="majorBidi"/>
                  <w:i/>
                  <w:iCs/>
                </w:rPr>
              </m:ctrlPr>
            </m:sSubPr>
            <m:e>
              <m:r>
                <w:rPr>
                  <w:rFonts w:ascii="Cambria Math" w:eastAsiaTheme="majorEastAsia" w:hAnsi="Cambria Math" w:cstheme="majorBidi"/>
                </w:rPr>
                <m:t>x</m:t>
              </m:r>
            </m:e>
            <m:sub>
              <m:r>
                <w:rPr>
                  <w:rFonts w:ascii="Cambria Math" w:eastAsiaTheme="majorEastAsia" w:hAnsi="Cambria Math" w:cstheme="majorBidi"/>
                </w:rPr>
                <m:t>f</m:t>
              </m:r>
            </m:sub>
          </m:sSub>
          <m:r>
            <w:rPr>
              <w:rFonts w:ascii="Cambria Math" w:eastAsiaTheme="majorEastAsia" w:hAnsi="Cambria Math" w:cstheme="majorBidi"/>
            </w:rPr>
            <m:t>=0</m:t>
          </m:r>
        </m:oMath>
      </m:oMathPara>
    </w:p>
    <w:p w14:paraId="0332C63B" w14:textId="5B506B83" w:rsidR="00C422B0" w:rsidRPr="00C422B0" w:rsidRDefault="00C422B0" w:rsidP="00D743FF">
      <w:pPr>
        <w:rPr>
          <w:rFonts w:asciiTheme="majorHAnsi" w:eastAsiaTheme="majorEastAsia" w:hAnsiTheme="majorHAnsi" w:cstheme="majorBidi"/>
        </w:rPr>
      </w:pPr>
      <m:oMathPara>
        <m:oMath>
          <m:r>
            <w:rPr>
              <w:rFonts w:ascii="Cambria Math" w:eastAsiaTheme="majorEastAsia" w:hAnsi="Cambria Math" w:cstheme="majorBidi"/>
            </w:rPr>
            <m:t>act=-9.8</m:t>
          </m:r>
        </m:oMath>
      </m:oMathPara>
    </w:p>
    <w:p w14:paraId="562C3541" w14:textId="06EC6E9B" w:rsidR="00D743FF" w:rsidRPr="00C63FE9" w:rsidRDefault="00DB120E" w:rsidP="00D743F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avg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7903D5AD" w14:textId="77777777" w:rsidR="00D743FF" w:rsidRDefault="00C63FE9" w:rsidP="00D743FF">
      <m:oMathPara>
        <m:oMath>
          <m:r>
            <w:rPr>
              <w:rFonts w:ascii="Cambria Math" w:hAnsi="Cambria Math"/>
            </w:rPr>
            <m:t>% error=</m:t>
          </m:r>
          <m:f>
            <m:fPr>
              <m:ctrlPr>
                <w:rPr>
                  <w:rFonts w:ascii="Cambria Math" w:eastAsiaTheme="minorEastAsia" w:hAnsi="Cambria Math"/>
                  <w:i/>
                </w:rPr>
              </m:ctrlPr>
            </m:fPr>
            <m:num>
              <m:r>
                <w:rPr>
                  <w:rFonts w:ascii="Cambria Math" w:eastAsiaTheme="minorEastAsia" w:hAnsi="Cambria Math"/>
                </w:rPr>
                <m:t>a-act</m:t>
              </m:r>
            </m:num>
            <m:den>
              <m:r>
                <w:rPr>
                  <w:rFonts w:ascii="Cambria Math" w:eastAsiaTheme="minorEastAsia" w:hAnsi="Cambria Math"/>
                </w:rPr>
                <m:t>act</m:t>
              </m:r>
            </m:den>
          </m:f>
          <m:r>
            <w:rPr>
              <w:rFonts w:ascii="Cambria Math" w:eastAsiaTheme="minorEastAsia" w:hAnsi="Cambria Math"/>
            </w:rPr>
            <m:t>*100</m:t>
          </m:r>
        </m:oMath>
      </m:oMathPara>
    </w:p>
    <w:p w14:paraId="2329509A" w14:textId="77777777" w:rsidR="00D743FF" w:rsidRDefault="00D743FF" w:rsidP="00D743FF">
      <w:pPr>
        <w:pStyle w:val="Heading2"/>
      </w:pPr>
      <w:r>
        <w:t>Analysis</w:t>
      </w:r>
    </w:p>
    <w:p w14:paraId="0305D614" w14:textId="4E9860D9" w:rsidR="00D743FF" w:rsidRPr="00D743FF" w:rsidRDefault="00897BB4" w:rsidP="00D743FF">
      <w:r>
        <w:t>The data does not support the hypothesis due to the high percent error</w:t>
      </w:r>
      <w:r w:rsidR="0038750D">
        <w:t>.</w:t>
      </w:r>
      <w:r>
        <w:t xml:space="preserve"> However, the data was very precise, which indicates constant acceleration.</w:t>
      </w:r>
      <w:r w:rsidR="0038750D">
        <w:t xml:space="preserve"> One possible error was that the timer may not have been started as soon as the ball was dropped. This would have resulted in the shorter times and the higher percent error. </w:t>
      </w:r>
      <w:r>
        <w:t xml:space="preserve">Another possible source of error is </w:t>
      </w:r>
      <w:r w:rsidR="004934A5">
        <w:t>that the ball may have accidentally been given lift, causing it to start to move downwards later.</w:t>
      </w:r>
      <w:bookmarkStart w:id="0" w:name="_GoBack"/>
      <w:bookmarkEnd w:id="0"/>
    </w:p>
    <w:sectPr w:rsidR="00D743FF" w:rsidRPr="00D7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zGwMDYwNzU1tjRQ0lEKTi0uzszPAykwqgUAdjWr5ywAAAA="/>
  </w:docVars>
  <w:rsids>
    <w:rsidRoot w:val="00D743FF"/>
    <w:rsid w:val="0019291F"/>
    <w:rsid w:val="0022063F"/>
    <w:rsid w:val="002E3898"/>
    <w:rsid w:val="00381AEF"/>
    <w:rsid w:val="0038750D"/>
    <w:rsid w:val="004934A5"/>
    <w:rsid w:val="004B5C61"/>
    <w:rsid w:val="0062424F"/>
    <w:rsid w:val="00897BB4"/>
    <w:rsid w:val="00B3797B"/>
    <w:rsid w:val="00C422B0"/>
    <w:rsid w:val="00C63FE9"/>
    <w:rsid w:val="00D743FF"/>
    <w:rsid w:val="00DB120E"/>
    <w:rsid w:val="00DD0821"/>
    <w:rsid w:val="00E2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FAA5"/>
  <w15:chartTrackingRefBased/>
  <w15:docId w15:val="{9EF21321-27EA-4862-9529-BEEA055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4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43F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9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7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91AF7-5469-4876-83AB-392C1F66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2020-10-20T14:28:00Z</dcterms:created>
  <dcterms:modified xsi:type="dcterms:W3CDTF">2020-10-20T14:28:00Z</dcterms:modified>
</cp:coreProperties>
</file>