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left"/>
        <w:rPr/>
      </w:pPr>
      <w:r>
        <w:rPr/>
        <w:t>Beacon Q3 2026 Customer Health Review</w:t>
      </w:r>
    </w:p>
    <w:p>
      <w:pPr>
        <w:pStyle w:val="BodyText"/>
        <w:bidi w:val="0"/>
        <w:jc w:val="left"/>
        <w:rPr/>
      </w:pPr>
      <w:r>
        <w:rPr/>
        <w:t>Meeting date: September 22, 2026. Facilitator: Samira Cole, Customer Success.</w:t>
      </w:r>
    </w:p>
    <w:p>
      <w:pPr>
        <w:pStyle w:val="Heading2"/>
        <w:bidi w:val="0"/>
        <w:jc w:val="left"/>
        <w:rPr/>
      </w:pPr>
      <w:r>
        <w:rPr/>
        <w:t>Attendees</w:t>
      </w:r>
    </w:p>
    <w:p>
      <w:pPr>
        <w:pStyle w:val="BodyText"/>
        <w:numPr>
          <w:ilvl w:val="0"/>
          <w:numId w:val="1"/>
        </w:numPr>
        <w:tabs>
          <w:tab w:val="clear" w:pos="1134"/>
          <w:tab w:val="left" w:pos="709" w:leader="none"/>
        </w:tabs>
        <w:bidi w:val="0"/>
        <w:spacing w:before="0" w:after="0"/>
        <w:ind w:hanging="283" w:left="709"/>
        <w:jc w:val="left"/>
        <w:rPr/>
      </w:pPr>
      <w:r>
        <w:rPr/>
        <w:t xml:space="preserve">Samira Cole, Customer Success </w:t>
      </w:r>
    </w:p>
    <w:p>
      <w:pPr>
        <w:pStyle w:val="BodyText"/>
        <w:numPr>
          <w:ilvl w:val="0"/>
          <w:numId w:val="1"/>
        </w:numPr>
        <w:tabs>
          <w:tab w:val="clear" w:pos="1134"/>
          <w:tab w:val="left" w:pos="709" w:leader="none"/>
        </w:tabs>
        <w:bidi w:val="0"/>
        <w:spacing w:before="0" w:after="0"/>
        <w:ind w:hanging="283" w:left="709"/>
        <w:jc w:val="left"/>
        <w:rPr/>
      </w:pPr>
      <w:r>
        <w:rPr/>
        <w:t xml:space="preserve">Avery Stone, Sales </w:t>
      </w:r>
    </w:p>
    <w:p>
      <w:pPr>
        <w:pStyle w:val="BodyText"/>
        <w:numPr>
          <w:ilvl w:val="0"/>
          <w:numId w:val="1"/>
        </w:numPr>
        <w:tabs>
          <w:tab w:val="clear" w:pos="1134"/>
          <w:tab w:val="left" w:pos="709" w:leader="none"/>
        </w:tabs>
        <w:bidi w:val="0"/>
        <w:ind w:hanging="283" w:left="709"/>
        <w:jc w:val="left"/>
        <w:rPr/>
      </w:pPr>
      <w:r>
        <w:rPr/>
        <w:t xml:space="preserve">Leo Martin, Beacon reporting </w:t>
      </w:r>
    </w:p>
    <w:p>
      <w:pPr>
        <w:pStyle w:val="Heading2"/>
        <w:bidi w:val="0"/>
        <w:jc w:val="left"/>
        <w:rPr/>
      </w:pPr>
      <w:r>
        <w:rPr/>
        <w:t>Summary</w:t>
      </w:r>
    </w:p>
    <w:p>
      <w:pPr>
        <w:pStyle w:val="BodyText"/>
        <w:bidi w:val="0"/>
        <w:jc w:val="left"/>
        <w:rPr/>
      </w:pPr>
      <w:r>
        <w:rPr/>
        <w:t>Beacon closed the third quarter with 41 active customer accounts. Three accounts were rated at risk, all because of delayed dashboard refreshes rather than product defects. No Beacon customer cancelled during the quarter.</w:t>
      </w:r>
    </w:p>
    <w:p>
      <w:pPr>
        <w:pStyle w:val="Heading2"/>
        <w:bidi w:val="0"/>
        <w:jc w:val="left"/>
        <w:rPr/>
      </w:pPr>
      <w:r>
        <w:rPr/>
        <w:t>Account health</w:t>
      </w:r>
    </w:p>
    <w:tbl>
      <w:tblPr>
        <w:tblW w:w="6773" w:type="dxa"/>
        <w:jc w:val="left"/>
        <w:tblInd w:w="28" w:type="dxa"/>
        <w:tblLayout w:type="fixed"/>
        <w:tblCellMar>
          <w:top w:w="28" w:type="dxa"/>
          <w:left w:w="28" w:type="dxa"/>
          <w:bottom w:w="28" w:type="dxa"/>
          <w:right w:w="28" w:type="dxa"/>
        </w:tblCellMar>
      </w:tblPr>
      <w:tblGrid>
        <w:gridCol w:w="880"/>
        <w:gridCol w:w="1052"/>
        <w:gridCol w:w="4841"/>
      </w:tblGrid>
      <w:tr>
        <w:trPr/>
        <w:tc>
          <w:tcPr>
            <w:tcW w:w="880"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bidi w:val="0"/>
              <w:spacing w:before="0" w:after="283"/>
              <w:jc w:val="center"/>
              <w:rPr/>
            </w:pPr>
            <w:r>
              <w:rPr/>
              <w:t>Rating</w:t>
            </w:r>
          </w:p>
        </w:tc>
        <w:tc>
          <w:tcPr>
            <w:tcW w:w="1052"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bidi w:val="0"/>
              <w:spacing w:before="0" w:after="283"/>
              <w:jc w:val="center"/>
              <w:rPr/>
            </w:pPr>
            <w:r>
              <w:rPr/>
              <w:t>Accounts</w:t>
            </w:r>
          </w:p>
        </w:tc>
        <w:tc>
          <w:tcPr>
            <w:tcW w:w="4841"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bidi w:val="0"/>
              <w:spacing w:before="0" w:after="283"/>
              <w:jc w:val="center"/>
              <w:rPr/>
            </w:pPr>
            <w:r>
              <w:rPr/>
              <w:t>Main driver</w:t>
            </w:r>
          </w:p>
        </w:tc>
      </w:tr>
      <w:tr>
        <w:trPr/>
        <w:tc>
          <w:tcPr>
            <w:tcW w:w="880"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Healthy</w:t>
            </w:r>
          </w:p>
        </w:tc>
        <w:tc>
          <w:tcPr>
            <w:tcW w:w="1052"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32</w:t>
            </w:r>
          </w:p>
        </w:tc>
        <w:tc>
          <w:tcPr>
            <w:tcW w:w="4841"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Weekly dashboard usage above target</w:t>
            </w:r>
          </w:p>
        </w:tc>
      </w:tr>
      <w:tr>
        <w:trPr/>
        <w:tc>
          <w:tcPr>
            <w:tcW w:w="880"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Watch</w:t>
            </w:r>
          </w:p>
        </w:tc>
        <w:tc>
          <w:tcPr>
            <w:tcW w:w="1052"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6</w:t>
            </w:r>
          </w:p>
        </w:tc>
        <w:tc>
          <w:tcPr>
            <w:tcW w:w="4841"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Usage dropped after a reporting owner left</w:t>
            </w:r>
          </w:p>
        </w:tc>
      </w:tr>
      <w:tr>
        <w:trPr/>
        <w:tc>
          <w:tcPr>
            <w:tcW w:w="880"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At risk</w:t>
            </w:r>
          </w:p>
        </w:tc>
        <w:tc>
          <w:tcPr>
            <w:tcW w:w="1052"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3</w:t>
            </w:r>
          </w:p>
        </w:tc>
        <w:tc>
          <w:tcPr>
            <w:tcW w:w="4841"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Dashboard refreshes delayed more than 24 hours</w:t>
            </w:r>
          </w:p>
        </w:tc>
      </w:tr>
    </w:tbl>
    <w:p>
      <w:pPr>
        <w:pStyle w:val="Heading2"/>
        <w:bidi w:val="0"/>
        <w:jc w:val="left"/>
        <w:rPr/>
      </w:pPr>
      <w:r>
        <w:rPr/>
        <w:t>Decisions</w:t>
      </w:r>
    </w:p>
    <w:p>
      <w:pPr>
        <w:pStyle w:val="BodyText"/>
        <w:numPr>
          <w:ilvl w:val="0"/>
          <w:numId w:val="2"/>
        </w:numPr>
        <w:tabs>
          <w:tab w:val="clear" w:pos="1134"/>
          <w:tab w:val="left" w:pos="709" w:leader="none"/>
        </w:tabs>
        <w:bidi w:val="0"/>
        <w:spacing w:before="0" w:after="0"/>
        <w:ind w:hanging="283" w:left="709"/>
        <w:jc w:val="left"/>
        <w:rPr/>
      </w:pPr>
      <w:r>
        <w:rPr/>
        <w:t xml:space="preserve">Customer Success will contact all three at-risk accounts by September 29, 2026. </w:t>
      </w:r>
    </w:p>
    <w:p>
      <w:pPr>
        <w:pStyle w:val="BodyText"/>
        <w:numPr>
          <w:ilvl w:val="0"/>
          <w:numId w:val="2"/>
        </w:numPr>
        <w:tabs>
          <w:tab w:val="clear" w:pos="1134"/>
          <w:tab w:val="left" w:pos="709" w:leader="none"/>
        </w:tabs>
        <w:bidi w:val="0"/>
        <w:ind w:hanging="283" w:left="709"/>
        <w:jc w:val="left"/>
        <w:rPr/>
      </w:pPr>
      <w:r>
        <w:rPr/>
        <w:t xml:space="preserve">Leo Martin will publish a dashboard refresh status page before the next review. </w:t>
      </w:r>
    </w:p>
    <w:p>
      <w:pPr>
        <w:pStyle w:val="Heading2"/>
        <w:bidi w:val="0"/>
        <w:jc w:val="left"/>
        <w:rPr/>
      </w:pPr>
      <w:r>
        <w:rPr/>
        <w:t>Action items</w:t>
      </w:r>
    </w:p>
    <w:tbl>
      <w:tblPr>
        <w:tblW w:w="7450" w:type="dxa"/>
        <w:jc w:val="left"/>
        <w:tblInd w:w="28" w:type="dxa"/>
        <w:tblLayout w:type="fixed"/>
        <w:tblCellMar>
          <w:top w:w="28" w:type="dxa"/>
          <w:left w:w="28" w:type="dxa"/>
          <w:bottom w:w="28" w:type="dxa"/>
          <w:right w:w="28" w:type="dxa"/>
        </w:tblCellMar>
      </w:tblPr>
      <w:tblGrid>
        <w:gridCol w:w="1326"/>
        <w:gridCol w:w="4855"/>
        <w:gridCol w:w="1269"/>
      </w:tblGrid>
      <w:tr>
        <w:trPr/>
        <w:tc>
          <w:tcPr>
            <w:tcW w:w="1326"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bidi w:val="0"/>
              <w:spacing w:before="0" w:after="283"/>
              <w:jc w:val="center"/>
              <w:rPr/>
            </w:pPr>
            <w:r>
              <w:rPr/>
              <w:t>Owner</w:t>
            </w:r>
          </w:p>
        </w:tc>
        <w:tc>
          <w:tcPr>
            <w:tcW w:w="4855"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bidi w:val="0"/>
              <w:spacing w:before="0" w:after="283"/>
              <w:jc w:val="center"/>
              <w:rPr/>
            </w:pPr>
            <w:r>
              <w:rPr/>
              <w:t>Action</w:t>
            </w:r>
          </w:p>
        </w:tc>
        <w:tc>
          <w:tcPr>
            <w:tcW w:w="1269" w:type="dxa"/>
            <w:tcBorders>
              <w:top w:val="double" w:sz="2" w:space="0" w:color="808080"/>
              <w:left w:val="double" w:sz="2" w:space="0" w:color="808080"/>
              <w:bottom w:val="double" w:sz="2" w:space="0" w:color="808080"/>
              <w:right w:val="double" w:sz="2" w:space="0" w:color="808080"/>
            </w:tcBorders>
            <w:vAlign w:val="center"/>
          </w:tcPr>
          <w:p>
            <w:pPr>
              <w:pStyle w:val="TableHeading"/>
              <w:suppressLineNumbers/>
              <w:bidi w:val="0"/>
              <w:spacing w:before="0" w:after="283"/>
              <w:jc w:val="center"/>
              <w:rPr/>
            </w:pPr>
            <w:r>
              <w:rPr/>
              <w:t>Due</w:t>
            </w:r>
          </w:p>
        </w:tc>
      </w:tr>
      <w:tr>
        <w:trPr/>
        <w:tc>
          <w:tcPr>
            <w:tcW w:w="1326"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Samira Cole</w:t>
            </w:r>
          </w:p>
        </w:tc>
        <w:tc>
          <w:tcPr>
            <w:tcW w:w="4855"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Call the three at-risk accounts</w:t>
            </w:r>
          </w:p>
        </w:tc>
        <w:tc>
          <w:tcPr>
            <w:tcW w:w="1269"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2026-09-29</w:t>
            </w:r>
          </w:p>
        </w:tc>
      </w:tr>
      <w:tr>
        <w:trPr/>
        <w:tc>
          <w:tcPr>
            <w:tcW w:w="1326"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Leo Martin</w:t>
            </w:r>
          </w:p>
        </w:tc>
        <w:tc>
          <w:tcPr>
            <w:tcW w:w="4855"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Draft the refresh status page</w:t>
            </w:r>
          </w:p>
        </w:tc>
        <w:tc>
          <w:tcPr>
            <w:tcW w:w="1269"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2026-10-06</w:t>
            </w:r>
          </w:p>
        </w:tc>
      </w:tr>
      <w:tr>
        <w:trPr/>
        <w:tc>
          <w:tcPr>
            <w:tcW w:w="1326"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Avery Stone</w:t>
            </w:r>
          </w:p>
        </w:tc>
        <w:tc>
          <w:tcPr>
            <w:tcW w:w="4855"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pPr>
            <w:r>
              <w:rPr/>
              <w:t>Confirm renewal dates for the six watch accounts</w:t>
            </w:r>
          </w:p>
        </w:tc>
        <w:tc>
          <w:tcPr>
            <w:tcW w:w="1269" w:type="dxa"/>
            <w:tcBorders>
              <w:left w:val="double" w:sz="2" w:space="0" w:color="808080"/>
              <w:bottom w:val="double" w:sz="2" w:space="0" w:color="808080"/>
              <w:right w:val="double" w:sz="2" w:space="0" w:color="808080"/>
            </w:tcBorders>
            <w:vAlign w:val="center"/>
          </w:tcPr>
          <w:p>
            <w:pPr>
              <w:pStyle w:val="TableContents"/>
              <w:bidi w:val="0"/>
              <w:spacing w:before="0" w:after="283"/>
              <w:jc w:val="left"/>
              <w:rPr>
                <w:sz w:val="4"/>
                <w:szCs w:val="4"/>
              </w:rPr>
            </w:pPr>
            <w:r>
              <w:rPr>
                <w:sz w:val="4"/>
                <w:szCs w:val="4"/>
              </w:rPr>
            </w:r>
          </w:p>
        </w:tc>
      </w:tr>
    </w:tbl>
    <w:p>
      <w:pPr>
        <w:pStyle w:val="BodyText"/>
        <w:bidi w:val="0"/>
        <w:spacing w:before="0" w:after="283"/>
        <w:jc w:val="left"/>
        <w:rPr/>
      </w:pPr>
      <w:r>
        <w:rPr/>
        <w:t>The next Beacon customer health review is scheduled for December 15, 2026.</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Beacon Q3 2026 Customer Health Review</dc:title>
</cp:coreProperties>
</file>

<file path=docProps/custom.xml><?xml version="1.0" encoding="utf-8"?>
<Properties xmlns="http://schemas.openxmlformats.org/officeDocument/2006/custom-properties" xmlns:vt="http://schemas.openxmlformats.org/officeDocument/2006/docPropsVTypes"/>
</file>