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h9ff619es3k" w:id="0"/>
      <w:bookmarkEnd w:id="0"/>
      <w:r w:rsidDel="00000000" w:rsidR="00000000" w:rsidRPr="00000000">
        <w:rPr>
          <w:rtl w:val="0"/>
        </w:rPr>
        <w:t xml:space="preserve">ATTORNEY ERRATA MEMORANDUM — Golden Set CA-Notice v0.3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Erratum IDs:</w:t>
      </w:r>
      <w:r w:rsidDel="00000000" w:rsidR="00000000" w:rsidRPr="00000000">
        <w:rPr>
          <w:rtl w:val="0"/>
        </w:rPr>
        <w:t xml:space="preserve"> ERRATUM-2026-001 (CA-NOT-C-21); ERRATUM-2026-002 (CA-NOT-C-22) </w:t>
      </w:r>
      <w:r w:rsidDel="00000000" w:rsidR="00000000" w:rsidRPr="00000000">
        <w:rPr>
          <w:b w:val="1"/>
          <w:bCs w:val="1"/>
          <w:rtl w:val="0"/>
        </w:rPr>
        <w:t xml:space="preserve">Date of determination:</w:t>
      </w:r>
      <w:r w:rsidDel="00000000" w:rsidR="00000000" w:rsidRPr="00000000">
        <w:rPr>
          <w:rtl w:val="0"/>
        </w:rPr>
        <w:t xml:space="preserve"> 2026-07-19 </w:t>
      </w:r>
      <w:r w:rsidDel="00000000" w:rsidR="00000000" w:rsidRPr="00000000">
        <w:rPr>
          <w:b w:val="1"/>
          <w:bCs w:val="1"/>
          <w:rtl w:val="0"/>
        </w:rPr>
        <w:t xml:space="preserve">Attorney of record:</w:t>
      </w:r>
      <w:r w:rsidDel="00000000" w:rsidR="00000000" w:rsidRPr="00000000">
        <w:rPr>
          <w:rtl w:val="0"/>
        </w:rPr>
        <w:t xml:space="preserve"> Andrew M. Cohen </w:t>
      </w:r>
      <w:r w:rsidDel="00000000" w:rsidR="00000000" w:rsidRPr="00000000">
        <w:rPr>
          <w:b w:val="1"/>
          <w:bCs w:val="1"/>
          <w:rtl w:val="0"/>
        </w:rPr>
        <w:t xml:space="preserve">Affected artifact: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goldenset_CA_notice_v0.3_FROZEN_20260716.xlsx</w:t>
      </w:r>
      <w:r w:rsidDel="00000000" w:rsidR="00000000" w:rsidRPr="00000000">
        <w:rPr>
          <w:rtl w:val="0"/>
        </w:rPr>
        <w:t xml:space="preserve"> (SHA256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e6dbb2fcb60de0773f9ff5594e09f74c6a6bac5670c70bd9bb76d70e2645df45</w:t>
      </w:r>
      <w:r w:rsidDel="00000000" w:rsidR="00000000" w:rsidRPr="00000000">
        <w:rPr>
          <w:rtl w:val="0"/>
        </w:rPr>
        <w:t xml:space="preserve">) — file remains byte-identical and BURNED; this memorandum is the authoritative correction overlay and travels with the file wherever it is cited.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v0.3 held-out scoring run of 2026-07-19 (scorer v2.0-excel-native) and the resulting miss autopsy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AUTOPSY_v0_3_MISSES_20260719.md</w:t>
      </w:r>
      <w:r w:rsidDel="00000000" w:rsidR="00000000" w:rsidRPr="00000000">
        <w:rPr>
          <w:rtl w:val="0"/>
        </w:rPr>
        <w:t xml:space="preserve">), which surfaced dual-model-consensus disagreement with frozen ground truth on the two items corrected herein.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6qf3rkxacoy" w:id="1"/>
      <w:bookmarkEnd w:id="1"/>
      <w:r w:rsidDel="00000000" w:rsidR="00000000" w:rsidRPr="00000000">
        <w:rPr>
          <w:rtl w:val="0"/>
        </w:rPr>
        <w:t xml:space="preserve">1. Determination of law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Civil Code §1946.1 governs the length of notice required to terminate a residential periodic tenancy, independently of and in addition to the just-cause requirements of Civil Code §1946.2 (AB 1482):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§1946.1(b):</w:t>
      </w:r>
      <w:r w:rsidDel="00000000" w:rsidR="00000000" w:rsidRPr="00000000">
        <w:rPr>
          <w:rtl w:val="0"/>
        </w:rPr>
        <w:t xml:space="preserve"> an owner "shall give notice at least 60 days prior to the proposed date of termination."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§1946.1(c):</w:t>
      </w:r>
      <w:r w:rsidDel="00000000" w:rsidR="00000000" w:rsidRPr="00000000">
        <w:rPr>
          <w:rtl w:val="0"/>
        </w:rPr>
        <w:t xml:space="preserve"> notwithstanding (b), 30 days' notice suffices only where no tenant or resident has resided in the dwelling for one year or more.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Stancil v. Superior Court (2021) 11 Cal.5th 381:</w:t>
      </w:r>
      <w:r w:rsidDel="00000000" w:rsidR="00000000" w:rsidRPr="00000000">
        <w:rPr>
          <w:rtl w:val="0"/>
        </w:rPr>
        <w:t xml:space="preserve"> the 60-day requirement attaches once any tenant has resided continuously for one year or more.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§1946.1(d):</w:t>
      </w:r>
      <w:r w:rsidDel="00000000" w:rsidR="00000000" w:rsidRPr="00000000">
        <w:rPr>
          <w:rtl w:val="0"/>
        </w:rPr>
        <w:t xml:space="preserve"> the sole path to a 30-day notice for a 1+-year tenancy is the sale exception (dwelling alienable separate from title; bona fide sale; escrow and related conditions) — not present in either item's facts.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 exemption from AB 1482 just cause under Civil Code §1946.2(e)(7) or (e)(8) removes the just-cause obligation of §1946.2 only. It does not shorten, displace, or excuse compliance with §1946.1's notice-period requirements. A 30-day termination notice served on a tenancy of one year or more is void under §1946.1(b) regardless of the property's AB 1482 exemption status.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hzxk8qsjxc2" w:id="2"/>
      <w:bookmarkEnd w:id="2"/>
      <w:r w:rsidDel="00000000" w:rsidR="00000000" w:rsidRPr="00000000">
        <w:rPr>
          <w:rtl w:val="0"/>
        </w:rPr>
        <w:t xml:space="preserve">2. Errata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ERRATUM-2026-001 — CA-NOT-C-21.</w:t>
      </w:r>
      <w:r w:rsidDel="00000000" w:rsidR="00000000" w:rsidRPr="00000000">
        <w:rPr>
          <w:rtl w:val="0"/>
        </w:rPr>
        <w:t xml:space="preserve"> Facts as frozen: condominium, C of O 2015, natural-person owner, tenant resident 18 months, 30-day no-cause termination notice. Frozen outcome NOTICE_VALID is </w:t>
      </w:r>
      <w:r w:rsidDel="00000000" w:rsidR="00000000" w:rsidRPr="00000000">
        <w:rPr>
          <w:b w:val="1"/>
          <w:bCs w:val="1"/>
          <w:rtl w:val="0"/>
        </w:rPr>
        <w:t xml:space="preserve">ERRONEOUS</w:t>
      </w:r>
      <w:r w:rsidDel="00000000" w:rsidR="00000000" w:rsidRPr="00000000">
        <w:rPr>
          <w:rtl w:val="0"/>
        </w:rPr>
        <w:t xml:space="preserve">. Corrected ground truth: </w:t>
      </w:r>
      <w:r w:rsidDel="00000000" w:rsidR="00000000" w:rsidRPr="00000000">
        <w:rPr>
          <w:b w:val="1"/>
          <w:bCs w:val="1"/>
          <w:rtl w:val="0"/>
        </w:rPr>
        <w:t xml:space="preserve">NOTICE_INVALID</w:t>
      </w:r>
      <w:r w:rsidDel="00000000" w:rsidR="00000000" w:rsidRPr="00000000">
        <w:rPr>
          <w:rtl w:val="0"/>
        </w:rPr>
        <w:t xml:space="preserve"> — the tenancy exceeds one year, so §1946.1(b) requires 60 days' notice; the 30-day notice is void (Stancil). The frozen analysis of the §1946.2(e)(7) exemption (property exempt from just cause; rolling 15-year window correctly computed) remains correct as far as it goes, but is non-dispositive: the exemption does not cure the notice-period defect.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ERRATUM-2026-002 — CA-NOT-C-22.</w:t>
      </w:r>
      <w:r w:rsidDel="00000000" w:rsidR="00000000" w:rsidRPr="00000000">
        <w:rPr>
          <w:rtl w:val="0"/>
        </w:rPr>
        <w:t xml:space="preserve"> Facts as frozen: single-family home, qualifying natural-person owner, compliant exemption disclosure at inception, tenant resident 2 years, 30-day no-cause termination notice. Frozen outcome NOTICE_VALID is </w:t>
      </w:r>
      <w:r w:rsidDel="00000000" w:rsidR="00000000" w:rsidRPr="00000000">
        <w:rPr>
          <w:b w:val="1"/>
          <w:bCs w:val="1"/>
          <w:rtl w:val="0"/>
        </w:rPr>
        <w:t xml:space="preserve">ERRONEOUS</w:t>
      </w:r>
      <w:r w:rsidDel="00000000" w:rsidR="00000000" w:rsidRPr="00000000">
        <w:rPr>
          <w:rtl w:val="0"/>
        </w:rPr>
        <w:t xml:space="preserve">. Corrected ground truth: </w:t>
      </w:r>
      <w:r w:rsidDel="00000000" w:rsidR="00000000" w:rsidRPr="00000000">
        <w:rPr>
          <w:b w:val="1"/>
          <w:bCs w:val="1"/>
          <w:rtl w:val="0"/>
        </w:rPr>
        <w:t xml:space="preserve">NOTICE_INVALID</w:t>
      </w:r>
      <w:r w:rsidDel="00000000" w:rsidR="00000000" w:rsidRPr="00000000">
        <w:rPr>
          <w:rtl w:val="0"/>
        </w:rPr>
        <w:t xml:space="preserve"> — same §1946.1(b)/Stancil analysis; the §1946.2(e)(8) exemption is validly established on the facts but non-dispositive. Noted additionally and also non-dispositive: the notice's self-citation to §1946.2(e)(7) is the wrong subsection for a single-family home (correct: (e)(8)), an irregularity mirroring the subsection swap corrected at freeze.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Unaffected:</w:t>
      </w:r>
      <w:r w:rsidDel="00000000" w:rsidR="00000000" w:rsidRPr="00000000">
        <w:rPr>
          <w:rtl w:val="0"/>
        </w:rPr>
        <w:t xml:space="preserve"> CA-NOT-C-18 (9-month tenancy; 30-day notice proper under §1946.1(c); frozen VALID stands). All other frozen items reviewed for the same defect pattern at the time of this memorandum: no other item pairs a 1+-year tenancy with a sub-60-day notice; no further errata.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77k9t9y3o347" w:id="3"/>
      <w:bookmarkEnd w:id="3"/>
      <w:r w:rsidDel="00000000" w:rsidR="00000000" w:rsidRPr="00000000">
        <w:rPr>
          <w:rtl w:val="0"/>
        </w:rPr>
        <w:t xml:space="preserve">3. Root cause and corrective protocol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Root cause: single-lens review at the freeze session of 2026-07-16. The facilitator presented C-21 and C-22 solely through the AB 1482 exemption analysis they were drafted to test; the independent §1946.1 duration check was not run against the stated tenancy lengths, and the attorney ruled on the framing presented. Classified under the standing error taxonomy as an incomplete-defect-sweep failure (kin to the incomplete multi-prong-test class).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Corrective protocol, adopted effective immediately for all future golden-set freezes (v0.4 forward): </w:t>
      </w:r>
      <w:r w:rsidDel="00000000" w:rsidR="00000000" w:rsidRPr="00000000">
        <w:rPr>
          <w:b w:val="1"/>
          <w:bCs w:val="1"/>
          <w:rtl w:val="0"/>
        </w:rPr>
        <w:t xml:space="preserve">every candidate item shall be reviewed against every encoded defect class in the module, not only the defect class the item was drafted to test.</w:t>
      </w:r>
      <w:r w:rsidDel="00000000" w:rsidR="00000000" w:rsidRPr="00000000">
        <w:rPr>
          <w:rtl w:val="0"/>
        </w:rPr>
        <w:t xml:space="preserve"> The review checklist shall enumerate the module's defect classes and require an explicit per-item pass. The rules file's ratified defect list may be used as the sweep checklist; model outputs may not be consulted during ground-truth review.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eh41spr566t" w:id="4"/>
      <w:bookmarkEnd w:id="4"/>
      <w:r w:rsidDel="00000000" w:rsidR="00000000" w:rsidRPr="00000000">
        <w:rPr>
          <w:rtl w:val="0"/>
        </w:rPr>
        <w:t xml:space="preserve">4. Effect on reported metrics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v0.3 held-out set remains BURNED. The frozen file is not edited. Metrics shall be dual-reported wherever the v0.3 score is cited: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As-frozen:</w:t>
      </w:r>
      <w:r w:rsidDel="00000000" w:rsidR="00000000" w:rsidRPr="00000000">
        <w:rPr>
          <w:rtl w:val="0"/>
        </w:rPr>
        <w:t xml:space="preserve"> 23/26 = 88.5% (the score against ground truth as it stood at scoring).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Post-errata: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25/26 = 96.2% (the score against corrected law). B2 confident-wrong restated 3 → 1 (C-18 only, the confirmed coverage gap).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Ground-truth error rate:</w:t>
      </w:r>
      <w:r w:rsidDel="00000000" w:rsidR="00000000" w:rsidRPr="00000000">
        <w:rPr>
          <w:rtl w:val="0"/>
        </w:rPr>
        <w:t xml:space="preserve"> 2/26 = 7.7%, detected by dual-model-consensus disagreement — recorded as a validation finding in its own right: the review pipeline corrected the encoder's citation errors at freeze, and the scoring pipeline surfaced the attorney-side oversight at measurement. Both directions of the loop functioned.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Neither corrected item's outcome may be cited as machine-validated; the corrected ground truth in Section 2 is attorney-determined and crosses no attorney line.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sd19dsm6y2do" w:id="5"/>
      <w:bookmarkEnd w:id="5"/>
      <w:r w:rsidDel="00000000" w:rsidR="00000000" w:rsidRPr="00000000">
        <w:rPr>
          <w:rtl w:val="0"/>
        </w:rPr>
        <w:t xml:space="preserve">5.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memorandum is effective upon the attorney's signature below and shall be committed alongside the frozen golden set, referenced in VALIDATION_METRICS_LEDGER, PROJECT_STATE_OF_RECORD, and DAILY_CHANGELOG, and incorporated by reference in any future citation of the v0.3 score.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Determined and adopted: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/s/ Andrew M Cohen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Andrew M. Cohen, Attorney of Record Date: ___07/19/2026_________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Copyright 2026 Andrew M Cohen. Apache 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