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CDBE" w14:textId="77777777" w:rsidR="00BC469E" w:rsidRDefault="00BC469E">
      <w:pPr>
        <w:spacing w:after="4000"/>
      </w:pPr>
    </w:p>
    <w:p w14:paraId="7051BE99" w14:textId="77777777" w:rsidR="00BC469E" w:rsidRDefault="00000000">
      <w:pPr>
        <w:spacing w:after="200"/>
        <w:jc w:val="center"/>
      </w:pPr>
      <w:r>
        <w:rPr>
          <w:b/>
          <w:bCs/>
          <w:color w:val="1B2A4A"/>
          <w:sz w:val="56"/>
          <w:szCs w:val="56"/>
        </w:rPr>
        <w:t>CDI Credit Risk Model</w:t>
      </w:r>
    </w:p>
    <w:p w14:paraId="0B09E5DA" w14:textId="77777777" w:rsidR="00BC469E" w:rsidRDefault="00000000">
      <w:pPr>
        <w:spacing w:after="120"/>
        <w:jc w:val="center"/>
      </w:pPr>
      <w:r>
        <w:rPr>
          <w:color w:val="2E75B6"/>
          <w:sz w:val="32"/>
          <w:szCs w:val="32"/>
        </w:rPr>
        <w:t>Model Documentation</w:t>
      </w:r>
    </w:p>
    <w:p w14:paraId="15C38FD3" w14:textId="77777777" w:rsidR="00BC469E" w:rsidRDefault="00BC469E">
      <w:pPr>
        <w:pBdr>
          <w:bottom w:val="single" w:sz="6" w:space="1" w:color="2E75B6"/>
        </w:pBdr>
        <w:spacing w:after="200"/>
        <w:jc w:val="center"/>
      </w:pPr>
    </w:p>
    <w:p w14:paraId="0A714AE7" w14:textId="77777777" w:rsidR="00BC469E" w:rsidRDefault="00BC469E">
      <w:pPr>
        <w:spacing w:after="400"/>
      </w:pPr>
    </w:p>
    <w:p w14:paraId="37532AB4" w14:textId="77777777" w:rsidR="00BC469E" w:rsidRDefault="00000000">
      <w:pPr>
        <w:jc w:val="center"/>
      </w:pPr>
      <w:r>
        <w:rPr>
          <w:color w:val="666666"/>
          <w:sz w:val="26"/>
          <w:szCs w:val="26"/>
        </w:rPr>
        <w:t>Contractual Defined Investment Portfolio</w:t>
      </w:r>
    </w:p>
    <w:p w14:paraId="0C9A0A5E" w14:textId="77777777" w:rsidR="00BC469E" w:rsidRDefault="00000000">
      <w:pPr>
        <w:jc w:val="center"/>
      </w:pPr>
      <w:r>
        <w:rPr>
          <w:color w:val="666666"/>
          <w:sz w:val="26"/>
          <w:szCs w:val="26"/>
        </w:rPr>
        <w:t>Monte Carlo Cashflow Simulation &amp; ICAAP Capital</w:t>
      </w:r>
    </w:p>
    <w:p w14:paraId="0C8C7CDC" w14:textId="77777777" w:rsidR="00BC469E" w:rsidRDefault="00BC469E">
      <w:pPr>
        <w:spacing w:after="2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469E" w14:paraId="7470645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49ECD0E" w14:textId="77777777" w:rsidR="00BC469E"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5B2D505A" w14:textId="77777777" w:rsidR="00BC469E" w:rsidRDefault="00000000">
            <w:r>
              <w:rPr>
                <w:b/>
                <w:bCs/>
                <w:color w:val="FFFFFF"/>
                <w:sz w:val="20"/>
                <w:szCs w:val="20"/>
              </w:rPr>
              <w:t>Value</w:t>
            </w:r>
          </w:p>
        </w:tc>
      </w:tr>
      <w:tr w:rsidR="00BC469E" w14:paraId="7BC30E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70B32" w14:textId="77777777" w:rsidR="00BC469E" w:rsidRDefault="00000000">
            <w:r>
              <w:rPr>
                <w:sz w:val="20"/>
                <w:szCs w:val="20"/>
              </w:rPr>
              <w:t>Document Owner</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0534AF" w14:textId="77777777" w:rsidR="00BC469E" w:rsidRDefault="00000000">
            <w:r>
              <w:rPr>
                <w:sz w:val="20"/>
                <w:szCs w:val="20"/>
              </w:rPr>
              <w:t>Quantitative Analytics</w:t>
            </w:r>
          </w:p>
        </w:tc>
      </w:tr>
      <w:tr w:rsidR="00BC469E" w14:paraId="64934E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0727BD" w14:textId="77777777" w:rsidR="00BC469E" w:rsidRDefault="00000000">
            <w:r>
              <w:rPr>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C39D3" w14:textId="77777777" w:rsidR="00BC469E" w:rsidRDefault="00000000">
            <w:r>
              <w:rPr>
                <w:sz w:val="20"/>
                <w:szCs w:val="20"/>
              </w:rPr>
              <w:t>Internal</w:t>
            </w:r>
          </w:p>
        </w:tc>
      </w:tr>
      <w:tr w:rsidR="00BC469E" w14:paraId="33DBEB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32F3D3" w14:textId="77777777" w:rsidR="00BC469E" w:rsidRDefault="00000000">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0A08B" w14:textId="77777777" w:rsidR="00BC469E" w:rsidRDefault="00000000">
            <w:r>
              <w:rPr>
                <w:sz w:val="20"/>
                <w:szCs w:val="20"/>
              </w:rPr>
              <w:t>1.0</w:t>
            </w:r>
          </w:p>
        </w:tc>
      </w:tr>
      <w:tr w:rsidR="00BC469E" w14:paraId="7D71DF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42EF7" w14:textId="77777777" w:rsidR="00BC469E" w:rsidRDefault="00000000">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A7D9E" w14:textId="77777777" w:rsidR="00BC469E" w:rsidRDefault="00000000">
            <w:r>
              <w:rPr>
                <w:sz w:val="20"/>
                <w:szCs w:val="20"/>
              </w:rPr>
              <w:t>March 2026</w:t>
            </w:r>
          </w:p>
        </w:tc>
      </w:tr>
      <w:tr w:rsidR="00BC469E" w14:paraId="4F300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C028C" w14:textId="77777777" w:rsidR="00BC469E" w:rsidRDefault="00000000">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A620B" w14:textId="77777777" w:rsidR="00BC469E" w:rsidRDefault="00000000">
            <w:r>
              <w:rPr>
                <w:sz w:val="20"/>
                <w:szCs w:val="20"/>
              </w:rPr>
              <w:t>Draft</w:t>
            </w:r>
          </w:p>
        </w:tc>
      </w:tr>
    </w:tbl>
    <w:p w14:paraId="00A73796" w14:textId="77777777" w:rsidR="00BC469E" w:rsidRDefault="00000000">
      <w:r>
        <w:br w:type="page"/>
      </w:r>
    </w:p>
    <w:p w14:paraId="2A0C2440" w14:textId="77777777" w:rsidR="00BC469E" w:rsidRDefault="00000000">
      <w:pPr>
        <w:pStyle w:val="Heading1"/>
      </w:pPr>
      <w:bookmarkStart w:id="0" w:name="_Toc223469438"/>
      <w:r>
        <w:lastRenderedPageBreak/>
        <w:t>Table of Contents</w:t>
      </w:r>
      <w:bookmarkEnd w:id="0"/>
    </w:p>
    <w:sdt>
      <w:sdtPr>
        <w:alias w:val="Table of Contents"/>
        <w:id w:val="380216674"/>
      </w:sdtPr>
      <w:sdtContent>
        <w:p w14:paraId="2ED76BEA" w14:textId="77777777" w:rsidR="00BC28EE" w:rsidRDefault="00000000">
          <w:pPr>
            <w:pStyle w:val="TOC1"/>
            <w:tabs>
              <w:tab w:val="right" w:leader="dot" w:pos="93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469438" w:history="1">
            <w:r w:rsidR="00BC28EE" w:rsidRPr="00E356D9">
              <w:rPr>
                <w:rStyle w:val="Hyperlink"/>
                <w:noProof/>
              </w:rPr>
              <w:t>Table of Contents</w:t>
            </w:r>
            <w:r w:rsidR="00BC28EE">
              <w:rPr>
                <w:noProof/>
              </w:rPr>
              <w:tab/>
            </w:r>
            <w:r w:rsidR="00BC28EE">
              <w:rPr>
                <w:noProof/>
              </w:rPr>
              <w:fldChar w:fldCharType="begin"/>
            </w:r>
            <w:r w:rsidR="00BC28EE">
              <w:rPr>
                <w:noProof/>
              </w:rPr>
              <w:instrText xml:space="preserve"> PAGEREF _Toc223469438 \h </w:instrText>
            </w:r>
            <w:r w:rsidR="00BC28EE">
              <w:rPr>
                <w:noProof/>
              </w:rPr>
            </w:r>
            <w:r w:rsidR="00BC28EE">
              <w:rPr>
                <w:noProof/>
              </w:rPr>
              <w:fldChar w:fldCharType="separate"/>
            </w:r>
            <w:r w:rsidR="00BC28EE">
              <w:rPr>
                <w:noProof/>
              </w:rPr>
              <w:t>2</w:t>
            </w:r>
            <w:r w:rsidR="00BC28EE">
              <w:rPr>
                <w:noProof/>
              </w:rPr>
              <w:fldChar w:fldCharType="end"/>
            </w:r>
          </w:hyperlink>
        </w:p>
        <w:p w14:paraId="1953CBFC"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39" w:history="1">
            <w:r w:rsidRPr="00E356D9">
              <w:rPr>
                <w:rStyle w:val="Hyperlink"/>
                <w:noProof/>
              </w:rPr>
              <w:t>1. Executive Summary</w:t>
            </w:r>
            <w:r>
              <w:rPr>
                <w:noProof/>
              </w:rPr>
              <w:tab/>
            </w:r>
            <w:r>
              <w:rPr>
                <w:noProof/>
              </w:rPr>
              <w:fldChar w:fldCharType="begin"/>
            </w:r>
            <w:r>
              <w:rPr>
                <w:noProof/>
              </w:rPr>
              <w:instrText xml:space="preserve"> PAGEREF _Toc223469439 \h </w:instrText>
            </w:r>
            <w:r>
              <w:rPr>
                <w:noProof/>
              </w:rPr>
            </w:r>
            <w:r>
              <w:rPr>
                <w:noProof/>
              </w:rPr>
              <w:fldChar w:fldCharType="separate"/>
            </w:r>
            <w:r>
              <w:rPr>
                <w:noProof/>
              </w:rPr>
              <w:t>4</w:t>
            </w:r>
            <w:r>
              <w:rPr>
                <w:noProof/>
              </w:rPr>
              <w:fldChar w:fldCharType="end"/>
            </w:r>
          </w:hyperlink>
        </w:p>
        <w:p w14:paraId="3EC547D2"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40" w:history="1">
            <w:r w:rsidRPr="00E356D9">
              <w:rPr>
                <w:rStyle w:val="Hyperlink"/>
                <w:noProof/>
              </w:rPr>
              <w:t>2. Model Scope and Purpose</w:t>
            </w:r>
            <w:r>
              <w:rPr>
                <w:noProof/>
              </w:rPr>
              <w:tab/>
            </w:r>
            <w:r>
              <w:rPr>
                <w:noProof/>
              </w:rPr>
              <w:fldChar w:fldCharType="begin"/>
            </w:r>
            <w:r>
              <w:rPr>
                <w:noProof/>
              </w:rPr>
              <w:instrText xml:space="preserve"> PAGEREF _Toc223469440 \h </w:instrText>
            </w:r>
            <w:r>
              <w:rPr>
                <w:noProof/>
              </w:rPr>
            </w:r>
            <w:r>
              <w:rPr>
                <w:noProof/>
              </w:rPr>
              <w:fldChar w:fldCharType="separate"/>
            </w:r>
            <w:r>
              <w:rPr>
                <w:noProof/>
              </w:rPr>
              <w:t>5</w:t>
            </w:r>
            <w:r>
              <w:rPr>
                <w:noProof/>
              </w:rPr>
              <w:fldChar w:fldCharType="end"/>
            </w:r>
          </w:hyperlink>
        </w:p>
        <w:p w14:paraId="31610723"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1" w:history="1">
            <w:r w:rsidRPr="00E356D9">
              <w:rPr>
                <w:rStyle w:val="Hyperlink"/>
                <w:noProof/>
              </w:rPr>
              <w:t>2.1 Business Context</w:t>
            </w:r>
            <w:r>
              <w:rPr>
                <w:noProof/>
              </w:rPr>
              <w:tab/>
            </w:r>
            <w:r>
              <w:rPr>
                <w:noProof/>
              </w:rPr>
              <w:fldChar w:fldCharType="begin"/>
            </w:r>
            <w:r>
              <w:rPr>
                <w:noProof/>
              </w:rPr>
              <w:instrText xml:space="preserve"> PAGEREF _Toc223469441 \h </w:instrText>
            </w:r>
            <w:r>
              <w:rPr>
                <w:noProof/>
              </w:rPr>
            </w:r>
            <w:r>
              <w:rPr>
                <w:noProof/>
              </w:rPr>
              <w:fldChar w:fldCharType="separate"/>
            </w:r>
            <w:r>
              <w:rPr>
                <w:noProof/>
              </w:rPr>
              <w:t>5</w:t>
            </w:r>
            <w:r>
              <w:rPr>
                <w:noProof/>
              </w:rPr>
              <w:fldChar w:fldCharType="end"/>
            </w:r>
          </w:hyperlink>
        </w:p>
        <w:p w14:paraId="725BA294"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2" w:history="1">
            <w:r w:rsidRPr="00E356D9">
              <w:rPr>
                <w:rStyle w:val="Hyperlink"/>
                <w:noProof/>
              </w:rPr>
              <w:t>2.2 Model Objectives</w:t>
            </w:r>
            <w:r>
              <w:rPr>
                <w:noProof/>
              </w:rPr>
              <w:tab/>
            </w:r>
            <w:r>
              <w:rPr>
                <w:noProof/>
              </w:rPr>
              <w:fldChar w:fldCharType="begin"/>
            </w:r>
            <w:r>
              <w:rPr>
                <w:noProof/>
              </w:rPr>
              <w:instrText xml:space="preserve"> PAGEREF _Toc223469442 \h </w:instrText>
            </w:r>
            <w:r>
              <w:rPr>
                <w:noProof/>
              </w:rPr>
            </w:r>
            <w:r>
              <w:rPr>
                <w:noProof/>
              </w:rPr>
              <w:fldChar w:fldCharType="separate"/>
            </w:r>
            <w:r>
              <w:rPr>
                <w:noProof/>
              </w:rPr>
              <w:t>5</w:t>
            </w:r>
            <w:r>
              <w:rPr>
                <w:noProof/>
              </w:rPr>
              <w:fldChar w:fldCharType="end"/>
            </w:r>
          </w:hyperlink>
        </w:p>
        <w:p w14:paraId="4078F1F0"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3" w:history="1">
            <w:r w:rsidRPr="00E356D9">
              <w:rPr>
                <w:rStyle w:val="Hyperlink"/>
                <w:noProof/>
              </w:rPr>
              <w:t>2.3 Model Perimeter</w:t>
            </w:r>
            <w:r>
              <w:rPr>
                <w:noProof/>
              </w:rPr>
              <w:tab/>
            </w:r>
            <w:r>
              <w:rPr>
                <w:noProof/>
              </w:rPr>
              <w:fldChar w:fldCharType="begin"/>
            </w:r>
            <w:r>
              <w:rPr>
                <w:noProof/>
              </w:rPr>
              <w:instrText xml:space="preserve"> PAGEREF _Toc223469443 \h </w:instrText>
            </w:r>
            <w:r>
              <w:rPr>
                <w:noProof/>
              </w:rPr>
            </w:r>
            <w:r>
              <w:rPr>
                <w:noProof/>
              </w:rPr>
              <w:fldChar w:fldCharType="separate"/>
            </w:r>
            <w:r>
              <w:rPr>
                <w:noProof/>
              </w:rPr>
              <w:t>5</w:t>
            </w:r>
            <w:r>
              <w:rPr>
                <w:noProof/>
              </w:rPr>
              <w:fldChar w:fldCharType="end"/>
            </w:r>
          </w:hyperlink>
        </w:p>
        <w:p w14:paraId="7AE66CDC"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44" w:history="1">
            <w:r w:rsidRPr="00E356D9">
              <w:rPr>
                <w:rStyle w:val="Hyperlink"/>
                <w:noProof/>
              </w:rPr>
              <w:t>3. Model Architecture</w:t>
            </w:r>
            <w:r>
              <w:rPr>
                <w:noProof/>
              </w:rPr>
              <w:tab/>
            </w:r>
            <w:r>
              <w:rPr>
                <w:noProof/>
              </w:rPr>
              <w:fldChar w:fldCharType="begin"/>
            </w:r>
            <w:r>
              <w:rPr>
                <w:noProof/>
              </w:rPr>
              <w:instrText xml:space="preserve"> PAGEREF _Toc223469444 \h </w:instrText>
            </w:r>
            <w:r>
              <w:rPr>
                <w:noProof/>
              </w:rPr>
            </w:r>
            <w:r>
              <w:rPr>
                <w:noProof/>
              </w:rPr>
              <w:fldChar w:fldCharType="separate"/>
            </w:r>
            <w:r>
              <w:rPr>
                <w:noProof/>
              </w:rPr>
              <w:t>6</w:t>
            </w:r>
            <w:r>
              <w:rPr>
                <w:noProof/>
              </w:rPr>
              <w:fldChar w:fldCharType="end"/>
            </w:r>
          </w:hyperlink>
        </w:p>
        <w:p w14:paraId="74EB2A9B"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5" w:history="1">
            <w:r w:rsidRPr="00E356D9">
              <w:rPr>
                <w:rStyle w:val="Hyperlink"/>
                <w:noProof/>
              </w:rPr>
              <w:t>3.1 Layer Overview</w:t>
            </w:r>
            <w:r>
              <w:rPr>
                <w:noProof/>
              </w:rPr>
              <w:tab/>
            </w:r>
            <w:r>
              <w:rPr>
                <w:noProof/>
              </w:rPr>
              <w:fldChar w:fldCharType="begin"/>
            </w:r>
            <w:r>
              <w:rPr>
                <w:noProof/>
              </w:rPr>
              <w:instrText xml:space="preserve"> PAGEREF _Toc223469445 \h </w:instrText>
            </w:r>
            <w:r>
              <w:rPr>
                <w:noProof/>
              </w:rPr>
            </w:r>
            <w:r>
              <w:rPr>
                <w:noProof/>
              </w:rPr>
              <w:fldChar w:fldCharType="separate"/>
            </w:r>
            <w:r>
              <w:rPr>
                <w:noProof/>
              </w:rPr>
              <w:t>6</w:t>
            </w:r>
            <w:r>
              <w:rPr>
                <w:noProof/>
              </w:rPr>
              <w:fldChar w:fldCharType="end"/>
            </w:r>
          </w:hyperlink>
        </w:p>
        <w:p w14:paraId="7CCE71B8"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6" w:history="1">
            <w:r w:rsidRPr="00E356D9">
              <w:rPr>
                <w:rStyle w:val="Hyperlink"/>
                <w:noProof/>
              </w:rPr>
              <w:t>3.2 Data Flow</w:t>
            </w:r>
            <w:r>
              <w:rPr>
                <w:noProof/>
              </w:rPr>
              <w:tab/>
            </w:r>
            <w:r>
              <w:rPr>
                <w:noProof/>
              </w:rPr>
              <w:fldChar w:fldCharType="begin"/>
            </w:r>
            <w:r>
              <w:rPr>
                <w:noProof/>
              </w:rPr>
              <w:instrText xml:space="preserve"> PAGEREF _Toc223469446 \h </w:instrText>
            </w:r>
            <w:r>
              <w:rPr>
                <w:noProof/>
              </w:rPr>
            </w:r>
            <w:r>
              <w:rPr>
                <w:noProof/>
              </w:rPr>
              <w:fldChar w:fldCharType="separate"/>
            </w:r>
            <w:r>
              <w:rPr>
                <w:noProof/>
              </w:rPr>
              <w:t>6</w:t>
            </w:r>
            <w:r>
              <w:rPr>
                <w:noProof/>
              </w:rPr>
              <w:fldChar w:fldCharType="end"/>
            </w:r>
          </w:hyperlink>
        </w:p>
        <w:p w14:paraId="16ED91F6"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47" w:history="1">
            <w:r w:rsidRPr="00E356D9">
              <w:rPr>
                <w:rStyle w:val="Hyperlink"/>
                <w:noProof/>
              </w:rPr>
              <w:t>4. Credit Risk Model</w:t>
            </w:r>
            <w:r>
              <w:rPr>
                <w:noProof/>
              </w:rPr>
              <w:tab/>
            </w:r>
            <w:r>
              <w:rPr>
                <w:noProof/>
              </w:rPr>
              <w:fldChar w:fldCharType="begin"/>
            </w:r>
            <w:r>
              <w:rPr>
                <w:noProof/>
              </w:rPr>
              <w:instrText xml:space="preserve"> PAGEREF _Toc223469447 \h </w:instrText>
            </w:r>
            <w:r>
              <w:rPr>
                <w:noProof/>
              </w:rPr>
            </w:r>
            <w:r>
              <w:rPr>
                <w:noProof/>
              </w:rPr>
              <w:fldChar w:fldCharType="separate"/>
            </w:r>
            <w:r>
              <w:rPr>
                <w:noProof/>
              </w:rPr>
              <w:t>7</w:t>
            </w:r>
            <w:r>
              <w:rPr>
                <w:noProof/>
              </w:rPr>
              <w:fldChar w:fldCharType="end"/>
            </w:r>
          </w:hyperlink>
        </w:p>
        <w:p w14:paraId="3305566C"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8" w:history="1">
            <w:r w:rsidRPr="00E356D9">
              <w:rPr>
                <w:rStyle w:val="Hyperlink"/>
                <w:noProof/>
              </w:rPr>
              <w:t>4.1 Factor Structure</w:t>
            </w:r>
            <w:r>
              <w:rPr>
                <w:noProof/>
              </w:rPr>
              <w:tab/>
            </w:r>
            <w:r>
              <w:rPr>
                <w:noProof/>
              </w:rPr>
              <w:fldChar w:fldCharType="begin"/>
            </w:r>
            <w:r>
              <w:rPr>
                <w:noProof/>
              </w:rPr>
              <w:instrText xml:space="preserve"> PAGEREF _Toc223469448 \h </w:instrText>
            </w:r>
            <w:r>
              <w:rPr>
                <w:noProof/>
              </w:rPr>
            </w:r>
            <w:r>
              <w:rPr>
                <w:noProof/>
              </w:rPr>
              <w:fldChar w:fldCharType="separate"/>
            </w:r>
            <w:r>
              <w:rPr>
                <w:noProof/>
              </w:rPr>
              <w:t>7</w:t>
            </w:r>
            <w:r>
              <w:rPr>
                <w:noProof/>
              </w:rPr>
              <w:fldChar w:fldCharType="end"/>
            </w:r>
          </w:hyperlink>
        </w:p>
        <w:p w14:paraId="6ED12EB8"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49" w:history="1">
            <w:r w:rsidRPr="00E356D9">
              <w:rPr>
                <w:rStyle w:val="Hyperlink"/>
                <w:noProof/>
              </w:rPr>
              <w:t>4.2 Transition Matrix</w:t>
            </w:r>
            <w:r>
              <w:rPr>
                <w:noProof/>
              </w:rPr>
              <w:tab/>
            </w:r>
            <w:r>
              <w:rPr>
                <w:noProof/>
              </w:rPr>
              <w:fldChar w:fldCharType="begin"/>
            </w:r>
            <w:r>
              <w:rPr>
                <w:noProof/>
              </w:rPr>
              <w:instrText xml:space="preserve"> PAGEREF _Toc223469449 \h </w:instrText>
            </w:r>
            <w:r>
              <w:rPr>
                <w:noProof/>
              </w:rPr>
            </w:r>
            <w:r>
              <w:rPr>
                <w:noProof/>
              </w:rPr>
              <w:fldChar w:fldCharType="separate"/>
            </w:r>
            <w:r>
              <w:rPr>
                <w:noProof/>
              </w:rPr>
              <w:t>7</w:t>
            </w:r>
            <w:r>
              <w:rPr>
                <w:noProof/>
              </w:rPr>
              <w:fldChar w:fldCharType="end"/>
            </w:r>
          </w:hyperlink>
        </w:p>
        <w:p w14:paraId="69FA3F9A"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0" w:history="1">
            <w:r w:rsidRPr="00E356D9">
              <w:rPr>
                <w:rStyle w:val="Hyperlink"/>
                <w:noProof/>
              </w:rPr>
              <w:t>4.3 Correlation Structure</w:t>
            </w:r>
            <w:r>
              <w:rPr>
                <w:noProof/>
              </w:rPr>
              <w:tab/>
            </w:r>
            <w:r>
              <w:rPr>
                <w:noProof/>
              </w:rPr>
              <w:fldChar w:fldCharType="begin"/>
            </w:r>
            <w:r>
              <w:rPr>
                <w:noProof/>
              </w:rPr>
              <w:instrText xml:space="preserve"> PAGEREF _Toc223469450 \h </w:instrText>
            </w:r>
            <w:r>
              <w:rPr>
                <w:noProof/>
              </w:rPr>
            </w:r>
            <w:r>
              <w:rPr>
                <w:noProof/>
              </w:rPr>
              <w:fldChar w:fldCharType="separate"/>
            </w:r>
            <w:r>
              <w:rPr>
                <w:noProof/>
              </w:rPr>
              <w:t>7</w:t>
            </w:r>
            <w:r>
              <w:rPr>
                <w:noProof/>
              </w:rPr>
              <w:fldChar w:fldCharType="end"/>
            </w:r>
          </w:hyperlink>
        </w:p>
        <w:p w14:paraId="4066F367"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1" w:history="1">
            <w:r w:rsidRPr="00E356D9">
              <w:rPr>
                <w:rStyle w:val="Hyperlink"/>
                <w:noProof/>
              </w:rPr>
              <w:t>4.4 Temporal Independence</w:t>
            </w:r>
            <w:r>
              <w:rPr>
                <w:noProof/>
              </w:rPr>
              <w:tab/>
            </w:r>
            <w:r>
              <w:rPr>
                <w:noProof/>
              </w:rPr>
              <w:fldChar w:fldCharType="begin"/>
            </w:r>
            <w:r>
              <w:rPr>
                <w:noProof/>
              </w:rPr>
              <w:instrText xml:space="preserve"> PAGEREF _Toc223469451 \h </w:instrText>
            </w:r>
            <w:r>
              <w:rPr>
                <w:noProof/>
              </w:rPr>
            </w:r>
            <w:r>
              <w:rPr>
                <w:noProof/>
              </w:rPr>
              <w:fldChar w:fldCharType="separate"/>
            </w:r>
            <w:r>
              <w:rPr>
                <w:noProof/>
              </w:rPr>
              <w:t>8</w:t>
            </w:r>
            <w:r>
              <w:rPr>
                <w:noProof/>
              </w:rPr>
              <w:fldChar w:fldCharType="end"/>
            </w:r>
          </w:hyperlink>
        </w:p>
        <w:p w14:paraId="489484F1"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52" w:history="1">
            <w:r w:rsidRPr="00E356D9">
              <w:rPr>
                <w:rStyle w:val="Hyperlink"/>
                <w:noProof/>
              </w:rPr>
              <w:t>5. Bond Simulation</w:t>
            </w:r>
            <w:r>
              <w:rPr>
                <w:noProof/>
              </w:rPr>
              <w:tab/>
            </w:r>
            <w:r>
              <w:rPr>
                <w:noProof/>
              </w:rPr>
              <w:fldChar w:fldCharType="begin"/>
            </w:r>
            <w:r>
              <w:rPr>
                <w:noProof/>
              </w:rPr>
              <w:instrText xml:space="preserve"> PAGEREF _Toc223469452 \h </w:instrText>
            </w:r>
            <w:r>
              <w:rPr>
                <w:noProof/>
              </w:rPr>
            </w:r>
            <w:r>
              <w:rPr>
                <w:noProof/>
              </w:rPr>
              <w:fldChar w:fldCharType="separate"/>
            </w:r>
            <w:r>
              <w:rPr>
                <w:noProof/>
              </w:rPr>
              <w:t>9</w:t>
            </w:r>
            <w:r>
              <w:rPr>
                <w:noProof/>
              </w:rPr>
              <w:fldChar w:fldCharType="end"/>
            </w:r>
          </w:hyperlink>
        </w:p>
        <w:p w14:paraId="04BCF92E"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3" w:history="1">
            <w:r w:rsidRPr="00E356D9">
              <w:rPr>
                <w:rStyle w:val="Hyperlink"/>
                <w:noProof/>
              </w:rPr>
              <w:t>5.1 Cashflow Projection</w:t>
            </w:r>
            <w:r>
              <w:rPr>
                <w:noProof/>
              </w:rPr>
              <w:tab/>
            </w:r>
            <w:r>
              <w:rPr>
                <w:noProof/>
              </w:rPr>
              <w:fldChar w:fldCharType="begin"/>
            </w:r>
            <w:r>
              <w:rPr>
                <w:noProof/>
              </w:rPr>
              <w:instrText xml:space="preserve"> PAGEREF _Toc223469453 \h </w:instrText>
            </w:r>
            <w:r>
              <w:rPr>
                <w:noProof/>
              </w:rPr>
            </w:r>
            <w:r>
              <w:rPr>
                <w:noProof/>
              </w:rPr>
              <w:fldChar w:fldCharType="separate"/>
            </w:r>
            <w:r>
              <w:rPr>
                <w:noProof/>
              </w:rPr>
              <w:t>9</w:t>
            </w:r>
            <w:r>
              <w:rPr>
                <w:noProof/>
              </w:rPr>
              <w:fldChar w:fldCharType="end"/>
            </w:r>
          </w:hyperlink>
        </w:p>
        <w:p w14:paraId="60B01534"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4" w:history="1">
            <w:r w:rsidRPr="00E356D9">
              <w:rPr>
                <w:rStyle w:val="Hyperlink"/>
                <w:noProof/>
              </w:rPr>
              <w:t>5.2 Present Value Calculation</w:t>
            </w:r>
            <w:r>
              <w:rPr>
                <w:noProof/>
              </w:rPr>
              <w:tab/>
            </w:r>
            <w:r>
              <w:rPr>
                <w:noProof/>
              </w:rPr>
              <w:fldChar w:fldCharType="begin"/>
            </w:r>
            <w:r>
              <w:rPr>
                <w:noProof/>
              </w:rPr>
              <w:instrText xml:space="preserve"> PAGEREF _Toc223469454 \h </w:instrText>
            </w:r>
            <w:r>
              <w:rPr>
                <w:noProof/>
              </w:rPr>
            </w:r>
            <w:r>
              <w:rPr>
                <w:noProof/>
              </w:rPr>
              <w:fldChar w:fldCharType="separate"/>
            </w:r>
            <w:r>
              <w:rPr>
                <w:noProof/>
              </w:rPr>
              <w:t>9</w:t>
            </w:r>
            <w:r>
              <w:rPr>
                <w:noProof/>
              </w:rPr>
              <w:fldChar w:fldCharType="end"/>
            </w:r>
          </w:hyperlink>
        </w:p>
        <w:p w14:paraId="5E2A4E45"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55" w:history="1">
            <w:r w:rsidRPr="00E356D9">
              <w:rPr>
                <w:rStyle w:val="Hyperlink"/>
                <w:noProof/>
              </w:rPr>
              <w:t>6. Yield Curve and Discounting</w:t>
            </w:r>
            <w:r>
              <w:rPr>
                <w:noProof/>
              </w:rPr>
              <w:tab/>
            </w:r>
            <w:r>
              <w:rPr>
                <w:noProof/>
              </w:rPr>
              <w:fldChar w:fldCharType="begin"/>
            </w:r>
            <w:r>
              <w:rPr>
                <w:noProof/>
              </w:rPr>
              <w:instrText xml:space="preserve"> PAGEREF _Toc223469455 \h </w:instrText>
            </w:r>
            <w:r>
              <w:rPr>
                <w:noProof/>
              </w:rPr>
            </w:r>
            <w:r>
              <w:rPr>
                <w:noProof/>
              </w:rPr>
              <w:fldChar w:fldCharType="separate"/>
            </w:r>
            <w:r>
              <w:rPr>
                <w:noProof/>
              </w:rPr>
              <w:t>10</w:t>
            </w:r>
            <w:r>
              <w:rPr>
                <w:noProof/>
              </w:rPr>
              <w:fldChar w:fldCharType="end"/>
            </w:r>
          </w:hyperlink>
        </w:p>
        <w:p w14:paraId="180999DD"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6" w:history="1">
            <w:r w:rsidRPr="00E356D9">
              <w:rPr>
                <w:rStyle w:val="Hyperlink"/>
                <w:noProof/>
              </w:rPr>
              <w:t>6.1 Yield Curve Interpolation</w:t>
            </w:r>
            <w:r>
              <w:rPr>
                <w:noProof/>
              </w:rPr>
              <w:tab/>
            </w:r>
            <w:r>
              <w:rPr>
                <w:noProof/>
              </w:rPr>
              <w:fldChar w:fldCharType="begin"/>
            </w:r>
            <w:r>
              <w:rPr>
                <w:noProof/>
              </w:rPr>
              <w:instrText xml:space="preserve"> PAGEREF _Toc223469456 \h </w:instrText>
            </w:r>
            <w:r>
              <w:rPr>
                <w:noProof/>
              </w:rPr>
            </w:r>
            <w:r>
              <w:rPr>
                <w:noProof/>
              </w:rPr>
              <w:fldChar w:fldCharType="separate"/>
            </w:r>
            <w:r>
              <w:rPr>
                <w:noProof/>
              </w:rPr>
              <w:t>10</w:t>
            </w:r>
            <w:r>
              <w:rPr>
                <w:noProof/>
              </w:rPr>
              <w:fldChar w:fldCharType="end"/>
            </w:r>
          </w:hyperlink>
        </w:p>
        <w:p w14:paraId="4360833C"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7" w:history="1">
            <w:r w:rsidRPr="00E356D9">
              <w:rPr>
                <w:rStyle w:val="Hyperlink"/>
                <w:noProof/>
              </w:rPr>
              <w:t>6.2 Forward Rate Calculation</w:t>
            </w:r>
            <w:r>
              <w:rPr>
                <w:noProof/>
              </w:rPr>
              <w:tab/>
            </w:r>
            <w:r>
              <w:rPr>
                <w:noProof/>
              </w:rPr>
              <w:fldChar w:fldCharType="begin"/>
            </w:r>
            <w:r>
              <w:rPr>
                <w:noProof/>
              </w:rPr>
              <w:instrText xml:space="preserve"> PAGEREF _Toc223469457 \h </w:instrText>
            </w:r>
            <w:r>
              <w:rPr>
                <w:noProof/>
              </w:rPr>
            </w:r>
            <w:r>
              <w:rPr>
                <w:noProof/>
              </w:rPr>
              <w:fldChar w:fldCharType="separate"/>
            </w:r>
            <w:r>
              <w:rPr>
                <w:noProof/>
              </w:rPr>
              <w:t>10</w:t>
            </w:r>
            <w:r>
              <w:rPr>
                <w:noProof/>
              </w:rPr>
              <w:fldChar w:fldCharType="end"/>
            </w:r>
          </w:hyperlink>
        </w:p>
        <w:p w14:paraId="6897675E"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58" w:history="1">
            <w:r w:rsidRPr="00E356D9">
              <w:rPr>
                <w:rStyle w:val="Hyperlink"/>
                <w:noProof/>
              </w:rPr>
              <w:t>6.3 Liability Discounting</w:t>
            </w:r>
            <w:r>
              <w:rPr>
                <w:noProof/>
              </w:rPr>
              <w:tab/>
            </w:r>
            <w:r>
              <w:rPr>
                <w:noProof/>
              </w:rPr>
              <w:fldChar w:fldCharType="begin"/>
            </w:r>
            <w:r>
              <w:rPr>
                <w:noProof/>
              </w:rPr>
              <w:instrText xml:space="preserve"> PAGEREF _Toc223469458 \h </w:instrText>
            </w:r>
            <w:r>
              <w:rPr>
                <w:noProof/>
              </w:rPr>
            </w:r>
            <w:r>
              <w:rPr>
                <w:noProof/>
              </w:rPr>
              <w:fldChar w:fldCharType="separate"/>
            </w:r>
            <w:r>
              <w:rPr>
                <w:noProof/>
              </w:rPr>
              <w:t>10</w:t>
            </w:r>
            <w:r>
              <w:rPr>
                <w:noProof/>
              </w:rPr>
              <w:fldChar w:fldCharType="end"/>
            </w:r>
          </w:hyperlink>
        </w:p>
        <w:p w14:paraId="1365616F"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59" w:history="1">
            <w:r w:rsidRPr="00E356D9">
              <w:rPr>
                <w:rStyle w:val="Hyperlink"/>
                <w:noProof/>
              </w:rPr>
              <w:t>7. CDI Asset-Liability Waterfall</w:t>
            </w:r>
            <w:r>
              <w:rPr>
                <w:noProof/>
              </w:rPr>
              <w:tab/>
            </w:r>
            <w:r>
              <w:rPr>
                <w:noProof/>
              </w:rPr>
              <w:fldChar w:fldCharType="begin"/>
            </w:r>
            <w:r>
              <w:rPr>
                <w:noProof/>
              </w:rPr>
              <w:instrText xml:space="preserve"> PAGEREF _Toc223469459 \h </w:instrText>
            </w:r>
            <w:r>
              <w:rPr>
                <w:noProof/>
              </w:rPr>
            </w:r>
            <w:r>
              <w:rPr>
                <w:noProof/>
              </w:rPr>
              <w:fldChar w:fldCharType="separate"/>
            </w:r>
            <w:r>
              <w:rPr>
                <w:noProof/>
              </w:rPr>
              <w:t>11</w:t>
            </w:r>
            <w:r>
              <w:rPr>
                <w:noProof/>
              </w:rPr>
              <w:fldChar w:fldCharType="end"/>
            </w:r>
          </w:hyperlink>
        </w:p>
        <w:p w14:paraId="3357A276"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0" w:history="1">
            <w:r w:rsidRPr="00E356D9">
              <w:rPr>
                <w:rStyle w:val="Hyperlink"/>
                <w:noProof/>
              </w:rPr>
              <w:t>7.1 Initial Conditions</w:t>
            </w:r>
            <w:r>
              <w:rPr>
                <w:noProof/>
              </w:rPr>
              <w:tab/>
            </w:r>
            <w:r>
              <w:rPr>
                <w:noProof/>
              </w:rPr>
              <w:fldChar w:fldCharType="begin"/>
            </w:r>
            <w:r>
              <w:rPr>
                <w:noProof/>
              </w:rPr>
              <w:instrText xml:space="preserve"> PAGEREF _Toc223469460 \h </w:instrText>
            </w:r>
            <w:r>
              <w:rPr>
                <w:noProof/>
              </w:rPr>
            </w:r>
            <w:r>
              <w:rPr>
                <w:noProof/>
              </w:rPr>
              <w:fldChar w:fldCharType="separate"/>
            </w:r>
            <w:r>
              <w:rPr>
                <w:noProof/>
              </w:rPr>
              <w:t>11</w:t>
            </w:r>
            <w:r>
              <w:rPr>
                <w:noProof/>
              </w:rPr>
              <w:fldChar w:fldCharType="end"/>
            </w:r>
          </w:hyperlink>
        </w:p>
        <w:p w14:paraId="4400591E"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1" w:history="1">
            <w:r w:rsidRPr="00E356D9">
              <w:rPr>
                <w:rStyle w:val="Hyperlink"/>
                <w:noProof/>
              </w:rPr>
              <w:t>7.2 Annual Waterfall Steps</w:t>
            </w:r>
            <w:r>
              <w:rPr>
                <w:noProof/>
              </w:rPr>
              <w:tab/>
            </w:r>
            <w:r>
              <w:rPr>
                <w:noProof/>
              </w:rPr>
              <w:fldChar w:fldCharType="begin"/>
            </w:r>
            <w:r>
              <w:rPr>
                <w:noProof/>
              </w:rPr>
              <w:instrText xml:space="preserve"> PAGEREF _Toc223469461 \h </w:instrText>
            </w:r>
            <w:r>
              <w:rPr>
                <w:noProof/>
              </w:rPr>
            </w:r>
            <w:r>
              <w:rPr>
                <w:noProof/>
              </w:rPr>
              <w:fldChar w:fldCharType="separate"/>
            </w:r>
            <w:r>
              <w:rPr>
                <w:noProof/>
              </w:rPr>
              <w:t>11</w:t>
            </w:r>
            <w:r>
              <w:rPr>
                <w:noProof/>
              </w:rPr>
              <w:fldChar w:fldCharType="end"/>
            </w:r>
          </w:hyperlink>
        </w:p>
        <w:p w14:paraId="5C679BFA"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2" w:history="1">
            <w:r w:rsidRPr="00E356D9">
              <w:rPr>
                <w:rStyle w:val="Hyperlink"/>
                <w:noProof/>
              </w:rPr>
              <w:t>7.3 Mandate Configuration Parameters</w:t>
            </w:r>
            <w:r>
              <w:rPr>
                <w:noProof/>
              </w:rPr>
              <w:tab/>
            </w:r>
            <w:r>
              <w:rPr>
                <w:noProof/>
              </w:rPr>
              <w:fldChar w:fldCharType="begin"/>
            </w:r>
            <w:r>
              <w:rPr>
                <w:noProof/>
              </w:rPr>
              <w:instrText xml:space="preserve"> PAGEREF _Toc223469462 \h </w:instrText>
            </w:r>
            <w:r>
              <w:rPr>
                <w:noProof/>
              </w:rPr>
            </w:r>
            <w:r>
              <w:rPr>
                <w:noProof/>
              </w:rPr>
              <w:fldChar w:fldCharType="separate"/>
            </w:r>
            <w:r>
              <w:rPr>
                <w:noProof/>
              </w:rPr>
              <w:t>11</w:t>
            </w:r>
            <w:r>
              <w:rPr>
                <w:noProof/>
              </w:rPr>
              <w:fldChar w:fldCharType="end"/>
            </w:r>
          </w:hyperlink>
        </w:p>
        <w:p w14:paraId="0DD7BBFC"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63" w:history="1">
            <w:r w:rsidRPr="00E356D9">
              <w:rPr>
                <w:rStyle w:val="Hyperlink"/>
                <w:noProof/>
              </w:rPr>
              <w:t>8. Obligation Metrics</w:t>
            </w:r>
            <w:r>
              <w:rPr>
                <w:noProof/>
              </w:rPr>
              <w:tab/>
            </w:r>
            <w:r>
              <w:rPr>
                <w:noProof/>
              </w:rPr>
              <w:fldChar w:fldCharType="begin"/>
            </w:r>
            <w:r>
              <w:rPr>
                <w:noProof/>
              </w:rPr>
              <w:instrText xml:space="preserve"> PAGEREF _Toc223469463 \h </w:instrText>
            </w:r>
            <w:r>
              <w:rPr>
                <w:noProof/>
              </w:rPr>
            </w:r>
            <w:r>
              <w:rPr>
                <w:noProof/>
              </w:rPr>
              <w:fldChar w:fldCharType="separate"/>
            </w:r>
            <w:r>
              <w:rPr>
                <w:noProof/>
              </w:rPr>
              <w:t>13</w:t>
            </w:r>
            <w:r>
              <w:rPr>
                <w:noProof/>
              </w:rPr>
              <w:fldChar w:fldCharType="end"/>
            </w:r>
          </w:hyperlink>
        </w:p>
        <w:p w14:paraId="2853772F"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4" w:history="1">
            <w:r w:rsidRPr="00E356D9">
              <w:rPr>
                <w:rStyle w:val="Hyperlink"/>
                <w:noProof/>
              </w:rPr>
              <w:t>8.1 PV Calculation Methodology</w:t>
            </w:r>
            <w:r>
              <w:rPr>
                <w:noProof/>
              </w:rPr>
              <w:tab/>
            </w:r>
            <w:r>
              <w:rPr>
                <w:noProof/>
              </w:rPr>
              <w:fldChar w:fldCharType="begin"/>
            </w:r>
            <w:r>
              <w:rPr>
                <w:noProof/>
              </w:rPr>
              <w:instrText xml:space="preserve"> PAGEREF _Toc223469464 \h </w:instrText>
            </w:r>
            <w:r>
              <w:rPr>
                <w:noProof/>
              </w:rPr>
            </w:r>
            <w:r>
              <w:rPr>
                <w:noProof/>
              </w:rPr>
              <w:fldChar w:fldCharType="separate"/>
            </w:r>
            <w:r>
              <w:rPr>
                <w:noProof/>
              </w:rPr>
              <w:t>13</w:t>
            </w:r>
            <w:r>
              <w:rPr>
                <w:noProof/>
              </w:rPr>
              <w:fldChar w:fldCharType="end"/>
            </w:r>
          </w:hyperlink>
        </w:p>
        <w:p w14:paraId="2510083D"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5" w:history="1">
            <w:r w:rsidRPr="00E356D9">
              <w:rPr>
                <w:rStyle w:val="Hyperlink"/>
                <w:noProof/>
              </w:rPr>
              <w:t>8.2 Key Metrics</w:t>
            </w:r>
            <w:r>
              <w:rPr>
                <w:noProof/>
              </w:rPr>
              <w:tab/>
            </w:r>
            <w:r>
              <w:rPr>
                <w:noProof/>
              </w:rPr>
              <w:fldChar w:fldCharType="begin"/>
            </w:r>
            <w:r>
              <w:rPr>
                <w:noProof/>
              </w:rPr>
              <w:instrText xml:space="preserve"> PAGEREF _Toc223469465 \h </w:instrText>
            </w:r>
            <w:r>
              <w:rPr>
                <w:noProof/>
              </w:rPr>
            </w:r>
            <w:r>
              <w:rPr>
                <w:noProof/>
              </w:rPr>
              <w:fldChar w:fldCharType="separate"/>
            </w:r>
            <w:r>
              <w:rPr>
                <w:noProof/>
              </w:rPr>
              <w:t>13</w:t>
            </w:r>
            <w:r>
              <w:rPr>
                <w:noProof/>
              </w:rPr>
              <w:fldChar w:fldCharType="end"/>
            </w:r>
          </w:hyperlink>
        </w:p>
        <w:p w14:paraId="7318CE8B"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66" w:history="1">
            <w:r w:rsidRPr="00E356D9">
              <w:rPr>
                <w:rStyle w:val="Hyperlink"/>
                <w:noProof/>
              </w:rPr>
              <w:t>9. ICAAP Capital Estimation</w:t>
            </w:r>
            <w:r>
              <w:rPr>
                <w:noProof/>
              </w:rPr>
              <w:tab/>
            </w:r>
            <w:r>
              <w:rPr>
                <w:noProof/>
              </w:rPr>
              <w:fldChar w:fldCharType="begin"/>
            </w:r>
            <w:r>
              <w:rPr>
                <w:noProof/>
              </w:rPr>
              <w:instrText xml:space="preserve"> PAGEREF _Toc223469466 \h </w:instrText>
            </w:r>
            <w:r>
              <w:rPr>
                <w:noProof/>
              </w:rPr>
            </w:r>
            <w:r>
              <w:rPr>
                <w:noProof/>
              </w:rPr>
              <w:fldChar w:fldCharType="separate"/>
            </w:r>
            <w:r>
              <w:rPr>
                <w:noProof/>
              </w:rPr>
              <w:t>14</w:t>
            </w:r>
            <w:r>
              <w:rPr>
                <w:noProof/>
              </w:rPr>
              <w:fldChar w:fldCharType="end"/>
            </w:r>
          </w:hyperlink>
        </w:p>
        <w:p w14:paraId="19B8A827"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7" w:history="1">
            <w:r w:rsidRPr="00E356D9">
              <w:rPr>
                <w:rStyle w:val="Hyperlink"/>
                <w:noProof/>
              </w:rPr>
              <w:t>9.1 Regulatory Context</w:t>
            </w:r>
            <w:r>
              <w:rPr>
                <w:noProof/>
              </w:rPr>
              <w:tab/>
            </w:r>
            <w:r>
              <w:rPr>
                <w:noProof/>
              </w:rPr>
              <w:fldChar w:fldCharType="begin"/>
            </w:r>
            <w:r>
              <w:rPr>
                <w:noProof/>
              </w:rPr>
              <w:instrText xml:space="preserve"> PAGEREF _Toc223469467 \h </w:instrText>
            </w:r>
            <w:r>
              <w:rPr>
                <w:noProof/>
              </w:rPr>
            </w:r>
            <w:r>
              <w:rPr>
                <w:noProof/>
              </w:rPr>
              <w:fldChar w:fldCharType="separate"/>
            </w:r>
            <w:r>
              <w:rPr>
                <w:noProof/>
              </w:rPr>
              <w:t>14</w:t>
            </w:r>
            <w:r>
              <w:rPr>
                <w:noProof/>
              </w:rPr>
              <w:fldChar w:fldCharType="end"/>
            </w:r>
          </w:hyperlink>
        </w:p>
        <w:p w14:paraId="5C17AB2B"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8" w:history="1">
            <w:r w:rsidRPr="00E356D9">
              <w:rPr>
                <w:rStyle w:val="Hyperlink"/>
                <w:noProof/>
              </w:rPr>
              <w:t>9.2 Nested Monte Carlo Approach</w:t>
            </w:r>
            <w:r>
              <w:rPr>
                <w:noProof/>
              </w:rPr>
              <w:tab/>
            </w:r>
            <w:r>
              <w:rPr>
                <w:noProof/>
              </w:rPr>
              <w:fldChar w:fldCharType="begin"/>
            </w:r>
            <w:r>
              <w:rPr>
                <w:noProof/>
              </w:rPr>
              <w:instrText xml:space="preserve"> PAGEREF _Toc223469468 \h </w:instrText>
            </w:r>
            <w:r>
              <w:rPr>
                <w:noProof/>
              </w:rPr>
            </w:r>
            <w:r>
              <w:rPr>
                <w:noProof/>
              </w:rPr>
              <w:fldChar w:fldCharType="separate"/>
            </w:r>
            <w:r>
              <w:rPr>
                <w:noProof/>
              </w:rPr>
              <w:t>14</w:t>
            </w:r>
            <w:r>
              <w:rPr>
                <w:noProof/>
              </w:rPr>
              <w:fldChar w:fldCharType="end"/>
            </w:r>
          </w:hyperlink>
        </w:p>
        <w:p w14:paraId="130E8A02"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69" w:history="1">
            <w:r w:rsidRPr="00E356D9">
              <w:rPr>
                <w:rStyle w:val="Hyperlink"/>
                <w:noProof/>
              </w:rPr>
              <w:t>9.3 Computational Optimisations</w:t>
            </w:r>
            <w:r>
              <w:rPr>
                <w:noProof/>
              </w:rPr>
              <w:tab/>
            </w:r>
            <w:r>
              <w:rPr>
                <w:noProof/>
              </w:rPr>
              <w:fldChar w:fldCharType="begin"/>
            </w:r>
            <w:r>
              <w:rPr>
                <w:noProof/>
              </w:rPr>
              <w:instrText xml:space="preserve"> PAGEREF _Toc223469469 \h </w:instrText>
            </w:r>
            <w:r>
              <w:rPr>
                <w:noProof/>
              </w:rPr>
            </w:r>
            <w:r>
              <w:rPr>
                <w:noProof/>
              </w:rPr>
              <w:fldChar w:fldCharType="separate"/>
            </w:r>
            <w:r>
              <w:rPr>
                <w:noProof/>
              </w:rPr>
              <w:t>14</w:t>
            </w:r>
            <w:r>
              <w:rPr>
                <w:noProof/>
              </w:rPr>
              <w:fldChar w:fldCharType="end"/>
            </w:r>
          </w:hyperlink>
        </w:p>
        <w:p w14:paraId="2FD12C18"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0" w:history="1">
            <w:r w:rsidRPr="00E356D9">
              <w:rPr>
                <w:rStyle w:val="Hyperlink"/>
                <w:noProof/>
              </w:rPr>
              <w:t>9.4 Double-Recovery Prevention</w:t>
            </w:r>
            <w:r>
              <w:rPr>
                <w:noProof/>
              </w:rPr>
              <w:tab/>
            </w:r>
            <w:r>
              <w:rPr>
                <w:noProof/>
              </w:rPr>
              <w:fldChar w:fldCharType="begin"/>
            </w:r>
            <w:r>
              <w:rPr>
                <w:noProof/>
              </w:rPr>
              <w:instrText xml:space="preserve"> PAGEREF _Toc223469470 \h </w:instrText>
            </w:r>
            <w:r>
              <w:rPr>
                <w:noProof/>
              </w:rPr>
            </w:r>
            <w:r>
              <w:rPr>
                <w:noProof/>
              </w:rPr>
              <w:fldChar w:fldCharType="separate"/>
            </w:r>
            <w:r>
              <w:rPr>
                <w:noProof/>
              </w:rPr>
              <w:t>14</w:t>
            </w:r>
            <w:r>
              <w:rPr>
                <w:noProof/>
              </w:rPr>
              <w:fldChar w:fldCharType="end"/>
            </w:r>
          </w:hyperlink>
        </w:p>
        <w:p w14:paraId="0695657F"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1" w:history="1">
            <w:r w:rsidRPr="00E356D9">
              <w:rPr>
                <w:rStyle w:val="Hyperlink"/>
                <w:noProof/>
              </w:rPr>
              <w:t>9.5 Capital Measures</w:t>
            </w:r>
            <w:r>
              <w:rPr>
                <w:noProof/>
              </w:rPr>
              <w:tab/>
            </w:r>
            <w:r>
              <w:rPr>
                <w:noProof/>
              </w:rPr>
              <w:fldChar w:fldCharType="begin"/>
            </w:r>
            <w:r>
              <w:rPr>
                <w:noProof/>
              </w:rPr>
              <w:instrText xml:space="preserve"> PAGEREF _Toc223469471 \h </w:instrText>
            </w:r>
            <w:r>
              <w:rPr>
                <w:noProof/>
              </w:rPr>
            </w:r>
            <w:r>
              <w:rPr>
                <w:noProof/>
              </w:rPr>
              <w:fldChar w:fldCharType="separate"/>
            </w:r>
            <w:r>
              <w:rPr>
                <w:noProof/>
              </w:rPr>
              <w:t>15</w:t>
            </w:r>
            <w:r>
              <w:rPr>
                <w:noProof/>
              </w:rPr>
              <w:fldChar w:fldCharType="end"/>
            </w:r>
          </w:hyperlink>
        </w:p>
        <w:p w14:paraId="2C636545"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2" w:history="1">
            <w:r w:rsidRPr="00E356D9">
              <w:rPr>
                <w:rStyle w:val="Hyperlink"/>
                <w:noProof/>
              </w:rPr>
              <w:t>9.6 Limitations</w:t>
            </w:r>
            <w:r>
              <w:rPr>
                <w:noProof/>
              </w:rPr>
              <w:tab/>
            </w:r>
            <w:r>
              <w:rPr>
                <w:noProof/>
              </w:rPr>
              <w:fldChar w:fldCharType="begin"/>
            </w:r>
            <w:r>
              <w:rPr>
                <w:noProof/>
              </w:rPr>
              <w:instrText xml:space="preserve"> PAGEREF _Toc223469472 \h </w:instrText>
            </w:r>
            <w:r>
              <w:rPr>
                <w:noProof/>
              </w:rPr>
            </w:r>
            <w:r>
              <w:rPr>
                <w:noProof/>
              </w:rPr>
              <w:fldChar w:fldCharType="separate"/>
            </w:r>
            <w:r>
              <w:rPr>
                <w:noProof/>
              </w:rPr>
              <w:t>15</w:t>
            </w:r>
            <w:r>
              <w:rPr>
                <w:noProof/>
              </w:rPr>
              <w:fldChar w:fldCharType="end"/>
            </w:r>
          </w:hyperlink>
        </w:p>
        <w:p w14:paraId="7C30E161"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73" w:history="1">
            <w:r w:rsidRPr="00E356D9">
              <w:rPr>
                <w:rStyle w:val="Hyperlink"/>
                <w:noProof/>
              </w:rPr>
              <w:t>10. Input Data Requirements</w:t>
            </w:r>
            <w:r>
              <w:rPr>
                <w:noProof/>
              </w:rPr>
              <w:tab/>
            </w:r>
            <w:r>
              <w:rPr>
                <w:noProof/>
              </w:rPr>
              <w:fldChar w:fldCharType="begin"/>
            </w:r>
            <w:r>
              <w:rPr>
                <w:noProof/>
              </w:rPr>
              <w:instrText xml:space="preserve"> PAGEREF _Toc223469473 \h </w:instrText>
            </w:r>
            <w:r>
              <w:rPr>
                <w:noProof/>
              </w:rPr>
            </w:r>
            <w:r>
              <w:rPr>
                <w:noProof/>
              </w:rPr>
              <w:fldChar w:fldCharType="separate"/>
            </w:r>
            <w:r>
              <w:rPr>
                <w:noProof/>
              </w:rPr>
              <w:t>16</w:t>
            </w:r>
            <w:r>
              <w:rPr>
                <w:noProof/>
              </w:rPr>
              <w:fldChar w:fldCharType="end"/>
            </w:r>
          </w:hyperlink>
        </w:p>
        <w:p w14:paraId="7A4333DB"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74" w:history="1">
            <w:r w:rsidRPr="00E356D9">
              <w:rPr>
                <w:rStyle w:val="Hyperlink"/>
                <w:noProof/>
              </w:rPr>
              <w:t>11. Key Assumptions and Limitations</w:t>
            </w:r>
            <w:r>
              <w:rPr>
                <w:noProof/>
              </w:rPr>
              <w:tab/>
            </w:r>
            <w:r>
              <w:rPr>
                <w:noProof/>
              </w:rPr>
              <w:fldChar w:fldCharType="begin"/>
            </w:r>
            <w:r>
              <w:rPr>
                <w:noProof/>
              </w:rPr>
              <w:instrText xml:space="preserve"> PAGEREF _Toc223469474 \h </w:instrText>
            </w:r>
            <w:r>
              <w:rPr>
                <w:noProof/>
              </w:rPr>
            </w:r>
            <w:r>
              <w:rPr>
                <w:noProof/>
              </w:rPr>
              <w:fldChar w:fldCharType="separate"/>
            </w:r>
            <w:r>
              <w:rPr>
                <w:noProof/>
              </w:rPr>
              <w:t>17</w:t>
            </w:r>
            <w:r>
              <w:rPr>
                <w:noProof/>
              </w:rPr>
              <w:fldChar w:fldCharType="end"/>
            </w:r>
          </w:hyperlink>
        </w:p>
        <w:p w14:paraId="7F294EDE"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5" w:history="1">
            <w:r w:rsidRPr="00E356D9">
              <w:rPr>
                <w:rStyle w:val="Hyperlink"/>
                <w:noProof/>
              </w:rPr>
              <w:t>11.1 Key Assumptions</w:t>
            </w:r>
            <w:r>
              <w:rPr>
                <w:noProof/>
              </w:rPr>
              <w:tab/>
            </w:r>
            <w:r>
              <w:rPr>
                <w:noProof/>
              </w:rPr>
              <w:fldChar w:fldCharType="begin"/>
            </w:r>
            <w:r>
              <w:rPr>
                <w:noProof/>
              </w:rPr>
              <w:instrText xml:space="preserve"> PAGEREF _Toc223469475 \h </w:instrText>
            </w:r>
            <w:r>
              <w:rPr>
                <w:noProof/>
              </w:rPr>
            </w:r>
            <w:r>
              <w:rPr>
                <w:noProof/>
              </w:rPr>
              <w:fldChar w:fldCharType="separate"/>
            </w:r>
            <w:r>
              <w:rPr>
                <w:noProof/>
              </w:rPr>
              <w:t>17</w:t>
            </w:r>
            <w:r>
              <w:rPr>
                <w:noProof/>
              </w:rPr>
              <w:fldChar w:fldCharType="end"/>
            </w:r>
          </w:hyperlink>
        </w:p>
        <w:p w14:paraId="6EC393A8"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6" w:history="1">
            <w:r w:rsidRPr="00E356D9">
              <w:rPr>
                <w:rStyle w:val="Hyperlink"/>
                <w:noProof/>
              </w:rPr>
              <w:t>11.2 Model Limitations</w:t>
            </w:r>
            <w:r>
              <w:rPr>
                <w:noProof/>
              </w:rPr>
              <w:tab/>
            </w:r>
            <w:r>
              <w:rPr>
                <w:noProof/>
              </w:rPr>
              <w:fldChar w:fldCharType="begin"/>
            </w:r>
            <w:r>
              <w:rPr>
                <w:noProof/>
              </w:rPr>
              <w:instrText xml:space="preserve"> PAGEREF _Toc223469476 \h </w:instrText>
            </w:r>
            <w:r>
              <w:rPr>
                <w:noProof/>
              </w:rPr>
            </w:r>
            <w:r>
              <w:rPr>
                <w:noProof/>
              </w:rPr>
              <w:fldChar w:fldCharType="separate"/>
            </w:r>
            <w:r>
              <w:rPr>
                <w:noProof/>
              </w:rPr>
              <w:t>17</w:t>
            </w:r>
            <w:r>
              <w:rPr>
                <w:noProof/>
              </w:rPr>
              <w:fldChar w:fldCharType="end"/>
            </w:r>
          </w:hyperlink>
        </w:p>
        <w:p w14:paraId="60047B5B"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77" w:history="1">
            <w:r w:rsidRPr="00E356D9">
              <w:rPr>
                <w:rStyle w:val="Hyperlink"/>
                <w:noProof/>
              </w:rPr>
              <w:t>12. Validation and Testing</w:t>
            </w:r>
            <w:r>
              <w:rPr>
                <w:noProof/>
              </w:rPr>
              <w:tab/>
            </w:r>
            <w:r>
              <w:rPr>
                <w:noProof/>
              </w:rPr>
              <w:fldChar w:fldCharType="begin"/>
            </w:r>
            <w:r>
              <w:rPr>
                <w:noProof/>
              </w:rPr>
              <w:instrText xml:space="preserve"> PAGEREF _Toc223469477 \h </w:instrText>
            </w:r>
            <w:r>
              <w:rPr>
                <w:noProof/>
              </w:rPr>
            </w:r>
            <w:r>
              <w:rPr>
                <w:noProof/>
              </w:rPr>
              <w:fldChar w:fldCharType="separate"/>
            </w:r>
            <w:r>
              <w:rPr>
                <w:noProof/>
              </w:rPr>
              <w:t>18</w:t>
            </w:r>
            <w:r>
              <w:rPr>
                <w:noProof/>
              </w:rPr>
              <w:fldChar w:fldCharType="end"/>
            </w:r>
          </w:hyperlink>
        </w:p>
        <w:p w14:paraId="26FD3E7B"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8" w:history="1">
            <w:r w:rsidRPr="00E356D9">
              <w:rPr>
                <w:rStyle w:val="Hyperlink"/>
                <w:noProof/>
              </w:rPr>
              <w:t>12.1 Input Validation</w:t>
            </w:r>
            <w:r>
              <w:rPr>
                <w:noProof/>
              </w:rPr>
              <w:tab/>
            </w:r>
            <w:r>
              <w:rPr>
                <w:noProof/>
              </w:rPr>
              <w:fldChar w:fldCharType="begin"/>
            </w:r>
            <w:r>
              <w:rPr>
                <w:noProof/>
              </w:rPr>
              <w:instrText xml:space="preserve"> PAGEREF _Toc223469478 \h </w:instrText>
            </w:r>
            <w:r>
              <w:rPr>
                <w:noProof/>
              </w:rPr>
            </w:r>
            <w:r>
              <w:rPr>
                <w:noProof/>
              </w:rPr>
              <w:fldChar w:fldCharType="separate"/>
            </w:r>
            <w:r>
              <w:rPr>
                <w:noProof/>
              </w:rPr>
              <w:t>18</w:t>
            </w:r>
            <w:r>
              <w:rPr>
                <w:noProof/>
              </w:rPr>
              <w:fldChar w:fldCharType="end"/>
            </w:r>
          </w:hyperlink>
        </w:p>
        <w:p w14:paraId="5C52C827" w14:textId="77777777" w:rsidR="00BC28EE" w:rsidRDefault="00BC28EE">
          <w:pPr>
            <w:pStyle w:val="TOC2"/>
            <w:tabs>
              <w:tab w:val="right" w:leader="dot" w:pos="9396"/>
            </w:tabs>
            <w:rPr>
              <w:rFonts w:asciiTheme="minorHAnsi" w:eastAsiaTheme="minorEastAsia" w:hAnsiTheme="minorHAnsi" w:cstheme="minorBidi"/>
              <w:noProof/>
              <w:kern w:val="2"/>
              <w:sz w:val="24"/>
              <w:szCs w:val="24"/>
              <w14:ligatures w14:val="standardContextual"/>
            </w:rPr>
          </w:pPr>
          <w:hyperlink w:anchor="_Toc223469479" w:history="1">
            <w:r w:rsidRPr="00E356D9">
              <w:rPr>
                <w:rStyle w:val="Hyperlink"/>
                <w:noProof/>
              </w:rPr>
              <w:t>12.2 Recommended Validation Tests</w:t>
            </w:r>
            <w:r>
              <w:rPr>
                <w:noProof/>
              </w:rPr>
              <w:tab/>
            </w:r>
            <w:r>
              <w:rPr>
                <w:noProof/>
              </w:rPr>
              <w:fldChar w:fldCharType="begin"/>
            </w:r>
            <w:r>
              <w:rPr>
                <w:noProof/>
              </w:rPr>
              <w:instrText xml:space="preserve"> PAGEREF _Toc223469479 \h </w:instrText>
            </w:r>
            <w:r>
              <w:rPr>
                <w:noProof/>
              </w:rPr>
            </w:r>
            <w:r>
              <w:rPr>
                <w:noProof/>
              </w:rPr>
              <w:fldChar w:fldCharType="separate"/>
            </w:r>
            <w:r>
              <w:rPr>
                <w:noProof/>
              </w:rPr>
              <w:t>18</w:t>
            </w:r>
            <w:r>
              <w:rPr>
                <w:noProof/>
              </w:rPr>
              <w:fldChar w:fldCharType="end"/>
            </w:r>
          </w:hyperlink>
        </w:p>
        <w:p w14:paraId="6ED56757" w14:textId="77777777" w:rsidR="00BC28EE" w:rsidRDefault="00BC28EE">
          <w:pPr>
            <w:pStyle w:val="TOC1"/>
            <w:tabs>
              <w:tab w:val="right" w:leader="dot" w:pos="9396"/>
            </w:tabs>
            <w:rPr>
              <w:rFonts w:asciiTheme="minorHAnsi" w:eastAsiaTheme="minorEastAsia" w:hAnsiTheme="minorHAnsi" w:cstheme="minorBidi"/>
              <w:noProof/>
              <w:kern w:val="2"/>
              <w:sz w:val="24"/>
              <w:szCs w:val="24"/>
              <w14:ligatures w14:val="standardContextual"/>
            </w:rPr>
          </w:pPr>
          <w:hyperlink w:anchor="_Toc223469480" w:history="1">
            <w:r w:rsidRPr="00E356D9">
              <w:rPr>
                <w:rStyle w:val="Hyperlink"/>
                <w:noProof/>
              </w:rPr>
              <w:t>Appendix A: Class Reference</w:t>
            </w:r>
            <w:r>
              <w:rPr>
                <w:noProof/>
              </w:rPr>
              <w:tab/>
            </w:r>
            <w:r>
              <w:rPr>
                <w:noProof/>
              </w:rPr>
              <w:fldChar w:fldCharType="begin"/>
            </w:r>
            <w:r>
              <w:rPr>
                <w:noProof/>
              </w:rPr>
              <w:instrText xml:space="preserve"> PAGEREF _Toc223469480 \h </w:instrText>
            </w:r>
            <w:r>
              <w:rPr>
                <w:noProof/>
              </w:rPr>
            </w:r>
            <w:r>
              <w:rPr>
                <w:noProof/>
              </w:rPr>
              <w:fldChar w:fldCharType="separate"/>
            </w:r>
            <w:r>
              <w:rPr>
                <w:noProof/>
              </w:rPr>
              <w:t>19</w:t>
            </w:r>
            <w:r>
              <w:rPr>
                <w:noProof/>
              </w:rPr>
              <w:fldChar w:fldCharType="end"/>
            </w:r>
          </w:hyperlink>
        </w:p>
        <w:p w14:paraId="0BEA7962" w14:textId="77777777" w:rsidR="00BC469E" w:rsidRDefault="00000000">
          <w:r>
            <w:fldChar w:fldCharType="end"/>
          </w:r>
        </w:p>
      </w:sdtContent>
    </w:sdt>
    <w:p w14:paraId="3D3F52FC" w14:textId="77777777" w:rsidR="00BC469E" w:rsidRDefault="00000000">
      <w:r>
        <w:br w:type="page"/>
      </w:r>
    </w:p>
    <w:p w14:paraId="415F51BB" w14:textId="77777777" w:rsidR="00BC469E" w:rsidRDefault="00000000">
      <w:pPr>
        <w:pStyle w:val="Heading1"/>
      </w:pPr>
      <w:bookmarkStart w:id="1" w:name="_Toc223469439"/>
      <w:r>
        <w:lastRenderedPageBreak/>
        <w:t>1. Executive Summary</w:t>
      </w:r>
      <w:bookmarkEnd w:id="1"/>
    </w:p>
    <w:p w14:paraId="00CF5804" w14:textId="77777777" w:rsidR="00BC469E" w:rsidRDefault="00000000">
      <w:pPr>
        <w:spacing w:after="120"/>
      </w:pPr>
      <w:r>
        <w:t xml:space="preserve">This document describes the CDI Credit Risk Model used to simulate the cashflow dynamics of a Contractual Defined Investment (CDI) pension de-risking mandate. The model projects the evolution of a fixed-income portfolio under stochastic credit migration and default scenarios to quantify two contingent obligations borne by the guarantor: </w:t>
      </w:r>
      <w:r>
        <w:rPr>
          <w:b/>
          <w:bCs/>
        </w:rPr>
        <w:t>HGB top-up payments</w:t>
      </w:r>
      <w:r>
        <w:t xml:space="preserve"> triggered when portfolio assets fall below the next two years of liability cashflows, and a </w:t>
      </w:r>
      <w:r>
        <w:rPr>
          <w:b/>
          <w:bCs/>
        </w:rPr>
        <w:t>performance guarantee payment</w:t>
      </w:r>
      <w:r>
        <w:t xml:space="preserve"> triggered if the CDI portfolio underperforms a bund-linked comparator at the end of the mandate.</w:t>
      </w:r>
    </w:p>
    <w:p w14:paraId="2D704634" w14:textId="77777777" w:rsidR="00BC469E" w:rsidRDefault="00000000">
      <w:pPr>
        <w:spacing w:after="120"/>
      </w:pPr>
      <w:r>
        <w:t>The model operates across four integrated layers: a correlated multi-factor credit risk simulation, bond-level cashflow projection under default and migration, deterministic liability discounting, and a year-by-year asset-liability waterfall that produces the full distribution of funding metrics across Monte Carlo scenarios.</w:t>
      </w:r>
    </w:p>
    <w:p w14:paraId="47420DEF" w14:textId="77777777" w:rsidR="00BC469E" w:rsidRDefault="00000000">
      <w:pPr>
        <w:spacing w:after="120"/>
      </w:pPr>
      <w:r>
        <w:t>A nested Monte Carlo extension is provided for ICAAP regulatory capital estimation, computing the one-year distribution of the change in present value of contingent obligations.</w:t>
      </w:r>
    </w:p>
    <w:p w14:paraId="4C1D7562" w14:textId="77777777" w:rsidR="00BC469E" w:rsidRDefault="00000000">
      <w:r>
        <w:br w:type="page"/>
      </w:r>
    </w:p>
    <w:p w14:paraId="212D13CF" w14:textId="77777777" w:rsidR="00BC469E" w:rsidRDefault="00000000">
      <w:pPr>
        <w:pStyle w:val="Heading1"/>
      </w:pPr>
      <w:bookmarkStart w:id="2" w:name="_Toc223469440"/>
      <w:r>
        <w:lastRenderedPageBreak/>
        <w:t>2. Model Scope and Purpose</w:t>
      </w:r>
      <w:bookmarkEnd w:id="2"/>
    </w:p>
    <w:p w14:paraId="595DB28E" w14:textId="77777777" w:rsidR="00BC469E" w:rsidRDefault="00000000">
      <w:pPr>
        <w:pStyle w:val="Heading2"/>
      </w:pPr>
      <w:bookmarkStart w:id="3" w:name="_Toc223469441"/>
      <w:r>
        <w:t>2.1 Business Context</w:t>
      </w:r>
      <w:bookmarkEnd w:id="3"/>
    </w:p>
    <w:p w14:paraId="7A97E0ED" w14:textId="77777777" w:rsidR="00BC469E" w:rsidRDefault="00000000">
      <w:pPr>
        <w:spacing w:after="120"/>
      </w:pPr>
      <w:r>
        <w:t>The CDI mandate (referred to internally as the Fox mandate) is a pension de-risking arrangement in which a portfolio of investment-grade fixed-income instruments is managed to meet a deterministic schedule of liability cashflows. The guarantor bears two contingent payment obligations:</w:t>
      </w:r>
    </w:p>
    <w:p w14:paraId="2F9CE128" w14:textId="77777777" w:rsidR="00BC469E" w:rsidRDefault="00000000">
      <w:pPr>
        <w:spacing w:after="120"/>
      </w:pPr>
      <w:r>
        <w:rPr>
          <w:b/>
          <w:bCs/>
        </w:rPr>
        <w:t xml:space="preserve">HGB Meltdown Payment. </w:t>
      </w:r>
      <w:r>
        <w:t>Under German commercial accounting rules (HGB), the guarantor must inject capital if the portfolio assets fall below the next two years of liability cashflows. The payment is capped by the outstanding HGB gap, defined as the meltdown liability (</w:t>
      </w:r>
      <w:proofErr w:type="spellStart"/>
      <w:r>
        <w:t>Heubeck</w:t>
      </w:r>
      <w:proofErr w:type="spellEnd"/>
      <w:r>
        <w:t xml:space="preserve"> reserve, mortality-buffered, compounded at the GAAP rate) less assets and a pre-defined asset buffer.</w:t>
      </w:r>
    </w:p>
    <w:p w14:paraId="30767527" w14:textId="77777777" w:rsidR="00BC469E" w:rsidRDefault="00000000">
      <w:pPr>
        <w:spacing w:after="120"/>
      </w:pPr>
      <w:r>
        <w:rPr>
          <w:b/>
          <w:bCs/>
        </w:rPr>
        <w:t xml:space="preserve">Performance Guarantee Payment. </w:t>
      </w:r>
      <w:r>
        <w:t>At the performance measurement year (year 25 by default), if the CDI portfolio value is less than a shadow bund-comparator portfolio (rolled at forward rates plus a contractual CMBP margin), the guarantor must pay the shortfall, subject to a cap.</w:t>
      </w:r>
    </w:p>
    <w:p w14:paraId="4B7926CB" w14:textId="77777777" w:rsidR="00BC469E" w:rsidRDefault="00000000">
      <w:pPr>
        <w:pStyle w:val="Heading2"/>
      </w:pPr>
      <w:bookmarkStart w:id="4" w:name="_Toc223469442"/>
      <w:r>
        <w:t>2.2 Model Objectives</w:t>
      </w:r>
      <w:bookmarkEnd w:id="4"/>
    </w:p>
    <w:p w14:paraId="01D21A7C" w14:textId="77777777" w:rsidR="00BC469E" w:rsidRDefault="00000000">
      <w:pPr>
        <w:spacing w:after="120"/>
      </w:pPr>
      <w:r>
        <w:t>The model serves two primary objectives. First, it quantifies the present value distribution of the guarantor’s contingent obligations across a large number of Monte Carlo scenarios, enabling pricing and risk assessment of the CDI mandate. Second, it provides an ICAAP-compliant estimate of the one-year credit risk capital requirement by computing the distribution of changes in the present value of obligations over a one-year horizon using a nested Monte Carlo approach.</w:t>
      </w:r>
    </w:p>
    <w:p w14:paraId="744EA743" w14:textId="77777777" w:rsidR="00BC469E" w:rsidRDefault="00000000">
      <w:pPr>
        <w:pStyle w:val="Heading2"/>
      </w:pPr>
      <w:bookmarkStart w:id="5" w:name="_Toc223469443"/>
      <w:r>
        <w:t>2.3 Model Perimeter</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469E" w14:paraId="55B78467"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873B998" w14:textId="77777777" w:rsidR="00BC469E" w:rsidRDefault="00000000">
            <w:r>
              <w:rPr>
                <w:b/>
                <w:bCs/>
                <w:color w:val="FFFFFF"/>
                <w:sz w:val="20"/>
                <w:szCs w:val="20"/>
              </w:rPr>
              <w:t>In Scope</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5AA3B730" w14:textId="77777777" w:rsidR="00BC469E" w:rsidRDefault="00000000">
            <w:r>
              <w:rPr>
                <w:b/>
                <w:bCs/>
                <w:color w:val="FFFFFF"/>
                <w:sz w:val="20"/>
                <w:szCs w:val="20"/>
              </w:rPr>
              <w:t>Out of Scope</w:t>
            </w:r>
          </w:p>
        </w:tc>
      </w:tr>
      <w:tr w:rsidR="00BC469E" w14:paraId="11BB7D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F46B2" w14:textId="77777777" w:rsidR="00BC469E" w:rsidRDefault="00000000">
            <w:r>
              <w:rPr>
                <w:sz w:val="20"/>
                <w:szCs w:val="20"/>
              </w:rPr>
              <w:t>Credit migration and default risk</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0E5A" w14:textId="77777777" w:rsidR="00BC469E" w:rsidRDefault="00000000">
            <w:r>
              <w:rPr>
                <w:sz w:val="20"/>
                <w:szCs w:val="20"/>
              </w:rPr>
              <w:t>Interest rate risk (rates held constant)</w:t>
            </w:r>
          </w:p>
        </w:tc>
      </w:tr>
      <w:tr w:rsidR="00BC469E" w14:paraId="67FB7B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A7783" w14:textId="77777777" w:rsidR="00BC469E" w:rsidRDefault="00000000">
            <w:r>
              <w:rPr>
                <w:sz w:val="20"/>
                <w:szCs w:val="20"/>
              </w:rPr>
              <w:t>Recovery on default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7BFF2" w14:textId="77777777" w:rsidR="00BC469E" w:rsidRDefault="00000000">
            <w:r>
              <w:rPr>
                <w:sz w:val="20"/>
                <w:szCs w:val="20"/>
              </w:rPr>
              <w:t>Reinvestment risk</w:t>
            </w:r>
          </w:p>
        </w:tc>
      </w:tr>
      <w:tr w:rsidR="00BC469E" w14:paraId="11B158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2875B" w14:textId="77777777" w:rsidR="00BC469E" w:rsidRDefault="00000000">
            <w:r>
              <w:rPr>
                <w:sz w:val="20"/>
                <w:szCs w:val="20"/>
              </w:rPr>
              <w:t>HGB meltdown payment mechanism</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FF8581" w14:textId="77777777" w:rsidR="00BC469E" w:rsidRDefault="00000000">
            <w:r>
              <w:rPr>
                <w:sz w:val="20"/>
                <w:szCs w:val="20"/>
              </w:rPr>
              <w:t>Liquidity risk</w:t>
            </w:r>
          </w:p>
        </w:tc>
      </w:tr>
      <w:tr w:rsidR="00BC469E" w14:paraId="4844DF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7D1F5" w14:textId="77777777" w:rsidR="00BC469E" w:rsidRDefault="00000000">
            <w:r>
              <w:rPr>
                <w:sz w:val="20"/>
                <w:szCs w:val="20"/>
              </w:rPr>
              <w:t>Performance guarantee vs bund comparator</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E8C9A" w14:textId="77777777" w:rsidR="00BC469E" w:rsidRDefault="00000000">
            <w:r>
              <w:rPr>
                <w:sz w:val="20"/>
                <w:szCs w:val="20"/>
              </w:rPr>
              <w:t>Operational risk</w:t>
            </w:r>
          </w:p>
        </w:tc>
      </w:tr>
      <w:tr w:rsidR="00BC469E" w14:paraId="7CE0AFB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454FEE" w14:textId="77777777" w:rsidR="00BC469E" w:rsidRDefault="00000000">
            <w:r>
              <w:rPr>
                <w:sz w:val="20"/>
                <w:szCs w:val="20"/>
              </w:rPr>
              <w:t>Fee income and net position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828C4" w14:textId="77777777" w:rsidR="00BC469E" w:rsidRDefault="00000000">
            <w:r>
              <w:rPr>
                <w:sz w:val="20"/>
                <w:szCs w:val="20"/>
              </w:rPr>
              <w:t>Counterparty credit risk on swap overlays</w:t>
            </w:r>
          </w:p>
        </w:tc>
      </w:tr>
      <w:tr w:rsidR="00BC469E" w14:paraId="039919D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2928B" w14:textId="77777777" w:rsidR="00BC469E" w:rsidRDefault="00000000">
            <w:r>
              <w:rPr>
                <w:sz w:val="20"/>
                <w:szCs w:val="20"/>
              </w:rPr>
              <w:t>ICAAP 1-year credit capital (nested MC)</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CB0D8" w14:textId="77777777" w:rsidR="00BC469E" w:rsidRDefault="00000000">
            <w:r>
              <w:rPr>
                <w:sz w:val="20"/>
                <w:szCs w:val="20"/>
              </w:rPr>
              <w:t>Market risk on interest rate derivatives</w:t>
            </w:r>
          </w:p>
        </w:tc>
      </w:tr>
    </w:tbl>
    <w:p w14:paraId="23816955" w14:textId="77777777" w:rsidR="00BC469E" w:rsidRDefault="00000000">
      <w:r>
        <w:br w:type="page"/>
      </w:r>
    </w:p>
    <w:p w14:paraId="36B2B101" w14:textId="77777777" w:rsidR="00BC469E" w:rsidRDefault="00000000">
      <w:pPr>
        <w:pStyle w:val="Heading1"/>
      </w:pPr>
      <w:bookmarkStart w:id="6" w:name="_Toc223469444"/>
      <w:r>
        <w:lastRenderedPageBreak/>
        <w:t>3. Model Architecture</w:t>
      </w:r>
      <w:bookmarkEnd w:id="6"/>
    </w:p>
    <w:p w14:paraId="003D4603" w14:textId="77777777" w:rsidR="00BC469E" w:rsidRDefault="00000000">
      <w:pPr>
        <w:spacing w:after="120"/>
      </w:pPr>
      <w:r>
        <w:t>The model is implemented in Python and consists of four interconnected layers, each represented by one or more classes. Data flows sequentially from the credit simulation through to the CDI waterfall, with each layer consuming the output of its predecessor.</w:t>
      </w:r>
    </w:p>
    <w:p w14:paraId="49B3A1FA" w14:textId="77777777" w:rsidR="00BC469E" w:rsidRDefault="00000000">
      <w:pPr>
        <w:pStyle w:val="Heading2"/>
      </w:pPr>
      <w:bookmarkStart w:id="7" w:name="_Toc223469445"/>
      <w:r>
        <w:t>3.1 Layer Overview</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3046"/>
        <w:gridCol w:w="4720"/>
      </w:tblGrid>
      <w:tr w:rsidR="00BC469E" w14:paraId="569CF222" w14:textId="77777777" w:rsidTr="004F6192">
        <w:tblPrEx>
          <w:tblCellMar>
            <w:top w:w="0" w:type="dxa"/>
            <w:bottom w:w="0" w:type="dxa"/>
          </w:tblCellMar>
        </w:tblPrEx>
        <w:trPr>
          <w:tblHeader/>
        </w:trPr>
        <w:tc>
          <w:tcPr>
            <w:tcW w:w="1594"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B59D934" w14:textId="77777777" w:rsidR="00BC469E" w:rsidRDefault="00000000">
            <w:r>
              <w:rPr>
                <w:b/>
                <w:bCs/>
                <w:color w:val="FFFFFF"/>
                <w:sz w:val="20"/>
                <w:szCs w:val="20"/>
              </w:rPr>
              <w:t>Layer</w:t>
            </w:r>
          </w:p>
        </w:tc>
        <w:tc>
          <w:tcPr>
            <w:tcW w:w="3046"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0EE588A" w14:textId="77777777" w:rsidR="00BC469E" w:rsidRDefault="00000000">
            <w:r>
              <w:rPr>
                <w:b/>
                <w:bCs/>
                <w:color w:val="FFFFFF"/>
                <w:sz w:val="20"/>
                <w:szCs w:val="20"/>
              </w:rPr>
              <w:t>Class</w:t>
            </w:r>
          </w:p>
        </w:tc>
        <w:tc>
          <w:tcPr>
            <w:tcW w:w="472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22C765E6" w14:textId="77777777" w:rsidR="00BC469E" w:rsidRDefault="00000000">
            <w:r>
              <w:rPr>
                <w:b/>
                <w:bCs/>
                <w:color w:val="FFFFFF"/>
                <w:sz w:val="20"/>
                <w:szCs w:val="20"/>
              </w:rPr>
              <w:t>Purpose</w:t>
            </w:r>
          </w:p>
        </w:tc>
      </w:tr>
      <w:tr w:rsidR="00BC469E" w14:paraId="5B435715"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EA6D" w14:textId="77777777" w:rsidR="00BC469E" w:rsidRDefault="00000000">
            <w:r>
              <w:rPr>
                <w:sz w:val="20"/>
                <w:szCs w:val="20"/>
              </w:rPr>
              <w:t>1. Credit Risk</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8B3CE7" w14:textId="77777777" w:rsidR="00BC469E" w:rsidRDefault="00000000">
            <w:proofErr w:type="spellStart"/>
            <w:r>
              <w:rPr>
                <w:sz w:val="20"/>
                <w:szCs w:val="20"/>
              </w:rPr>
              <w:t>CreditRiskModel</w:t>
            </w:r>
            <w:proofErr w:type="spellEnd"/>
            <w:r>
              <w:rPr>
                <w:sz w:val="20"/>
                <w:szCs w:val="20"/>
              </w:rPr>
              <w:t xml:space="preserve">, </w:t>
            </w:r>
            <w:proofErr w:type="spellStart"/>
            <w:r>
              <w:rPr>
                <w:sz w:val="20"/>
                <w:szCs w:val="20"/>
              </w:rPr>
              <w:t>TransitionMatrix</w:t>
            </w:r>
            <w:proofErr w:type="spellEnd"/>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C3393" w14:textId="77777777" w:rsidR="00BC469E" w:rsidRDefault="00000000">
            <w:r>
              <w:rPr>
                <w:sz w:val="20"/>
                <w:szCs w:val="20"/>
              </w:rPr>
              <w:t>Correlated factor model; generates rating migrations per (scenario, year, issuer)</w:t>
            </w:r>
          </w:p>
        </w:tc>
      </w:tr>
      <w:tr w:rsidR="00BC469E" w14:paraId="4A2CB3D1"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0A1D0" w14:textId="77777777" w:rsidR="00BC469E" w:rsidRDefault="00000000">
            <w:r>
              <w:rPr>
                <w:sz w:val="20"/>
                <w:szCs w:val="20"/>
              </w:rPr>
              <w:t>2. Bond Simulation</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C7298" w14:textId="77777777" w:rsidR="00BC469E" w:rsidRDefault="00000000">
            <w:r>
              <w:rPr>
                <w:sz w:val="20"/>
                <w:szCs w:val="20"/>
              </w:rPr>
              <w:t xml:space="preserve">Bonds, </w:t>
            </w:r>
            <w:proofErr w:type="spellStart"/>
            <w:r>
              <w:rPr>
                <w:sz w:val="20"/>
                <w:szCs w:val="20"/>
              </w:rPr>
              <w:t>BondSimulationResult</w:t>
            </w:r>
            <w:proofErr w:type="spellEnd"/>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4F661" w14:textId="77777777" w:rsidR="00BC469E" w:rsidRDefault="00000000">
            <w:r>
              <w:rPr>
                <w:sz w:val="20"/>
                <w:szCs w:val="20"/>
              </w:rPr>
              <w:t>Projects bond cashflows under default; computes stochastic PVs</w:t>
            </w:r>
          </w:p>
        </w:tc>
      </w:tr>
      <w:tr w:rsidR="004F6192" w14:paraId="2A278D8C"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ADDBD" w14:textId="1D32B201" w:rsidR="004F6192" w:rsidRDefault="004F6192">
            <w:pPr>
              <w:rPr>
                <w:sz w:val="20"/>
                <w:szCs w:val="20"/>
              </w:rPr>
            </w:pPr>
            <w:r>
              <w:rPr>
                <w:sz w:val="20"/>
                <w:szCs w:val="20"/>
              </w:rPr>
              <w:t xml:space="preserve">3. </w:t>
            </w:r>
            <w:r>
              <w:rPr>
                <w:sz w:val="20"/>
                <w:szCs w:val="20"/>
              </w:rPr>
              <w:t>Rates</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9999E" w14:textId="06FBBFAE" w:rsidR="004F6192" w:rsidRDefault="004F6192">
            <w:pPr>
              <w:rPr>
                <w:sz w:val="20"/>
                <w:szCs w:val="20"/>
              </w:rPr>
            </w:pPr>
            <w:r>
              <w:rPr>
                <w:sz w:val="20"/>
                <w:szCs w:val="20"/>
              </w:rPr>
              <w:t>Rates</w:t>
            </w:r>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702EA" w14:textId="77777777" w:rsidR="004F6192" w:rsidRDefault="004F6192">
            <w:pPr>
              <w:rPr>
                <w:sz w:val="20"/>
                <w:szCs w:val="20"/>
              </w:rPr>
            </w:pPr>
          </w:p>
        </w:tc>
      </w:tr>
      <w:tr w:rsidR="00BC469E" w14:paraId="27D813B7"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B24D4" w14:textId="77777777" w:rsidR="00BC469E" w:rsidRDefault="00000000">
            <w:r>
              <w:rPr>
                <w:sz w:val="20"/>
                <w:szCs w:val="20"/>
              </w:rPr>
              <w:t>3. Liabilities</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0B2EE" w14:textId="503F8F2D" w:rsidR="00BC469E" w:rsidRDefault="00000000">
            <w:r>
              <w:rPr>
                <w:sz w:val="20"/>
                <w:szCs w:val="20"/>
              </w:rPr>
              <w:t xml:space="preserve">Liabilities, </w:t>
            </w:r>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D2D1B" w14:textId="77777777" w:rsidR="00BC469E" w:rsidRDefault="00000000">
            <w:r>
              <w:rPr>
                <w:sz w:val="20"/>
                <w:szCs w:val="20"/>
              </w:rPr>
              <w:t>Deterministic liability discounting and yield curve interpolation</w:t>
            </w:r>
          </w:p>
        </w:tc>
      </w:tr>
      <w:tr w:rsidR="00BC469E" w14:paraId="0AD22FDE"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92215" w14:textId="77777777" w:rsidR="00BC469E" w:rsidRDefault="00000000">
            <w:r>
              <w:rPr>
                <w:sz w:val="20"/>
                <w:szCs w:val="20"/>
              </w:rPr>
              <w:t>4. CDI Waterfall</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D47DB" w14:textId="77777777" w:rsidR="00BC469E" w:rsidRDefault="00000000">
            <w:proofErr w:type="spellStart"/>
            <w:r>
              <w:rPr>
                <w:sz w:val="20"/>
                <w:szCs w:val="20"/>
              </w:rPr>
              <w:t>CDIMandate_Fox</w:t>
            </w:r>
            <w:proofErr w:type="spellEnd"/>
            <w:r>
              <w:rPr>
                <w:sz w:val="20"/>
                <w:szCs w:val="20"/>
              </w:rPr>
              <w:t xml:space="preserve">, </w:t>
            </w:r>
            <w:proofErr w:type="spellStart"/>
            <w:r>
              <w:rPr>
                <w:sz w:val="20"/>
                <w:szCs w:val="20"/>
              </w:rPr>
              <w:t>CDISimulationResult</w:t>
            </w:r>
            <w:proofErr w:type="spellEnd"/>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AA0A9" w14:textId="77777777" w:rsidR="00BC469E" w:rsidRDefault="00000000">
            <w:r>
              <w:rPr>
                <w:sz w:val="20"/>
                <w:szCs w:val="20"/>
              </w:rPr>
              <w:t>Asset-liability waterfall; HGB and performance payment mechanics</w:t>
            </w:r>
          </w:p>
        </w:tc>
      </w:tr>
      <w:tr w:rsidR="00BC469E" w14:paraId="524EB809" w14:textId="77777777" w:rsidTr="004F6192">
        <w:tblPrEx>
          <w:tblCellMar>
            <w:top w:w="0" w:type="dxa"/>
            <w:bottom w:w="0" w:type="dxa"/>
          </w:tblCellMar>
        </w:tblPrEx>
        <w:tc>
          <w:tcPr>
            <w:tcW w:w="159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FB2A" w14:textId="77777777" w:rsidR="00BC469E" w:rsidRDefault="00000000">
            <w:r>
              <w:rPr>
                <w:sz w:val="20"/>
                <w:szCs w:val="20"/>
              </w:rPr>
              <w:t>5. ICAAP Capital</w:t>
            </w:r>
          </w:p>
        </w:tc>
        <w:tc>
          <w:tcPr>
            <w:tcW w:w="30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A57D9" w14:textId="77777777" w:rsidR="00BC469E" w:rsidRDefault="00000000">
            <w:proofErr w:type="spellStart"/>
            <w:r>
              <w:rPr>
                <w:sz w:val="20"/>
                <w:szCs w:val="20"/>
              </w:rPr>
              <w:t>CDIMandate_Fox.icaap_capital</w:t>
            </w:r>
            <w:proofErr w:type="spellEnd"/>
            <w:r>
              <w:rPr>
                <w:sz w:val="20"/>
                <w:szCs w:val="20"/>
              </w:rPr>
              <w:t xml:space="preserve">, </w:t>
            </w:r>
            <w:proofErr w:type="spellStart"/>
            <w:r>
              <w:rPr>
                <w:sz w:val="20"/>
                <w:szCs w:val="20"/>
              </w:rPr>
              <w:t>ICAAPResult</w:t>
            </w:r>
            <w:proofErr w:type="spellEnd"/>
          </w:p>
        </w:tc>
        <w:tc>
          <w:tcPr>
            <w:tcW w:w="4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8CE4A" w14:textId="77777777" w:rsidR="00BC469E" w:rsidRDefault="00000000">
            <w:r>
              <w:rPr>
                <w:sz w:val="20"/>
                <w:szCs w:val="20"/>
              </w:rPr>
              <w:t>Nested Monte Carlo for 1-year capital estimation</w:t>
            </w:r>
          </w:p>
        </w:tc>
      </w:tr>
    </w:tbl>
    <w:p w14:paraId="30F7123A" w14:textId="77777777" w:rsidR="00BC469E" w:rsidRDefault="00000000">
      <w:pPr>
        <w:pStyle w:val="Heading2"/>
      </w:pPr>
      <w:bookmarkStart w:id="8" w:name="_Toc223469446"/>
      <w:r>
        <w:t>3.2 Data Flow</w:t>
      </w:r>
      <w:bookmarkEnd w:id="8"/>
    </w:p>
    <w:p w14:paraId="11831690" w14:textId="77777777" w:rsidR="00BC469E" w:rsidRDefault="00000000">
      <w:pPr>
        <w:spacing w:after="120"/>
      </w:pPr>
      <w:r>
        <w:t xml:space="preserve">The simulation proceeds as follows. The </w:t>
      </w:r>
      <w:proofErr w:type="spellStart"/>
      <w:r>
        <w:t>CreditRiskModel</w:t>
      </w:r>
      <w:proofErr w:type="spellEnd"/>
      <w:r>
        <w:t xml:space="preserve"> generates correlated latent variables for each issuer across all scenarios and years. These are transformed via the CDF of the standard normal distribution and mapped through the cumulative transition matrix to produce rating migrations. The Bonds class consumes these migrations, projecting received cashflows (zeroed on default), recovery payments (fired on first default year), and present values (zeroed from default onward). The </w:t>
      </w:r>
      <w:proofErr w:type="spellStart"/>
      <w:r>
        <w:t>CDIMandate_Fox</w:t>
      </w:r>
      <w:proofErr w:type="spellEnd"/>
      <w:r>
        <w:t xml:space="preserve"> class allocates bond-level results to the CDI and CMBP portfolios, then executes the year-by-year waterfall to produce the full distribution of assets, obligations, and funding metrics.</w:t>
      </w:r>
    </w:p>
    <w:p w14:paraId="6D053D78" w14:textId="77777777" w:rsidR="00BC469E" w:rsidRDefault="00000000">
      <w:r>
        <w:br w:type="page"/>
      </w:r>
    </w:p>
    <w:p w14:paraId="7D141668" w14:textId="77777777" w:rsidR="00BC469E" w:rsidRDefault="00000000">
      <w:pPr>
        <w:pStyle w:val="Heading1"/>
      </w:pPr>
      <w:bookmarkStart w:id="9" w:name="_Toc223469447"/>
      <w:r>
        <w:lastRenderedPageBreak/>
        <w:t>4. Credit Risk Model</w:t>
      </w:r>
      <w:bookmarkEnd w:id="9"/>
    </w:p>
    <w:p w14:paraId="06AC90B1" w14:textId="77777777" w:rsidR="00BC469E" w:rsidRDefault="00000000">
      <w:pPr>
        <w:pStyle w:val="Heading2"/>
      </w:pPr>
      <w:bookmarkStart w:id="10" w:name="_Toc223469448"/>
      <w:r>
        <w:t>4.1 Factor Structure</w:t>
      </w:r>
      <w:bookmarkEnd w:id="10"/>
    </w:p>
    <w:p w14:paraId="253781FC" w14:textId="77777777" w:rsidR="00BC469E" w:rsidRDefault="00000000">
      <w:pPr>
        <w:spacing w:after="120"/>
      </w:pPr>
      <w:r>
        <w:t>The credit risk model is a single-period Merton-style factor model extended with sector-level correlations. Each issuer’s latent creditworthiness variable is decomposed into three independent standard normal components:</w:t>
      </w:r>
    </w:p>
    <w:p w14:paraId="5D82766A" w14:textId="77777777" w:rsidR="00BC469E" w:rsidRDefault="00000000">
      <w:pPr>
        <w:spacing w:before="200" w:after="200"/>
        <w:jc w:val="center"/>
      </w:pPr>
      <w:r>
        <w:rPr>
          <w:rFonts w:ascii="Cambria Math" w:eastAsia="Cambria Math" w:hAnsi="Cambria Math" w:cs="Cambria Math"/>
        </w:rPr>
        <w:t>Xᵢ</w:t>
      </w:r>
      <w:r>
        <w:t xml:space="preserve"> = </w:t>
      </w:r>
      <w:r>
        <w:rPr>
          <w:rFonts w:ascii="Cambria Math" w:eastAsia="Cambria Math" w:hAnsi="Cambria Math" w:cs="Cambria Math"/>
        </w:rPr>
        <w:t>√ρₑ</w:t>
      </w:r>
      <w:r>
        <w:t xml:space="preserve"> · </w:t>
      </w:r>
      <w:r>
        <w:rPr>
          <w:rFonts w:ascii="Cambria Math" w:eastAsia="Cambria Math" w:hAnsi="Cambria Math" w:cs="Cambria Math"/>
        </w:rPr>
        <w:t>E</w:t>
      </w:r>
      <w:r>
        <w:t xml:space="preserve"> + </w:t>
      </w:r>
      <w:proofErr w:type="gramStart"/>
      <w:r>
        <w:rPr>
          <w:rFonts w:ascii="Cambria Math" w:eastAsia="Cambria Math" w:hAnsi="Cambria Math" w:cs="Cambria Math"/>
        </w:rPr>
        <w:t>√(</w:t>
      </w:r>
      <w:proofErr w:type="gramEnd"/>
      <w:r>
        <w:rPr>
          <w:rFonts w:ascii="Cambria Math" w:eastAsia="Cambria Math" w:hAnsi="Cambria Math" w:cs="Cambria Math"/>
        </w:rPr>
        <w:t>ρₛ</w:t>
      </w:r>
      <w:r>
        <w:t xml:space="preserve"> − </w:t>
      </w:r>
      <w:r>
        <w:rPr>
          <w:rFonts w:ascii="Cambria Math" w:eastAsia="Cambria Math" w:hAnsi="Cambria Math" w:cs="Cambria Math"/>
        </w:rPr>
        <w:t>ρₑ)</w:t>
      </w:r>
      <w:r>
        <w:t xml:space="preserve"> · </w:t>
      </w:r>
      <w:r>
        <w:rPr>
          <w:rFonts w:ascii="Cambria Math" w:eastAsia="Cambria Math" w:hAnsi="Cambria Math" w:cs="Cambria Math"/>
        </w:rPr>
        <w:t>Sₛ₍ᵢ₎</w:t>
      </w:r>
      <w:r>
        <w:t xml:space="preserve"> + </w:t>
      </w:r>
      <w:proofErr w:type="gramStart"/>
      <w:r>
        <w:rPr>
          <w:rFonts w:ascii="Cambria Math" w:eastAsia="Cambria Math" w:hAnsi="Cambria Math" w:cs="Cambria Math"/>
        </w:rPr>
        <w:t>√(</w:t>
      </w:r>
      <w:proofErr w:type="gramEnd"/>
      <w:r>
        <w:rPr>
          <w:rFonts w:ascii="Cambria Math" w:eastAsia="Cambria Math" w:hAnsi="Cambria Math" w:cs="Cambria Math"/>
        </w:rPr>
        <w:t>1 − ρₛ)</w:t>
      </w:r>
      <w:r>
        <w:t xml:space="preserve"> · </w:t>
      </w:r>
      <w:r>
        <w:rPr>
          <w:rFonts w:ascii="Cambria Math" w:eastAsia="Cambria Math" w:hAnsi="Cambria Math" w:cs="Cambria Math"/>
        </w:rPr>
        <w:t>Iᵢ</w:t>
      </w:r>
    </w:p>
    <w:p w14:paraId="7105A07D" w14:textId="77777777" w:rsidR="00BC469E" w:rsidRDefault="00000000">
      <w:pPr>
        <w:spacing w:after="120"/>
      </w:pPr>
      <w:r>
        <w:t>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C469E" w14:paraId="5DAB780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FEACF65" w14:textId="77777777" w:rsidR="00BC469E" w:rsidRDefault="00000000">
            <w:r>
              <w:rPr>
                <w:b/>
                <w:bCs/>
                <w:color w:val="FFFFFF"/>
                <w:sz w:val="20"/>
                <w:szCs w:val="20"/>
              </w:rPr>
              <w:t>Symbol</w:t>
            </w:r>
          </w:p>
        </w:tc>
        <w:tc>
          <w:tcPr>
            <w:tcW w:w="7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E235CC9" w14:textId="77777777" w:rsidR="00BC469E" w:rsidRDefault="00000000">
            <w:r>
              <w:rPr>
                <w:b/>
                <w:bCs/>
                <w:color w:val="FFFFFF"/>
                <w:sz w:val="20"/>
                <w:szCs w:val="20"/>
              </w:rPr>
              <w:t>Description</w:t>
            </w:r>
          </w:p>
        </w:tc>
      </w:tr>
      <w:tr w:rsidR="00BC469E" w14:paraId="3D3CB1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8FC90" w14:textId="77777777" w:rsidR="00BC469E" w:rsidRDefault="00000000">
            <w:r>
              <w:rPr>
                <w:sz w:val="20"/>
                <w:szCs w:val="20"/>
              </w:rPr>
              <w:t>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DED7D" w14:textId="77777777" w:rsidR="00BC469E" w:rsidRDefault="00000000">
            <w:r>
              <w:rPr>
                <w:sz w:val="20"/>
                <w:szCs w:val="20"/>
              </w:rPr>
              <w:t>Economy-wide systematic factor, common to all issuers</w:t>
            </w:r>
          </w:p>
        </w:tc>
      </w:tr>
      <w:tr w:rsidR="00BC469E" w14:paraId="26F50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9D8F9" w14:textId="77777777" w:rsidR="00BC469E" w:rsidRDefault="00000000">
            <w:r>
              <w:rPr>
                <w:sz w:val="20"/>
                <w:szCs w:val="20"/>
              </w:rPr>
              <w:t>Sₛ</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5A418" w14:textId="77777777" w:rsidR="00BC469E" w:rsidRDefault="00000000">
            <w:r>
              <w:rPr>
                <w:sz w:val="20"/>
                <w:szCs w:val="20"/>
              </w:rPr>
              <w:t>Sector factor for sector s, shared by issuers within the same sector</w:t>
            </w:r>
          </w:p>
        </w:tc>
      </w:tr>
      <w:tr w:rsidR="00BC469E" w14:paraId="194E93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103EC" w14:textId="77777777" w:rsidR="00BC469E" w:rsidRDefault="00000000">
            <w:r>
              <w:rPr>
                <w:sz w:val="20"/>
                <w:szCs w:val="20"/>
              </w:rPr>
              <w:t>Iᵢ</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04BF3" w14:textId="77777777" w:rsidR="00BC469E" w:rsidRDefault="00000000">
            <w:r>
              <w:rPr>
                <w:sz w:val="20"/>
                <w:szCs w:val="20"/>
              </w:rPr>
              <w:t xml:space="preserve">Idiosyncratic factor, unique to issuer </w:t>
            </w:r>
            <w:proofErr w:type="spellStart"/>
            <w:r>
              <w:rPr>
                <w:sz w:val="20"/>
                <w:szCs w:val="20"/>
              </w:rPr>
              <w:t>i</w:t>
            </w:r>
            <w:proofErr w:type="spellEnd"/>
          </w:p>
        </w:tc>
      </w:tr>
      <w:tr w:rsidR="00BC469E" w14:paraId="7A7427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14B1E" w14:textId="77777777" w:rsidR="00BC469E" w:rsidRDefault="00000000">
            <w:r>
              <w:rPr>
                <w:sz w:val="20"/>
                <w:szCs w:val="20"/>
              </w:rPr>
              <w:t>ρₑ</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A560" w14:textId="77777777" w:rsidR="00BC469E" w:rsidRDefault="00000000">
            <w:r>
              <w:rPr>
                <w:sz w:val="20"/>
                <w:szCs w:val="20"/>
              </w:rPr>
              <w:t>Economy-wide asset correlation (R² with E)</w:t>
            </w:r>
          </w:p>
        </w:tc>
      </w:tr>
      <w:tr w:rsidR="00BC469E" w14:paraId="3EBDA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A613D" w14:textId="77777777" w:rsidR="00BC469E" w:rsidRDefault="00000000">
            <w:r>
              <w:rPr>
                <w:sz w:val="20"/>
                <w:szCs w:val="20"/>
              </w:rPr>
              <w:t>ρₛ</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14916" w14:textId="77777777" w:rsidR="00BC469E" w:rsidRDefault="00000000">
            <w:r>
              <w:rPr>
                <w:sz w:val="20"/>
                <w:szCs w:val="20"/>
              </w:rPr>
              <w:t>Sector-level asset correlation (ρₛ ≥ ρₑ required)</w:t>
            </w:r>
          </w:p>
        </w:tc>
      </w:tr>
    </w:tbl>
    <w:p w14:paraId="0CF0A352" w14:textId="77777777" w:rsidR="00BC469E" w:rsidRDefault="00000000">
      <w:pPr>
        <w:spacing w:after="120"/>
      </w:pPr>
      <w:r>
        <w:t xml:space="preserve">All three factors are drawn independently from the standard normal distribution. The variance decomposition ensures that </w:t>
      </w:r>
      <w:proofErr w:type="gramStart"/>
      <w:r>
        <w:t>Var(</w:t>
      </w:r>
      <w:proofErr w:type="gramEnd"/>
      <w:r>
        <w:t xml:space="preserve">Xᵢ) = 1, so that Xᵢ is itself standard normal. The CDF transform </w:t>
      </w:r>
      <w:proofErr w:type="spellStart"/>
      <w:r>
        <w:t>pX</w:t>
      </w:r>
      <w:proofErr w:type="spellEnd"/>
      <w:r>
        <w:t xml:space="preserve"> = Φ(X) maps each latent variable to a uniform [0, 1] draw used for rating migration.</w:t>
      </w:r>
    </w:p>
    <w:p w14:paraId="06B648B9" w14:textId="77777777" w:rsidR="00BC469E" w:rsidRDefault="00000000">
      <w:pPr>
        <w:pStyle w:val="Heading2"/>
      </w:pPr>
      <w:bookmarkStart w:id="11" w:name="_Toc223469449"/>
      <w:r>
        <w:t>4.2 Transition Matrix</w:t>
      </w:r>
      <w:bookmarkEnd w:id="11"/>
    </w:p>
    <w:p w14:paraId="1A10A312" w14:textId="77777777" w:rsidR="00BC469E" w:rsidRDefault="00000000">
      <w:pPr>
        <w:spacing w:after="120"/>
      </w:pPr>
      <w:r>
        <w:t xml:space="preserve">The </w:t>
      </w:r>
      <w:proofErr w:type="spellStart"/>
      <w:r>
        <w:t>TransitionMatrix</w:t>
      </w:r>
      <w:proofErr w:type="spellEnd"/>
      <w:r>
        <w:t xml:space="preserve"> class holds a discrete-time Markov chain with an absorbing default state. The matrix is specified as an N × N row-stochastic matrix where each row sums to 1.0 and the final row/column represents the default state.</w:t>
      </w:r>
    </w:p>
    <w:p w14:paraId="0B4CB66B" w14:textId="77777777" w:rsidR="00BC469E" w:rsidRDefault="00000000">
      <w:pPr>
        <w:spacing w:after="120"/>
      </w:pPr>
      <w:r>
        <w:t xml:space="preserve">Rating migration is performed by comparing the uniform draw </w:t>
      </w:r>
      <w:proofErr w:type="spellStart"/>
      <w:r>
        <w:t>pX</w:t>
      </w:r>
      <w:proofErr w:type="spellEnd"/>
      <w:r>
        <w:t xml:space="preserve"> against the cumulative transition probabilities for the current rating. Specifically, the new rating index is determined by counting how many cumulative probability thresholds the draw exceeds. This is equivalent to inverse CDF sampling from the discrete transition distribution.</w:t>
      </w:r>
    </w:p>
    <w:p w14:paraId="18FEE849" w14:textId="77777777" w:rsidR="00BC469E" w:rsidRDefault="00000000">
      <w:pPr>
        <w:spacing w:after="120"/>
      </w:pPr>
      <w:r>
        <w:t xml:space="preserve">The class also exposes absorbing Markov chain analytics. The fundamental matrix N = (I − </w:t>
      </w:r>
      <w:proofErr w:type="gramStart"/>
      <w:r>
        <w:t>Q)⁻</w:t>
      </w:r>
      <w:proofErr w:type="gramEnd"/>
      <w:r>
        <w:t>¹, where Q is the sub-matrix of transient states, gives the expected number of visits to each non-default rating before eventual absorption. The expected time to default for each initial rating is the row sum of the fundamental matrix, t = N · 1.</w:t>
      </w:r>
    </w:p>
    <w:p w14:paraId="062201F4" w14:textId="77777777" w:rsidR="00BC469E" w:rsidRDefault="00000000">
      <w:pPr>
        <w:pStyle w:val="Heading2"/>
      </w:pPr>
      <w:bookmarkStart w:id="12" w:name="_Toc223469450"/>
      <w:r>
        <w:t>4.3 Correlation Structure</w:t>
      </w:r>
      <w:bookmarkEnd w:id="12"/>
    </w:p>
    <w:p w14:paraId="61B1A16A" w14:textId="77777777" w:rsidR="00BC469E" w:rsidRDefault="00000000">
      <w:pPr>
        <w:spacing w:after="120"/>
      </w:pPr>
      <w:r>
        <w:t xml:space="preserve">The factor model produces a hierarchical correlation structure. The pairwise asset correlation between two issuers </w:t>
      </w:r>
      <w:proofErr w:type="spellStart"/>
      <w:r>
        <w:t>i</w:t>
      </w:r>
      <w:proofErr w:type="spellEnd"/>
      <w:r>
        <w:t xml:space="preserve"> and j depends on whether they share a 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469E" w14:paraId="4570121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68A4D0D" w14:textId="77777777" w:rsidR="00BC469E" w:rsidRDefault="00000000">
            <w:r>
              <w:rPr>
                <w:b/>
                <w:bCs/>
                <w:color w:val="FFFFFF"/>
                <w:sz w:val="20"/>
                <w:szCs w:val="20"/>
              </w:rPr>
              <w:t>Relationship</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32BADAFE" w14:textId="77777777" w:rsidR="00BC469E" w:rsidRDefault="00000000">
            <w:r>
              <w:rPr>
                <w:b/>
                <w:bCs/>
                <w:color w:val="FFFFFF"/>
                <w:sz w:val="20"/>
                <w:szCs w:val="20"/>
              </w:rPr>
              <w:t xml:space="preserve">Pairwise correlation </w:t>
            </w:r>
            <w:proofErr w:type="gramStart"/>
            <w:r>
              <w:rPr>
                <w:b/>
                <w:bCs/>
                <w:color w:val="FFFFFF"/>
                <w:sz w:val="20"/>
                <w:szCs w:val="20"/>
              </w:rPr>
              <w:t>Corr(</w:t>
            </w:r>
            <w:proofErr w:type="gramEnd"/>
            <w:r>
              <w:rPr>
                <w:b/>
                <w:bCs/>
                <w:color w:val="FFFFFF"/>
                <w:sz w:val="20"/>
                <w:szCs w:val="20"/>
              </w:rPr>
              <w:t>Xᵢ, Xⱼ)</w:t>
            </w:r>
          </w:p>
        </w:tc>
      </w:tr>
      <w:tr w:rsidR="00BC469E" w14:paraId="154975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22789" w14:textId="77777777" w:rsidR="00BC469E" w:rsidRDefault="00000000">
            <w:r>
              <w:rPr>
                <w:sz w:val="20"/>
                <w:szCs w:val="20"/>
              </w:rPr>
              <w:t>Same sector</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39B4B" w14:textId="77777777" w:rsidR="00BC469E" w:rsidRDefault="00000000">
            <w:r>
              <w:rPr>
                <w:sz w:val="20"/>
                <w:szCs w:val="20"/>
              </w:rPr>
              <w:t>ρₛ</w:t>
            </w:r>
          </w:p>
        </w:tc>
      </w:tr>
      <w:tr w:rsidR="00BC469E" w14:paraId="46647C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D11E0" w14:textId="77777777" w:rsidR="00BC469E" w:rsidRDefault="00000000">
            <w:r>
              <w:rPr>
                <w:sz w:val="20"/>
                <w:szCs w:val="20"/>
              </w:rPr>
              <w:t>Different sectors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38C26" w14:textId="77777777" w:rsidR="00BC469E" w:rsidRDefault="00000000">
            <w:r>
              <w:rPr>
                <w:sz w:val="20"/>
                <w:szCs w:val="20"/>
              </w:rPr>
              <w:t>ρₑ</w:t>
            </w:r>
          </w:p>
        </w:tc>
      </w:tr>
      <w:tr w:rsidR="00BC469E" w14:paraId="5340AC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812BD" w14:textId="77777777" w:rsidR="00BC469E" w:rsidRDefault="00000000">
            <w:r>
              <w:rPr>
                <w:sz w:val="20"/>
                <w:szCs w:val="20"/>
              </w:rPr>
              <w:t>Same issuer</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39BE7" w14:textId="77777777" w:rsidR="00BC469E" w:rsidRDefault="00000000">
            <w:r>
              <w:rPr>
                <w:sz w:val="20"/>
                <w:szCs w:val="20"/>
              </w:rPr>
              <w:t>1</w:t>
            </w:r>
          </w:p>
        </w:tc>
      </w:tr>
    </w:tbl>
    <w:p w14:paraId="73168030" w14:textId="77777777" w:rsidR="00BC469E" w:rsidRDefault="00000000">
      <w:pPr>
        <w:spacing w:after="120"/>
      </w:pPr>
      <w:r>
        <w:lastRenderedPageBreak/>
        <w:t>When ρₛ = ρₑ (as in the current Fox calibration), the model reduces to a single-factor model where all issuers share the same systematic correlation. This eliminates sector-specific concentration effects but simplifies calibration.</w:t>
      </w:r>
    </w:p>
    <w:p w14:paraId="4140941E" w14:textId="77777777" w:rsidR="00BC469E" w:rsidRDefault="00000000">
      <w:pPr>
        <w:pStyle w:val="Heading2"/>
      </w:pPr>
      <w:bookmarkStart w:id="13" w:name="_Toc223469451"/>
      <w:r>
        <w:t>4.4 Temporal Independence</w:t>
      </w:r>
      <w:bookmarkEnd w:id="13"/>
    </w:p>
    <w:p w14:paraId="657F2547" w14:textId="77777777" w:rsidR="00BC469E" w:rsidRDefault="00000000">
      <w:pPr>
        <w:spacing w:after="120"/>
      </w:pPr>
      <w:r>
        <w:t>The factor draws (E, S, I) are independent across years. This means the model does not capture credit cycle persistence, momentum, or mean reversion in credit quality. Each annual transition depends only on the current rating state, consistent with the Markov property of the transition matrix. Serial dependence in defaults arises solely through the path-dependent rating state (once defaulted, always defaulted), not through correlated factor shocks.</w:t>
      </w:r>
    </w:p>
    <w:p w14:paraId="59C60196" w14:textId="77777777" w:rsidR="00BC469E" w:rsidRDefault="00000000">
      <w:r>
        <w:br w:type="page"/>
      </w:r>
    </w:p>
    <w:p w14:paraId="1C37CDCE" w14:textId="77777777" w:rsidR="00BC469E" w:rsidRDefault="00000000">
      <w:pPr>
        <w:pStyle w:val="Heading1"/>
      </w:pPr>
      <w:bookmarkStart w:id="14" w:name="_Toc223469452"/>
      <w:r>
        <w:lastRenderedPageBreak/>
        <w:t>5. Bond Simulation</w:t>
      </w:r>
      <w:bookmarkEnd w:id="14"/>
    </w:p>
    <w:p w14:paraId="23DF2A69" w14:textId="77777777" w:rsidR="00BC469E" w:rsidRDefault="00000000">
      <w:pPr>
        <w:pStyle w:val="Heading2"/>
      </w:pPr>
      <w:bookmarkStart w:id="15" w:name="_Toc223469453"/>
      <w:r>
        <w:t>5.1 Cashflow Projection</w:t>
      </w:r>
      <w:bookmarkEnd w:id="15"/>
    </w:p>
    <w:p w14:paraId="436AB810" w14:textId="77777777" w:rsidR="00BC469E" w:rsidRDefault="00000000">
      <w:pPr>
        <w:spacing w:after="120"/>
      </w:pPr>
      <w:r>
        <w:t>The Bonds class maps issuer-level rating transitions to bond-level cashflow outcomes. For each (scenario, year, bond) triple, the model determines:</w:t>
      </w:r>
    </w:p>
    <w:p w14:paraId="7024274F" w14:textId="77777777" w:rsidR="00BC469E" w:rsidRDefault="00000000">
      <w:pPr>
        <w:spacing w:after="120"/>
      </w:pPr>
      <w:r>
        <w:rPr>
          <w:b/>
          <w:bCs/>
        </w:rPr>
        <w:t xml:space="preserve">Received cashflows: </w:t>
      </w:r>
      <w:r>
        <w:t>scheduled bond cashflows are received in full if the issuer has not defaulted. In the year of default and all subsequent years, received cashflows are zero.</w:t>
      </w:r>
    </w:p>
    <w:p w14:paraId="3604F850" w14:textId="77777777" w:rsidR="00BC469E" w:rsidRDefault="00000000">
      <w:pPr>
        <w:spacing w:after="120"/>
      </w:pPr>
      <w:r>
        <w:rPr>
          <w:b/>
          <w:bCs/>
        </w:rPr>
        <w:t xml:space="preserve">Recovery payments: </w:t>
      </w:r>
      <w:r>
        <w:t>on the first year of default, a recovery payment equal to the bond’s recovery rate multiplied by the face value is received, provided the bond has not already matured. Recovery is a one-time event; default is absorbing.</w:t>
      </w:r>
    </w:p>
    <w:p w14:paraId="77B6DD37" w14:textId="77777777" w:rsidR="00BC469E" w:rsidRDefault="00000000">
      <w:pPr>
        <w:spacing w:after="120"/>
      </w:pPr>
      <w:r>
        <w:rPr>
          <w:b/>
          <w:bCs/>
        </w:rPr>
        <w:t xml:space="preserve">Total cashflows: </w:t>
      </w:r>
      <w:r>
        <w:t>the sum of received cashflows and recovery payments.</w:t>
      </w:r>
    </w:p>
    <w:p w14:paraId="3D51841C" w14:textId="77777777" w:rsidR="00BC469E" w:rsidRDefault="00000000">
      <w:pPr>
        <w:spacing w:after="120"/>
      </w:pPr>
      <w:r>
        <w:t>A maturity flag array tracks whether each bond has remaining cashflows. The flag prevents recovery payments from firing on bonds that have already paid their final coupon and principal.</w:t>
      </w:r>
    </w:p>
    <w:p w14:paraId="7B460D32" w14:textId="77777777" w:rsidR="00BC469E" w:rsidRDefault="00000000">
      <w:pPr>
        <w:pStyle w:val="Heading2"/>
      </w:pPr>
      <w:bookmarkStart w:id="16" w:name="_Toc223469454"/>
      <w:r>
        <w:t>5.2 Present Value Calculation</w:t>
      </w:r>
      <w:bookmarkEnd w:id="16"/>
    </w:p>
    <w:p w14:paraId="49752E00" w14:textId="77777777" w:rsidR="00BC469E" w:rsidRDefault="00000000">
      <w:pPr>
        <w:spacing w:after="120"/>
      </w:pPr>
      <w:r>
        <w:t>Bond present values are computed at each year-end by discounting remaining future cashflows at the prevailing yield plus a credit spread determined by the bond’s current rating in that scenario:</w:t>
      </w:r>
    </w:p>
    <w:p w14:paraId="2F729323" w14:textId="77777777" w:rsidR="00BC469E" w:rsidRDefault="00000000">
      <w:pPr>
        <w:spacing w:before="200" w:after="200"/>
        <w:jc w:val="center"/>
      </w:pPr>
      <w:r>
        <w:rPr>
          <w:rFonts w:ascii="Cambria Math" w:eastAsia="Cambria Math" w:hAnsi="Cambria Math" w:cs="Cambria Math"/>
        </w:rPr>
        <w:t>PVₜ</w:t>
      </w:r>
      <w:r>
        <w:t xml:space="preserve"> = </w:t>
      </w:r>
      <w:r>
        <w:rPr>
          <w:rFonts w:ascii="Cambria Math" w:eastAsia="Cambria Math" w:hAnsi="Cambria Math" w:cs="Cambria Math"/>
        </w:rPr>
        <w:t>Σ</w:t>
      </w:r>
      <w:r>
        <w:t xml:space="preserve"> CF</w:t>
      </w:r>
      <w:r>
        <w:rPr>
          <w:rFonts w:ascii="Cambria Math" w:eastAsia="Cambria Math" w:hAnsi="Cambria Math" w:cs="Cambria Math"/>
        </w:rPr>
        <w:t>ₛ</w:t>
      </w:r>
      <w:r>
        <w:t xml:space="preserve"> · (1 + y</w:t>
      </w:r>
      <w:r>
        <w:rPr>
          <w:rFonts w:ascii="Cambria Math" w:eastAsia="Cambria Math" w:hAnsi="Cambria Math" w:cs="Cambria Math"/>
        </w:rPr>
        <w:t>ₛ</w:t>
      </w:r>
      <w:r>
        <w:t xml:space="preserve"> + spread(rating</w:t>
      </w:r>
      <w:r>
        <w:rPr>
          <w:rFonts w:ascii="Cambria Math" w:eastAsia="Cambria Math" w:hAnsi="Cambria Math" w:cs="Cambria Math"/>
        </w:rPr>
        <w:t>ₜ</w:t>
      </w:r>
      <w:proofErr w:type="gramStart"/>
      <w:r>
        <w:t>))</w:t>
      </w:r>
      <w:r>
        <w:rPr>
          <w:rFonts w:ascii="Cambria Math" w:eastAsia="Cambria Math" w:hAnsi="Cambria Math" w:cs="Cambria Math"/>
        </w:rPr>
        <w:t>⁻</w:t>
      </w:r>
      <w:proofErr w:type="gramEnd"/>
      <w:r>
        <w:rPr>
          <w:rFonts w:ascii="Cambria Math" w:eastAsia="Cambria Math" w:hAnsi="Cambria Math" w:cs="Cambria Math"/>
        </w:rPr>
        <w:t>(ₛ⁻ₜ)</w:t>
      </w:r>
    </w:p>
    <w:p w14:paraId="59837716" w14:textId="77777777" w:rsidR="00BC469E" w:rsidRDefault="00000000">
      <w:pPr>
        <w:spacing w:after="120"/>
      </w:pPr>
      <w:r>
        <w:t>The implementation precomputes a PV lookup table indexed by unique spread values. Since the number of distinct ratings is far smaller than the total (</w:t>
      </w:r>
      <w:proofErr w:type="spellStart"/>
      <w:r>
        <w:t>n_sim</w:t>
      </w:r>
      <w:proofErr w:type="spellEnd"/>
      <w:r>
        <w:t xml:space="preserve"> × </w:t>
      </w:r>
      <w:proofErr w:type="spellStart"/>
      <w:r>
        <w:t>n_years</w:t>
      </w:r>
      <w:proofErr w:type="spellEnd"/>
      <w:r>
        <w:t xml:space="preserve"> × </w:t>
      </w:r>
      <w:proofErr w:type="spellStart"/>
      <w:r>
        <w:t>n_bonds</w:t>
      </w:r>
      <w:proofErr w:type="spellEnd"/>
      <w:r>
        <w:t xml:space="preserve">) array, this avoids redundant discounting and provides a significant computational speedup. The lookup is performed via advanced </w:t>
      </w:r>
      <w:proofErr w:type="spellStart"/>
      <w:r>
        <w:t>numpy</w:t>
      </w:r>
      <w:proofErr w:type="spellEnd"/>
      <w:r>
        <w:t xml:space="preserve"> indexing: each (sim, year, bond) is mapped to its spread index, then the PV is read from the precomputed table.</w:t>
      </w:r>
    </w:p>
    <w:p w14:paraId="237C6AE0" w14:textId="77777777" w:rsidR="00BC469E" w:rsidRDefault="00000000">
      <w:pPr>
        <w:spacing w:after="120"/>
      </w:pPr>
      <w:r>
        <w:t xml:space="preserve">For bonds that have defaulted, PV is set to zero from the first default year onward. Default is </w:t>
      </w:r>
      <w:proofErr w:type="gramStart"/>
      <w:r>
        <w:t>absorbing:</w:t>
      </w:r>
      <w:proofErr w:type="gramEnd"/>
      <w:r>
        <w:t xml:space="preserve"> once a bond enters the default state, its contribution to portfolio value is permanently extinguished.</w:t>
      </w:r>
    </w:p>
    <w:p w14:paraId="771CCBB8" w14:textId="77777777" w:rsidR="00BC469E" w:rsidRDefault="00000000">
      <w:r>
        <w:br w:type="page"/>
      </w:r>
    </w:p>
    <w:p w14:paraId="26C04276" w14:textId="77777777" w:rsidR="00BC469E" w:rsidRDefault="00000000">
      <w:pPr>
        <w:pStyle w:val="Heading1"/>
      </w:pPr>
      <w:bookmarkStart w:id="17" w:name="_Toc223469455"/>
      <w:r>
        <w:lastRenderedPageBreak/>
        <w:t>6. Yield Curve and Discounting</w:t>
      </w:r>
      <w:bookmarkEnd w:id="17"/>
    </w:p>
    <w:p w14:paraId="38C28302" w14:textId="77777777" w:rsidR="00BC469E" w:rsidRDefault="00000000">
      <w:pPr>
        <w:pStyle w:val="Heading2"/>
      </w:pPr>
      <w:bookmarkStart w:id="18" w:name="_Toc223469456"/>
      <w:r>
        <w:t>6.1 Yield Curve Interpolation</w:t>
      </w:r>
      <w:bookmarkEnd w:id="18"/>
    </w:p>
    <w:p w14:paraId="1928AAE9" w14:textId="77777777" w:rsidR="00BC469E" w:rsidRDefault="00000000">
      <w:pPr>
        <w:spacing w:after="120"/>
      </w:pPr>
      <w:r>
        <w:t xml:space="preserve">The Rates class holds a term structure of government bond (Bund) yields. Yields are stored as a time series indexed by date and interpolated to arbitrary dates using pandas’ time-weighted linear interpolation. The combined index of observed and requested dates is constructed, yields are reindexed with </w:t>
      </w:r>
      <w:proofErr w:type="spellStart"/>
      <w:r>
        <w:t>NaN</w:t>
      </w:r>
      <w:proofErr w:type="spellEnd"/>
      <w:r>
        <w:t xml:space="preserve"> gaps, and linear interpolation fills the missing values.</w:t>
      </w:r>
    </w:p>
    <w:p w14:paraId="4831758D" w14:textId="77777777" w:rsidR="00BC469E" w:rsidRDefault="00000000">
      <w:pPr>
        <w:pStyle w:val="Heading2"/>
      </w:pPr>
      <w:bookmarkStart w:id="19" w:name="_Toc223469457"/>
      <w:r>
        <w:t>6.2 Forward Rate Calculation</w:t>
      </w:r>
      <w:bookmarkEnd w:id="19"/>
    </w:p>
    <w:p w14:paraId="2C7771F3" w14:textId="77777777" w:rsidR="00BC469E" w:rsidRDefault="00000000">
      <w:pPr>
        <w:spacing w:after="120"/>
      </w:pPr>
      <w:r>
        <w:t>Implied forward rates are bootstrapped from the interpolated yield curve using the standard no-arbitrage identity:</w:t>
      </w:r>
    </w:p>
    <w:p w14:paraId="7D5B34F1" w14:textId="77777777" w:rsidR="00BC469E" w:rsidRDefault="00000000">
      <w:pPr>
        <w:spacing w:before="200" w:after="200"/>
        <w:jc w:val="center"/>
      </w:pPr>
      <w:proofErr w:type="gramStart"/>
      <w:r>
        <w:rPr>
          <w:rFonts w:ascii="Cambria Math" w:eastAsia="Cambria Math" w:hAnsi="Cambria Math" w:cs="Cambria Math"/>
        </w:rPr>
        <w:t>f(</w:t>
      </w:r>
      <w:proofErr w:type="gramEnd"/>
      <w:r>
        <w:rPr>
          <w:rFonts w:ascii="Cambria Math" w:eastAsia="Cambria Math" w:hAnsi="Cambria Math" w:cs="Cambria Math"/>
        </w:rPr>
        <w:t>t₁, t₂)</w:t>
      </w:r>
      <w:r>
        <w:t xml:space="preserve"> = </w:t>
      </w:r>
      <w:r>
        <w:rPr>
          <w:rFonts w:ascii="Cambria Math" w:eastAsia="Cambria Math" w:hAnsi="Cambria Math" w:cs="Cambria Math"/>
        </w:rPr>
        <w:t>[(1 + y</w:t>
      </w:r>
      <w:proofErr w:type="gramStart"/>
      <w:r>
        <w:rPr>
          <w:rFonts w:ascii="Cambria Math" w:eastAsia="Cambria Math" w:hAnsi="Cambria Math" w:cs="Cambria Math"/>
        </w:rPr>
        <w:t>₂)ᵗ</w:t>
      </w:r>
      <w:proofErr w:type="gramEnd"/>
      <w:r>
        <w:rPr>
          <w:rFonts w:ascii="Cambria Math" w:eastAsia="Cambria Math" w:hAnsi="Cambria Math" w:cs="Cambria Math"/>
        </w:rPr>
        <w:t>²</w:t>
      </w:r>
      <w:r>
        <w:t xml:space="preserve"> / </w:t>
      </w:r>
      <w:r>
        <w:rPr>
          <w:rFonts w:ascii="Cambria Math" w:eastAsia="Cambria Math" w:hAnsi="Cambria Math" w:cs="Cambria Math"/>
        </w:rPr>
        <w:t>(1 + y</w:t>
      </w:r>
      <w:proofErr w:type="gramStart"/>
      <w:r>
        <w:rPr>
          <w:rFonts w:ascii="Cambria Math" w:eastAsia="Cambria Math" w:hAnsi="Cambria Math" w:cs="Cambria Math"/>
        </w:rPr>
        <w:t>₁)ᵗ¹]¹</w:t>
      </w:r>
      <w:proofErr w:type="gramEnd"/>
      <w:r>
        <w:rPr>
          <w:rFonts w:ascii="Cambria Math" w:eastAsia="Cambria Math" w:hAnsi="Cambria Math" w:cs="Cambria Math"/>
        </w:rPr>
        <w:t>/(ᵗ²⁻ᵗ¹)</w:t>
      </w:r>
      <w:r>
        <w:t xml:space="preserve"> − 1</w:t>
      </w:r>
    </w:p>
    <w:p w14:paraId="2F0AEE33" w14:textId="77777777" w:rsidR="00BC469E" w:rsidRDefault="00000000">
      <w:pPr>
        <w:spacing w:after="120"/>
      </w:pPr>
      <w:r>
        <w:t>Where y₁ and y₂ are the zero-coupon yields at times t₁ and t₂ respectively. Year fractions are computed as actual days divided by 365. The forward rate for the first period is set equal to the first interpolated yield. These forward rates are used both for cash accrual in the waterfall and for the bund comparator.</w:t>
      </w:r>
    </w:p>
    <w:p w14:paraId="5160DCB0" w14:textId="77777777" w:rsidR="00BC469E" w:rsidRDefault="00000000">
      <w:pPr>
        <w:pStyle w:val="Heading2"/>
      </w:pPr>
      <w:bookmarkStart w:id="20" w:name="_Toc223469458"/>
      <w:r>
        <w:t>6.3 Liability Discounting</w:t>
      </w:r>
      <w:bookmarkEnd w:id="20"/>
    </w:p>
    <w:p w14:paraId="0BFF34B1" w14:textId="77777777" w:rsidR="00BC469E" w:rsidRDefault="00000000">
      <w:pPr>
        <w:spacing w:after="120"/>
      </w:pPr>
      <w:r>
        <w:t>The Liabilities class holds a deterministic schedule of annual liability cashflows. Present values are computed by discounting each future cashflow at the relevant rate, which can be either a scalar discount rate (for GAAP/IFRS purposes) or the full yield curve. The class supports two modes: a single-point PV (sum of all discounted cashflows) and a timeline PV (the present value at each future year-end of all remaining cashflows beyond that date), the latter being used in the waterfall for year-by-year funding level calculations.</w:t>
      </w:r>
    </w:p>
    <w:p w14:paraId="58951B3A" w14:textId="77777777" w:rsidR="00BC469E" w:rsidRDefault="00000000">
      <w:r>
        <w:br w:type="page"/>
      </w:r>
    </w:p>
    <w:p w14:paraId="6B42715C" w14:textId="77777777" w:rsidR="00BC469E" w:rsidRDefault="00000000">
      <w:pPr>
        <w:pStyle w:val="Heading1"/>
      </w:pPr>
      <w:bookmarkStart w:id="21" w:name="_Toc223469459"/>
      <w:r>
        <w:lastRenderedPageBreak/>
        <w:t>7. CDI Asset-Liability Waterfall</w:t>
      </w:r>
      <w:bookmarkEnd w:id="21"/>
    </w:p>
    <w:p w14:paraId="6F03C8D6" w14:textId="77777777" w:rsidR="00BC469E" w:rsidRDefault="00000000">
      <w:pPr>
        <w:spacing w:after="120"/>
      </w:pPr>
      <w:r>
        <w:t xml:space="preserve">The </w:t>
      </w:r>
      <w:proofErr w:type="spellStart"/>
      <w:r>
        <w:t>CDIMandate_Fox</w:t>
      </w:r>
      <w:proofErr w:type="spellEnd"/>
      <w:r>
        <w:t xml:space="preserve"> class implements the year-by-year waterfall logic that combines the stochastic asset simulation with the deterministic liability schedule. The waterfall is the core of the model, producing the distribution of all key metrics across scenarios.</w:t>
      </w:r>
    </w:p>
    <w:p w14:paraId="7F3CA1AA" w14:textId="77777777" w:rsidR="00BC469E" w:rsidRDefault="00000000">
      <w:pPr>
        <w:pStyle w:val="Heading2"/>
      </w:pPr>
      <w:bookmarkStart w:id="22" w:name="_Toc223469460"/>
      <w:r>
        <w:t>7.1 Initial Conditions</w:t>
      </w:r>
      <w:bookmarkEnd w:id="22"/>
    </w:p>
    <w:p w14:paraId="5412F490" w14:textId="77777777" w:rsidR="00BC469E" w:rsidRDefault="00000000">
      <w:pPr>
        <w:spacing w:after="120"/>
      </w:pPr>
      <w:r>
        <w:t>At the valuation date, the model computes: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C469E" w14:paraId="64FAA1F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63D1140" w14:textId="77777777" w:rsidR="00BC469E" w:rsidRDefault="00000000">
            <w:r>
              <w:rPr>
                <w:b/>
                <w:bCs/>
                <w:color w:val="FFFFFF"/>
                <w:sz w:val="20"/>
                <w:szCs w:val="20"/>
              </w:rPr>
              <w:t>Quantity</w:t>
            </w:r>
          </w:p>
        </w:tc>
        <w:tc>
          <w:tcPr>
            <w:tcW w:w="6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FCBB565" w14:textId="77777777" w:rsidR="00BC469E" w:rsidRDefault="00000000">
            <w:r>
              <w:rPr>
                <w:b/>
                <w:bCs/>
                <w:color w:val="FFFFFF"/>
                <w:sz w:val="20"/>
                <w:szCs w:val="20"/>
              </w:rPr>
              <w:t>Definition</w:t>
            </w:r>
          </w:p>
        </w:tc>
      </w:tr>
      <w:tr w:rsidR="00BC469E" w14:paraId="0C89E4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40BAB" w14:textId="77777777" w:rsidR="00BC469E" w:rsidRDefault="00000000">
            <w:r>
              <w:rPr>
                <w:sz w:val="20"/>
                <w:szCs w:val="20"/>
              </w:rPr>
              <w:t>CDI portfolio value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08CE4" w14:textId="77777777" w:rsidR="00BC469E" w:rsidRDefault="00000000">
            <w:r>
              <w:rPr>
                <w:sz w:val="20"/>
                <w:szCs w:val="20"/>
              </w:rPr>
              <w:t>Sum of (allocation × bond price) across all CDI bonds</w:t>
            </w:r>
          </w:p>
        </w:tc>
      </w:tr>
      <w:tr w:rsidR="00BC469E" w14:paraId="2F6E21E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80AD0" w14:textId="77777777" w:rsidR="00BC469E" w:rsidRDefault="00000000">
            <w:r>
              <w:rPr>
                <w:sz w:val="20"/>
                <w:szCs w:val="20"/>
              </w:rPr>
              <w:t>CMBP portfolio value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3883C" w14:textId="77777777" w:rsidR="00BC469E" w:rsidRDefault="00000000">
            <w:r>
              <w:rPr>
                <w:sz w:val="20"/>
                <w:szCs w:val="20"/>
              </w:rPr>
              <w:t>Sum of (allocation × bond price) across all comparator bonds</w:t>
            </w:r>
          </w:p>
        </w:tc>
      </w:tr>
      <w:tr w:rsidR="00BC469E" w14:paraId="5F0C71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6F53B" w14:textId="77777777" w:rsidR="00BC469E" w:rsidRDefault="00000000">
            <w:r>
              <w:rPr>
                <w:sz w:val="20"/>
                <w:szCs w:val="20"/>
              </w:rPr>
              <w:t>Total assets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AA443" w14:textId="77777777" w:rsidR="00BC469E" w:rsidRDefault="00000000">
            <w:r>
              <w:rPr>
                <w:sz w:val="20"/>
                <w:szCs w:val="20"/>
              </w:rPr>
              <w:t>CDI portfolio value + starting cash</w:t>
            </w:r>
          </w:p>
        </w:tc>
      </w:tr>
      <w:tr w:rsidR="00BC469E" w14:paraId="75CCB1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62DA47" w14:textId="77777777" w:rsidR="00BC469E" w:rsidRDefault="00000000">
            <w:r>
              <w:rPr>
                <w:sz w:val="20"/>
                <w:szCs w:val="20"/>
              </w:rPr>
              <w:t>Initial HGB gap</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CD10D" w14:textId="77777777" w:rsidR="00BC469E" w:rsidRDefault="00000000">
            <w:proofErr w:type="spellStart"/>
            <w:r>
              <w:rPr>
                <w:sz w:val="20"/>
                <w:szCs w:val="20"/>
              </w:rPr>
              <w:t>Heubeck</w:t>
            </w:r>
            <w:proofErr w:type="spellEnd"/>
            <w:r>
              <w:rPr>
                <w:sz w:val="20"/>
                <w:szCs w:val="20"/>
              </w:rPr>
              <w:t xml:space="preserve"> liabilities × mortality buffer − (total assets + asset buffer)</w:t>
            </w:r>
          </w:p>
        </w:tc>
      </w:tr>
    </w:tbl>
    <w:p w14:paraId="48D2682D" w14:textId="77777777" w:rsidR="00BC469E" w:rsidRDefault="00000000">
      <w:pPr>
        <w:pStyle w:val="Heading2"/>
      </w:pPr>
      <w:bookmarkStart w:id="23" w:name="_Toc223469461"/>
      <w:r>
        <w:t>7.2 Annual Waterfall Steps</w:t>
      </w:r>
      <w:bookmarkEnd w:id="23"/>
    </w:p>
    <w:p w14:paraId="4AF35E17" w14:textId="77777777" w:rsidR="00BC469E" w:rsidRDefault="00000000">
      <w:pPr>
        <w:spacing w:after="120"/>
      </w:pPr>
      <w:r>
        <w:t>For each year t = 1, 2, …, T the following sequence is applied across all scenarios simultaneously:</w:t>
      </w:r>
    </w:p>
    <w:p w14:paraId="756D66BA" w14:textId="77777777" w:rsidR="00BC469E" w:rsidRDefault="00000000">
      <w:pPr>
        <w:spacing w:after="120"/>
      </w:pPr>
      <w:r>
        <w:rPr>
          <w:b/>
          <w:bCs/>
        </w:rPr>
        <w:t xml:space="preserve">Step 1 — Fee calculation. </w:t>
      </w:r>
      <w:r>
        <w:t xml:space="preserve">The management fee is computed as a percentage of the projected end-of-year asset value: fee = </w:t>
      </w:r>
      <w:proofErr w:type="spellStart"/>
      <w:r>
        <w:t>fee_rate</w:t>
      </w:r>
      <w:proofErr w:type="spellEnd"/>
      <w:r>
        <w:t xml:space="preserve"> × (cash × (1 + </w:t>
      </w:r>
      <w:proofErr w:type="spellStart"/>
      <w:r>
        <w:t>fwd</w:t>
      </w:r>
      <w:proofErr w:type="spellEnd"/>
      <w:r>
        <w:t xml:space="preserve">) + </w:t>
      </w:r>
      <w:proofErr w:type="spellStart"/>
      <w:r>
        <w:t>bond_PV</w:t>
      </w:r>
      <w:proofErr w:type="spellEnd"/>
      <w:r>
        <w:t xml:space="preserve"> + </w:t>
      </w:r>
      <w:proofErr w:type="spellStart"/>
      <w:r>
        <w:t>bond_cashflow</w:t>
      </w:r>
      <w:proofErr w:type="spellEnd"/>
      <w:r>
        <w:t>).</w:t>
      </w:r>
    </w:p>
    <w:p w14:paraId="010AEDA0" w14:textId="77777777" w:rsidR="00BC469E" w:rsidRDefault="00000000">
      <w:pPr>
        <w:spacing w:after="120"/>
      </w:pPr>
      <w:r>
        <w:rPr>
          <w:b/>
          <w:bCs/>
        </w:rPr>
        <w:t xml:space="preserve">Step 2 — Cash update. </w:t>
      </w:r>
      <w:r>
        <w:t xml:space="preserve">Cash is rolled forward at the forward rate, receives bond cashflows, pays the liability cashflow for the year, and deducts the fee: cash = cash × (1 + </w:t>
      </w:r>
      <w:proofErr w:type="spellStart"/>
      <w:r>
        <w:t>fwd</w:t>
      </w:r>
      <w:proofErr w:type="spellEnd"/>
      <w:r>
        <w:t xml:space="preserve">) + </w:t>
      </w:r>
      <w:proofErr w:type="spellStart"/>
      <w:r>
        <w:t>asset_cashflows</w:t>
      </w:r>
      <w:proofErr w:type="spellEnd"/>
      <w:r>
        <w:t xml:space="preserve"> − </w:t>
      </w:r>
      <w:proofErr w:type="spellStart"/>
      <w:r>
        <w:t>liability_cashflow</w:t>
      </w:r>
      <w:proofErr w:type="spellEnd"/>
      <w:r>
        <w:t xml:space="preserve"> − fee.</w:t>
      </w:r>
    </w:p>
    <w:p w14:paraId="1B4AD6F0" w14:textId="77777777" w:rsidR="00BC469E" w:rsidRDefault="00000000">
      <w:pPr>
        <w:spacing w:after="120"/>
      </w:pPr>
      <w:r>
        <w:rPr>
          <w:b/>
          <w:bCs/>
        </w:rPr>
        <w:t xml:space="preserve">Step 3 — Asset valuation. </w:t>
      </w:r>
      <w:r>
        <w:t xml:space="preserve">Total assets are updated as cash plus the remaining bond portfolio present value: assets = cash + </w:t>
      </w:r>
      <w:proofErr w:type="spellStart"/>
      <w:r>
        <w:t>bond_PV</w:t>
      </w:r>
      <w:proofErr w:type="spellEnd"/>
      <w:r>
        <w:t>.</w:t>
      </w:r>
    </w:p>
    <w:p w14:paraId="2124776D" w14:textId="77777777" w:rsidR="00BC469E" w:rsidRDefault="00000000">
      <w:pPr>
        <w:spacing w:after="120"/>
      </w:pPr>
      <w:r>
        <w:rPr>
          <w:b/>
          <w:bCs/>
        </w:rPr>
        <w:t xml:space="preserve">Step 4 — HGB gap and payment. </w:t>
      </w:r>
      <w:r>
        <w:t>The HGB gap is recalculated as the meltdown liability less assets and the asset buffer, clipped to [0, previous gap] so it can only shrink over time. The HGB payment is the shortfall of assets below the next two years of liability cashflows, clipped to the remaining gap (gap less cumulative payments already made).</w:t>
      </w:r>
    </w:p>
    <w:p w14:paraId="0F066575" w14:textId="77777777" w:rsidR="00BC469E" w:rsidRDefault="00000000">
      <w:pPr>
        <w:spacing w:after="120"/>
      </w:pPr>
      <w:r>
        <w:rPr>
          <w:b/>
          <w:bCs/>
        </w:rPr>
        <w:t xml:space="preserve">Step 5 — Additional payment. </w:t>
      </w:r>
      <w:r>
        <w:t>At the configured additional payment year (default: year 10), if the scheme is underfunded, an additional capital injection is made. The amount is the minimum of the GAAP underfunding and 110% of the IFRS underfunding, capped by the asset buffer.</w:t>
      </w:r>
    </w:p>
    <w:p w14:paraId="036EF4F7" w14:textId="77777777" w:rsidR="00BC469E" w:rsidRDefault="00000000">
      <w:pPr>
        <w:spacing w:after="120"/>
      </w:pPr>
      <w:r>
        <w:rPr>
          <w:b/>
          <w:bCs/>
        </w:rPr>
        <w:t xml:space="preserve">Step 6 — Bund comparator. </w:t>
      </w:r>
      <w:r>
        <w:t xml:space="preserve">The shadow bund portfolio </w:t>
      </w:r>
      <w:proofErr w:type="gramStart"/>
      <w:r>
        <w:t>is evolved</w:t>
      </w:r>
      <w:proofErr w:type="gramEnd"/>
      <w:r>
        <w:t xml:space="preserve"> using the CMBP total return (derived from the CMBP bond portfolio simulation) plus the contractual margin, less the liability cashflow, plus any additional payment.</w:t>
      </w:r>
    </w:p>
    <w:p w14:paraId="52B84D15" w14:textId="77777777" w:rsidR="00BC469E" w:rsidRDefault="00000000">
      <w:pPr>
        <w:spacing w:after="120"/>
      </w:pPr>
      <w:r>
        <w:rPr>
          <w:b/>
          <w:bCs/>
        </w:rPr>
        <w:t xml:space="preserve">Step 7 — Performance payment. </w:t>
      </w:r>
      <w:r>
        <w:t>At the performance measurement year (default: year 25), if the bund comparator exceeds assets, the guarantor pays the shortfall subject to the performance cap.</w:t>
      </w:r>
    </w:p>
    <w:p w14:paraId="0371FA4F" w14:textId="77777777" w:rsidR="00BC469E" w:rsidRDefault="00000000">
      <w:pPr>
        <w:pStyle w:val="Heading2"/>
      </w:pPr>
      <w:bookmarkStart w:id="24" w:name="_Toc223469462"/>
      <w:r>
        <w:t>7.3 Mandate Configuration Parameters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BC469E" w14:paraId="3716E54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69C520F" w14:textId="77777777" w:rsidR="00BC469E" w:rsidRDefault="00000000">
            <w:r>
              <w:rPr>
                <w:b/>
                <w:bCs/>
                <w:color w:val="FFFFFF"/>
                <w:sz w:val="20"/>
                <w:szCs w:val="20"/>
              </w:rPr>
              <w:lastRenderedPageBreak/>
              <w:t>Parameter</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604ED7A" w14:textId="77777777" w:rsidR="00BC469E" w:rsidRDefault="00000000">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36174DF8" w14:textId="77777777" w:rsidR="00BC469E" w:rsidRDefault="00000000">
            <w:r>
              <w:rPr>
                <w:b/>
                <w:bCs/>
                <w:color w:val="FFFFFF"/>
                <w:sz w:val="20"/>
                <w:szCs w:val="20"/>
              </w:rPr>
              <w:t>Default</w:t>
            </w:r>
          </w:p>
        </w:tc>
      </w:tr>
      <w:tr w:rsidR="00BC469E" w14:paraId="28B31E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5D75E" w14:textId="77777777" w:rsidR="00BC469E" w:rsidRDefault="00000000">
            <w:proofErr w:type="spellStart"/>
            <w:r>
              <w:rPr>
                <w:sz w:val="20"/>
                <w:szCs w:val="20"/>
              </w:rPr>
              <w:t>heubeck_liabilities</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3E213" w14:textId="77777777" w:rsidR="00BC469E" w:rsidRDefault="00000000">
            <w:r>
              <w:rPr>
                <w:sz w:val="20"/>
                <w:szCs w:val="20"/>
              </w:rPr>
              <w:t xml:space="preserve">Total </w:t>
            </w:r>
            <w:proofErr w:type="spellStart"/>
            <w:r>
              <w:rPr>
                <w:sz w:val="20"/>
                <w:szCs w:val="20"/>
              </w:rPr>
              <w:t>Heubeck</w:t>
            </w:r>
            <w:proofErr w:type="spellEnd"/>
            <w:r>
              <w:rPr>
                <w:sz w:val="20"/>
                <w:szCs w:val="20"/>
              </w:rPr>
              <w:t xml:space="preserve"> reserve (HGB pension obligation)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4E431" w14:textId="77777777" w:rsidR="00BC469E" w:rsidRDefault="00000000">
            <w:r>
              <w:rPr>
                <w:sz w:val="20"/>
                <w:szCs w:val="20"/>
              </w:rPr>
              <w:t>€297.0m</w:t>
            </w:r>
          </w:p>
        </w:tc>
      </w:tr>
      <w:tr w:rsidR="00BC469E" w14:paraId="49A6E6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B0BE7" w14:textId="77777777" w:rsidR="00BC469E" w:rsidRDefault="00000000">
            <w:proofErr w:type="spellStart"/>
            <w:r>
              <w:rPr>
                <w:sz w:val="20"/>
                <w:szCs w:val="20"/>
              </w:rPr>
              <w:t>r_gaap</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49AA6" w14:textId="77777777" w:rsidR="00BC469E" w:rsidRDefault="00000000">
            <w:r>
              <w:rPr>
                <w:sz w:val="20"/>
                <w:szCs w:val="20"/>
              </w:rPr>
              <w:t>GAAP discount rate for liability PV</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A459" w14:textId="77777777" w:rsidR="00BC469E" w:rsidRDefault="00000000">
            <w:r>
              <w:rPr>
                <w:sz w:val="20"/>
                <w:szCs w:val="20"/>
              </w:rPr>
              <w:t>2.01%</w:t>
            </w:r>
          </w:p>
        </w:tc>
      </w:tr>
      <w:tr w:rsidR="00BC469E" w14:paraId="7EE2F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80273" w14:textId="77777777" w:rsidR="00BC469E" w:rsidRDefault="00000000">
            <w:proofErr w:type="spellStart"/>
            <w:r>
              <w:rPr>
                <w:sz w:val="20"/>
                <w:szCs w:val="20"/>
              </w:rPr>
              <w:t>r_ifrs</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2AAFA" w14:textId="77777777" w:rsidR="00BC469E" w:rsidRDefault="00000000">
            <w:r>
              <w:rPr>
                <w:sz w:val="20"/>
                <w:szCs w:val="20"/>
              </w:rPr>
              <w:t>IFRS discount rate for liability PV</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61150" w14:textId="77777777" w:rsidR="00BC469E" w:rsidRDefault="00000000">
            <w:r>
              <w:rPr>
                <w:sz w:val="20"/>
                <w:szCs w:val="20"/>
              </w:rPr>
              <w:t>3.90%</w:t>
            </w:r>
          </w:p>
        </w:tc>
      </w:tr>
      <w:tr w:rsidR="00BC469E" w14:paraId="2FB30D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38688" w14:textId="77777777" w:rsidR="00BC469E" w:rsidRDefault="00000000">
            <w:proofErr w:type="spellStart"/>
            <w:r>
              <w:rPr>
                <w:sz w:val="20"/>
                <w:szCs w:val="20"/>
              </w:rPr>
              <w:t>mortality_buffer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CFD54" w14:textId="77777777" w:rsidR="00BC469E" w:rsidRDefault="00000000">
            <w:r>
              <w:rPr>
                <w:sz w:val="20"/>
                <w:szCs w:val="20"/>
              </w:rPr>
              <w:t xml:space="preserve">Multiplier on </w:t>
            </w:r>
            <w:proofErr w:type="spellStart"/>
            <w:r>
              <w:rPr>
                <w:sz w:val="20"/>
                <w:szCs w:val="20"/>
              </w:rPr>
              <w:t>Heubeck</w:t>
            </w:r>
            <w:proofErr w:type="spellEnd"/>
            <w:r>
              <w:rPr>
                <w:sz w:val="20"/>
                <w:szCs w:val="20"/>
              </w:rPr>
              <w:t xml:space="preserve"> liabilities for meltdown calc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F44E7" w14:textId="77777777" w:rsidR="00BC469E" w:rsidRDefault="00000000">
            <w:r>
              <w:rPr>
                <w:sz w:val="20"/>
                <w:szCs w:val="20"/>
              </w:rPr>
              <w:t>1.0559</w:t>
            </w:r>
          </w:p>
        </w:tc>
      </w:tr>
      <w:tr w:rsidR="00BC469E" w14:paraId="13DD3F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7F82D" w14:textId="77777777" w:rsidR="00BC469E" w:rsidRDefault="00000000">
            <w:proofErr w:type="spellStart"/>
            <w:r>
              <w:rPr>
                <w:sz w:val="20"/>
                <w:szCs w:val="20"/>
              </w:rPr>
              <w:t>cmbp_margin</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88B05" w14:textId="77777777" w:rsidR="00BC469E" w:rsidRDefault="00000000">
            <w:r>
              <w:rPr>
                <w:sz w:val="20"/>
                <w:szCs w:val="20"/>
              </w:rPr>
              <w:t>Spread over bund forwards for comparator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A3342" w14:textId="77777777" w:rsidR="00BC469E" w:rsidRDefault="00000000">
            <w:r>
              <w:rPr>
                <w:sz w:val="20"/>
                <w:szCs w:val="20"/>
              </w:rPr>
              <w:t>10 bps</w:t>
            </w:r>
          </w:p>
        </w:tc>
      </w:tr>
      <w:tr w:rsidR="00BC469E" w14:paraId="3D3136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54044" w14:textId="77777777" w:rsidR="00BC469E" w:rsidRDefault="00000000">
            <w:r>
              <w:rPr>
                <w:sz w:val="20"/>
                <w:szCs w:val="20"/>
              </w:rPr>
              <w:t>fee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F2B4C" w14:textId="77777777" w:rsidR="00BC469E" w:rsidRDefault="00000000">
            <w:r>
              <w:rPr>
                <w:sz w:val="20"/>
                <w:szCs w:val="20"/>
              </w:rPr>
              <w:t>Annual management fee rate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DE19" w14:textId="77777777" w:rsidR="00BC469E" w:rsidRDefault="00000000">
            <w:r>
              <w:rPr>
                <w:sz w:val="20"/>
                <w:szCs w:val="20"/>
              </w:rPr>
              <w:t>30 bps</w:t>
            </w:r>
          </w:p>
        </w:tc>
      </w:tr>
      <w:tr w:rsidR="00BC469E" w14:paraId="799C3F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08A3C3" w14:textId="77777777" w:rsidR="00BC469E" w:rsidRDefault="00000000">
            <w:proofErr w:type="spellStart"/>
            <w:r>
              <w:rPr>
                <w:sz w:val="20"/>
                <w:szCs w:val="20"/>
              </w:rPr>
              <w:t>asset_buffer</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F464E" w14:textId="77777777" w:rsidR="00BC469E" w:rsidRDefault="00000000">
            <w:r>
              <w:rPr>
                <w:sz w:val="20"/>
                <w:szCs w:val="20"/>
              </w:rPr>
              <w:t>Initial asset buffer (compounds at IFRS rate)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90FB3" w14:textId="77777777" w:rsidR="00BC469E" w:rsidRDefault="00000000">
            <w:r>
              <w:rPr>
                <w:sz w:val="20"/>
                <w:szCs w:val="20"/>
              </w:rPr>
              <w:t>€12.5m</w:t>
            </w:r>
          </w:p>
        </w:tc>
      </w:tr>
      <w:tr w:rsidR="00BC469E" w14:paraId="531544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C62D1" w14:textId="77777777" w:rsidR="00BC469E" w:rsidRDefault="00000000">
            <w:proofErr w:type="spellStart"/>
            <w:r>
              <w:rPr>
                <w:sz w:val="20"/>
                <w:szCs w:val="20"/>
              </w:rPr>
              <w:t>performance_cap</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7E5FB" w14:textId="77777777" w:rsidR="00BC469E" w:rsidRDefault="00000000">
            <w:r>
              <w:rPr>
                <w:sz w:val="20"/>
                <w:szCs w:val="20"/>
              </w:rPr>
              <w:t>Maximum performance guarantee payment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ECA57" w14:textId="77777777" w:rsidR="00BC469E" w:rsidRDefault="00000000">
            <w:r>
              <w:rPr>
                <w:sz w:val="20"/>
                <w:szCs w:val="20"/>
              </w:rPr>
              <w:t>€50m</w:t>
            </w:r>
          </w:p>
        </w:tc>
      </w:tr>
      <w:tr w:rsidR="00BC469E" w14:paraId="589D54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93960" w14:textId="77777777" w:rsidR="00BC469E" w:rsidRDefault="00000000">
            <w:proofErr w:type="spellStart"/>
            <w:r>
              <w:rPr>
                <w:sz w:val="20"/>
                <w:szCs w:val="20"/>
              </w:rPr>
              <w:t>additional_payment_year</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1B1A7B" w14:textId="77777777" w:rsidR="00BC469E" w:rsidRDefault="00000000">
            <w:r>
              <w:rPr>
                <w:sz w:val="20"/>
                <w:szCs w:val="20"/>
              </w:rPr>
              <w:t>Year of additional capital injection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D384E1" w14:textId="77777777" w:rsidR="00BC469E" w:rsidRDefault="00000000">
            <w:r>
              <w:rPr>
                <w:sz w:val="20"/>
                <w:szCs w:val="20"/>
              </w:rPr>
              <w:t>10</w:t>
            </w:r>
          </w:p>
        </w:tc>
      </w:tr>
      <w:tr w:rsidR="00BC469E" w14:paraId="59D036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0CFE0" w14:textId="77777777" w:rsidR="00BC469E" w:rsidRDefault="00000000">
            <w:proofErr w:type="spellStart"/>
            <w:r>
              <w:rPr>
                <w:sz w:val="20"/>
                <w:szCs w:val="20"/>
              </w:rPr>
              <w:t>performance_payment_year</w:t>
            </w:r>
            <w:proofErr w:type="spellEnd"/>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37B39" w14:textId="77777777" w:rsidR="00BC469E" w:rsidRDefault="00000000">
            <w:r>
              <w:rPr>
                <w:sz w:val="20"/>
                <w:szCs w:val="20"/>
              </w:rPr>
              <w:t>Year of performance guarantee settlement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B120C" w14:textId="77777777" w:rsidR="00BC469E" w:rsidRDefault="00000000">
            <w:r>
              <w:rPr>
                <w:sz w:val="20"/>
                <w:szCs w:val="20"/>
              </w:rPr>
              <w:t>25</w:t>
            </w:r>
          </w:p>
        </w:tc>
      </w:tr>
    </w:tbl>
    <w:p w14:paraId="23B8FC22" w14:textId="77777777" w:rsidR="00BC469E" w:rsidRDefault="00000000">
      <w:r>
        <w:br w:type="page"/>
      </w:r>
    </w:p>
    <w:p w14:paraId="0AAD7906" w14:textId="77777777" w:rsidR="00BC469E" w:rsidRDefault="00000000">
      <w:pPr>
        <w:pStyle w:val="Heading1"/>
      </w:pPr>
      <w:bookmarkStart w:id="25" w:name="_Toc223469463"/>
      <w:r>
        <w:lastRenderedPageBreak/>
        <w:t>8. Obligation Metrics</w:t>
      </w:r>
      <w:bookmarkEnd w:id="25"/>
    </w:p>
    <w:p w14:paraId="3C089866" w14:textId="77777777" w:rsidR="00BC469E" w:rsidRDefault="00000000">
      <w:pPr>
        <w:spacing w:after="120"/>
      </w:pPr>
      <w:r>
        <w:t xml:space="preserve">The </w:t>
      </w:r>
      <w:proofErr w:type="spellStart"/>
      <w:r>
        <w:t>CDISimulationResult</w:t>
      </w:r>
      <w:proofErr w:type="spellEnd"/>
      <w:r>
        <w:t xml:space="preserve"> class provides methods to compute the present value of all contingent obligations. All present values are discounted at the bund yield curve.</w:t>
      </w:r>
    </w:p>
    <w:p w14:paraId="30CB43E4" w14:textId="77777777" w:rsidR="00BC469E" w:rsidRDefault="00000000">
      <w:pPr>
        <w:pStyle w:val="Heading2"/>
      </w:pPr>
      <w:bookmarkStart w:id="26" w:name="_Toc223469464"/>
      <w:r>
        <w:t>8.1 PV Calculation Methodology</w:t>
      </w:r>
      <w:bookmarkEnd w:id="26"/>
    </w:p>
    <w:p w14:paraId="00F85C92" w14:textId="77777777" w:rsidR="00BC469E" w:rsidRDefault="00000000">
      <w:pPr>
        <w:spacing w:after="120"/>
      </w:pPr>
      <w:r>
        <w:t xml:space="preserve">For each scenario, every cashflow item (HGB payment, performance payment, fee) is discounted from its payment date back to the valuation date using the discount factor (1 + </w:t>
      </w:r>
      <w:proofErr w:type="gramStart"/>
      <w:r>
        <w:t>yₜ)⁻</w:t>
      </w:r>
      <w:proofErr w:type="gramEnd"/>
      <w:r>
        <w:t xml:space="preserve">ᵗ, where yₜ is the interpolated bund yield at time t and </w:t>
      </w:r>
      <w:proofErr w:type="spellStart"/>
      <w:r>
        <w:t>Δt</w:t>
      </w:r>
      <w:proofErr w:type="spellEnd"/>
      <w:r>
        <w:t xml:space="preserve"> is the year fraction from the valuation date. The discounted cashflows are then summed per scenario to produce a single PV figure for each obligation type.</w:t>
      </w:r>
    </w:p>
    <w:p w14:paraId="5303FF3D" w14:textId="77777777" w:rsidR="00BC469E" w:rsidRDefault="00000000">
      <w:pPr>
        <w:pStyle w:val="Heading2"/>
      </w:pPr>
      <w:bookmarkStart w:id="27" w:name="_Toc223469465"/>
      <w:r>
        <w:t>8.2 Key Metrics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C469E" w14:paraId="7C1AD6F1"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5B63BBD3" w14:textId="77777777" w:rsidR="00BC469E" w:rsidRDefault="00000000">
            <w:r>
              <w:rPr>
                <w:b/>
                <w:bCs/>
                <w:color w:val="FFFFFF"/>
                <w:sz w:val="20"/>
                <w:szCs w:val="20"/>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C296BD7" w14:textId="77777777" w:rsidR="00BC469E" w:rsidRDefault="00000000">
            <w:r>
              <w:rPr>
                <w:b/>
                <w:bCs/>
                <w:color w:val="FFFFFF"/>
                <w:sz w:val="20"/>
                <w:szCs w:val="20"/>
              </w:rPr>
              <w:t>Definition</w:t>
            </w:r>
          </w:p>
        </w:tc>
      </w:tr>
      <w:tr w:rsidR="00BC469E" w14:paraId="45F929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4D277" w14:textId="77777777" w:rsidR="00BC469E" w:rsidRDefault="00000000">
            <w:proofErr w:type="gramStart"/>
            <w:r>
              <w:rPr>
                <w:sz w:val="20"/>
                <w:szCs w:val="20"/>
              </w:rPr>
              <w:t>PV(</w:t>
            </w:r>
            <w:proofErr w:type="gramEnd"/>
            <w:r>
              <w:rPr>
                <w:sz w:val="20"/>
                <w:szCs w:val="20"/>
              </w:rPr>
              <w:t>HGB payments)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ADCE6" w14:textId="77777777" w:rsidR="00BC469E" w:rsidRDefault="00000000">
            <w:r>
              <w:rPr>
                <w:sz w:val="20"/>
                <w:szCs w:val="20"/>
              </w:rPr>
              <w:t>Present value of all HGB top-up payments across the mandate life</w:t>
            </w:r>
          </w:p>
        </w:tc>
      </w:tr>
      <w:tr w:rsidR="00BC469E" w14:paraId="657391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6DF1F" w14:textId="77777777" w:rsidR="00BC469E" w:rsidRDefault="00000000">
            <w:proofErr w:type="gramStart"/>
            <w:r>
              <w:rPr>
                <w:sz w:val="20"/>
                <w:szCs w:val="20"/>
              </w:rPr>
              <w:t>PV(</w:t>
            </w:r>
            <w:proofErr w:type="gramEnd"/>
            <w:r>
              <w:rPr>
                <w:sz w:val="20"/>
                <w:szCs w:val="20"/>
              </w:rPr>
              <w:t>performance payment)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A5CB7" w14:textId="77777777" w:rsidR="00BC469E" w:rsidRDefault="00000000">
            <w:r>
              <w:rPr>
                <w:sz w:val="20"/>
                <w:szCs w:val="20"/>
              </w:rPr>
              <w:t>Present value of the performance guarantee payment (year 25)</w:t>
            </w:r>
          </w:p>
        </w:tc>
      </w:tr>
      <w:tr w:rsidR="00BC469E" w14:paraId="26CE2B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794DA" w14:textId="77777777" w:rsidR="00BC469E" w:rsidRDefault="00000000">
            <w:proofErr w:type="gramStart"/>
            <w:r>
              <w:rPr>
                <w:sz w:val="20"/>
                <w:szCs w:val="20"/>
              </w:rPr>
              <w:t>PV(</w:t>
            </w:r>
            <w:proofErr w:type="gramEnd"/>
            <w:r>
              <w:rPr>
                <w:sz w:val="20"/>
                <w:szCs w:val="20"/>
              </w:rPr>
              <w:t>total obligations)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6393A" w14:textId="77777777" w:rsidR="00BC469E" w:rsidRDefault="00000000">
            <w:r>
              <w:rPr>
                <w:sz w:val="20"/>
                <w:szCs w:val="20"/>
              </w:rPr>
              <w:t xml:space="preserve">PV(HGB) + </w:t>
            </w:r>
            <w:proofErr w:type="gramStart"/>
            <w:r>
              <w:rPr>
                <w:sz w:val="20"/>
                <w:szCs w:val="20"/>
              </w:rPr>
              <w:t>PV(</w:t>
            </w:r>
            <w:proofErr w:type="gramEnd"/>
            <w:r>
              <w:rPr>
                <w:sz w:val="20"/>
                <w:szCs w:val="20"/>
              </w:rPr>
              <w:t>performance), the total contingent liability</w:t>
            </w:r>
          </w:p>
        </w:tc>
      </w:tr>
      <w:tr w:rsidR="00BC469E" w14:paraId="44E70B3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D4302" w14:textId="77777777" w:rsidR="00BC469E" w:rsidRDefault="00000000">
            <w:proofErr w:type="gramStart"/>
            <w:r>
              <w:rPr>
                <w:sz w:val="20"/>
                <w:szCs w:val="20"/>
              </w:rPr>
              <w:t>PV(</w:t>
            </w:r>
            <w:proofErr w:type="gramEnd"/>
            <w:r>
              <w:rPr>
                <w:sz w:val="20"/>
                <w:szCs w:val="20"/>
              </w:rPr>
              <w:t>fees)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095FD" w14:textId="77777777" w:rsidR="00BC469E" w:rsidRDefault="00000000">
            <w:r>
              <w:rPr>
                <w:sz w:val="20"/>
                <w:szCs w:val="20"/>
              </w:rPr>
              <w:t>Present value of management fee income</w:t>
            </w:r>
          </w:p>
        </w:tc>
      </w:tr>
      <w:tr w:rsidR="00BC469E" w14:paraId="37926B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50913" w14:textId="77777777" w:rsidR="00BC469E" w:rsidRDefault="00000000">
            <w:proofErr w:type="gramStart"/>
            <w:r>
              <w:rPr>
                <w:sz w:val="20"/>
                <w:szCs w:val="20"/>
              </w:rPr>
              <w:t>PV(</w:t>
            </w:r>
            <w:proofErr w:type="gramEnd"/>
            <w:r>
              <w:rPr>
                <w:sz w:val="20"/>
                <w:szCs w:val="20"/>
              </w:rPr>
              <w:t>net)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A1989" w14:textId="77777777" w:rsidR="00BC469E" w:rsidRDefault="00000000">
            <w:proofErr w:type="gramStart"/>
            <w:r>
              <w:rPr>
                <w:sz w:val="20"/>
                <w:szCs w:val="20"/>
              </w:rPr>
              <w:t>PV(</w:t>
            </w:r>
            <w:proofErr w:type="gramEnd"/>
            <w:r>
              <w:rPr>
                <w:sz w:val="20"/>
                <w:szCs w:val="20"/>
              </w:rPr>
              <w:t xml:space="preserve">fees) − </w:t>
            </w:r>
            <w:proofErr w:type="gramStart"/>
            <w:r>
              <w:rPr>
                <w:sz w:val="20"/>
                <w:szCs w:val="20"/>
              </w:rPr>
              <w:t>PV(</w:t>
            </w:r>
            <w:proofErr w:type="gramEnd"/>
            <w:r>
              <w:rPr>
                <w:sz w:val="20"/>
                <w:szCs w:val="20"/>
              </w:rPr>
              <w:t>total obligations), the net economic value</w:t>
            </w:r>
          </w:p>
        </w:tc>
      </w:tr>
      <w:tr w:rsidR="00BC469E" w14:paraId="03290E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33A37D" w14:textId="77777777" w:rsidR="00BC469E" w:rsidRDefault="00000000">
            <w:proofErr w:type="gramStart"/>
            <w:r>
              <w:rPr>
                <w:sz w:val="20"/>
                <w:szCs w:val="20"/>
              </w:rPr>
              <w:t>P(</w:t>
            </w:r>
            <w:proofErr w:type="gramEnd"/>
            <w:r>
              <w:rPr>
                <w:sz w:val="20"/>
                <w:szCs w:val="20"/>
              </w:rPr>
              <w:t>HGB trigger)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3A18A" w14:textId="77777777" w:rsidR="00BC469E" w:rsidRDefault="00000000">
            <w:r>
              <w:rPr>
                <w:sz w:val="20"/>
                <w:szCs w:val="20"/>
              </w:rPr>
              <w:t>Fraction of scenarios where any HGB payment is made</w:t>
            </w:r>
          </w:p>
        </w:tc>
      </w:tr>
      <w:tr w:rsidR="00BC469E" w14:paraId="608C5D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36572" w14:textId="77777777" w:rsidR="00BC469E" w:rsidRDefault="00000000">
            <w:proofErr w:type="gramStart"/>
            <w:r>
              <w:rPr>
                <w:sz w:val="20"/>
                <w:szCs w:val="20"/>
              </w:rPr>
              <w:t>P(</w:t>
            </w:r>
            <w:proofErr w:type="gramEnd"/>
            <w:r>
              <w:rPr>
                <w:sz w:val="20"/>
                <w:szCs w:val="20"/>
              </w:rPr>
              <w:t>perf trigger)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7A547" w14:textId="77777777" w:rsidR="00BC469E" w:rsidRDefault="00000000">
            <w:r>
              <w:rPr>
                <w:sz w:val="20"/>
                <w:szCs w:val="20"/>
              </w:rPr>
              <w:t>Fraction of scenarios where a performance payment is made</w:t>
            </w:r>
          </w:p>
        </w:tc>
      </w:tr>
      <w:tr w:rsidR="00BC469E" w14:paraId="4A34D6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08BE2" w14:textId="77777777" w:rsidR="00BC469E" w:rsidRDefault="00000000">
            <w:proofErr w:type="gramStart"/>
            <w:r>
              <w:rPr>
                <w:sz w:val="20"/>
                <w:szCs w:val="20"/>
              </w:rPr>
              <w:t>P(</w:t>
            </w:r>
            <w:proofErr w:type="gramEnd"/>
            <w:r>
              <w:rPr>
                <w:sz w:val="20"/>
                <w:szCs w:val="20"/>
              </w:rPr>
              <w:t>net negative)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31EE4" w14:textId="77777777" w:rsidR="00BC469E" w:rsidRDefault="00000000">
            <w:r>
              <w:rPr>
                <w:sz w:val="20"/>
                <w:szCs w:val="20"/>
              </w:rPr>
              <w:t xml:space="preserve">Fraction of scenarios where </w:t>
            </w:r>
            <w:proofErr w:type="gramStart"/>
            <w:r>
              <w:rPr>
                <w:sz w:val="20"/>
                <w:szCs w:val="20"/>
              </w:rPr>
              <w:t>PV(</w:t>
            </w:r>
            <w:proofErr w:type="gramEnd"/>
            <w:r>
              <w:rPr>
                <w:sz w:val="20"/>
                <w:szCs w:val="20"/>
              </w:rPr>
              <w:t xml:space="preserve">fees) &lt; </w:t>
            </w:r>
            <w:proofErr w:type="gramStart"/>
            <w:r>
              <w:rPr>
                <w:sz w:val="20"/>
                <w:szCs w:val="20"/>
              </w:rPr>
              <w:t>PV(</w:t>
            </w:r>
            <w:proofErr w:type="gramEnd"/>
            <w:r>
              <w:rPr>
                <w:sz w:val="20"/>
                <w:szCs w:val="20"/>
              </w:rPr>
              <w:t>obligations)</w:t>
            </w:r>
          </w:p>
        </w:tc>
      </w:tr>
    </w:tbl>
    <w:p w14:paraId="681ED631" w14:textId="77777777" w:rsidR="00BC469E" w:rsidRDefault="00000000">
      <w:pPr>
        <w:spacing w:after="120"/>
      </w:pPr>
      <w:r>
        <w:t xml:space="preserve">The </w:t>
      </w:r>
      <w:proofErr w:type="spellStart"/>
      <w:r>
        <w:t>obligation_</w:t>
      </w:r>
      <w:proofErr w:type="gramStart"/>
      <w:r>
        <w:t>metrics</w:t>
      </w:r>
      <w:proofErr w:type="spellEnd"/>
      <w:r>
        <w:t>(</w:t>
      </w:r>
      <w:proofErr w:type="gramEnd"/>
      <w:r>
        <w:t>) method returns a single summary table with the quantile distribution (0.5th, 5th, 25th, 50th, 75th, 95th, 99.5th percentiles) and mean of each metric, plus the three trigger probabilities. This is the central reporting output of the model.</w:t>
      </w:r>
    </w:p>
    <w:p w14:paraId="020C0539" w14:textId="77777777" w:rsidR="00BC469E" w:rsidRDefault="00000000">
      <w:r>
        <w:br w:type="page"/>
      </w:r>
    </w:p>
    <w:p w14:paraId="22311302" w14:textId="77777777" w:rsidR="00BC469E" w:rsidRDefault="00000000">
      <w:pPr>
        <w:pStyle w:val="Heading1"/>
      </w:pPr>
      <w:bookmarkStart w:id="28" w:name="_Toc223469466"/>
      <w:r>
        <w:lastRenderedPageBreak/>
        <w:t>9. ICAAP Capital Estimation</w:t>
      </w:r>
      <w:bookmarkEnd w:id="28"/>
    </w:p>
    <w:p w14:paraId="4FB2E927" w14:textId="77777777" w:rsidR="00BC469E" w:rsidRDefault="00000000">
      <w:pPr>
        <w:pStyle w:val="Heading2"/>
      </w:pPr>
      <w:bookmarkStart w:id="29" w:name="_Toc223469467"/>
      <w:r>
        <w:t>9.1 Regulatory Context</w:t>
      </w:r>
      <w:bookmarkEnd w:id="29"/>
    </w:p>
    <w:p w14:paraId="1DA75B35" w14:textId="77777777" w:rsidR="00BC469E" w:rsidRDefault="00000000">
      <w:pPr>
        <w:spacing w:after="120"/>
      </w:pPr>
      <w:r>
        <w:t xml:space="preserve">The Internal Capital Adequacy Assessment Process (ICAAP) requires an estimate of the capital needed to absorb adverse movements in the value of contingent obligations over a one-year horizon. For the CDI mandate, this means estimating how </w:t>
      </w:r>
      <w:proofErr w:type="gramStart"/>
      <w:r>
        <w:t>PV(</w:t>
      </w:r>
      <w:proofErr w:type="gramEnd"/>
      <w:r>
        <w:t>total obligations) could change over the next year due to credit migration and defaults in the bond portfolio.</w:t>
      </w:r>
    </w:p>
    <w:p w14:paraId="3862B228" w14:textId="77777777" w:rsidR="00BC469E" w:rsidRDefault="00000000">
      <w:pPr>
        <w:pStyle w:val="Heading2"/>
      </w:pPr>
      <w:bookmarkStart w:id="30" w:name="_Toc223469468"/>
      <w:r>
        <w:t>9.2 Nested Monte Carlo Approach</w:t>
      </w:r>
      <w:bookmarkEnd w:id="30"/>
    </w:p>
    <w:p w14:paraId="3D598152" w14:textId="77777777" w:rsidR="00BC469E" w:rsidRDefault="00000000">
      <w:pPr>
        <w:spacing w:after="120"/>
      </w:pPr>
      <w:r>
        <w:t>The model implements a nested (two-level) Monte Carlo simulation:</w:t>
      </w:r>
    </w:p>
    <w:p w14:paraId="2DC309FF" w14:textId="77777777" w:rsidR="00BC469E" w:rsidRDefault="00000000">
      <w:pPr>
        <w:spacing w:after="120"/>
      </w:pPr>
      <w:r>
        <w:rPr>
          <w:b/>
          <w:bCs/>
        </w:rPr>
        <w:t xml:space="preserve">Outer simulation (real-world, 1 year). </w:t>
      </w:r>
      <w:proofErr w:type="spellStart"/>
      <w:r>
        <w:t>N_outer</w:t>
      </w:r>
      <w:proofErr w:type="spellEnd"/>
      <w:r>
        <w:t xml:space="preserve"> credit scenarios are simulated for one year, producing a distribution of portfolio states at t = 1. Each outer scenario captures migrated ratings, updated cash balances, HGB gap, cumulative HGB payments, and the bund comparator value.</w:t>
      </w:r>
    </w:p>
    <w:p w14:paraId="2E6341FF" w14:textId="77777777" w:rsidR="00BC469E" w:rsidRDefault="00000000">
      <w:pPr>
        <w:spacing w:after="120"/>
      </w:pPr>
      <w:r>
        <w:rPr>
          <w:b/>
          <w:bCs/>
        </w:rPr>
        <w:t xml:space="preserve">Inner simulation (risk-neutral, remaining life). </w:t>
      </w:r>
      <w:r>
        <w:t xml:space="preserve">From each outer state, </w:t>
      </w:r>
      <w:proofErr w:type="spellStart"/>
      <w:r>
        <w:t>N_inner</w:t>
      </w:r>
      <w:proofErr w:type="spellEnd"/>
      <w:r>
        <w:t xml:space="preserve"> credit paths are simulated for the remaining mandate life (years 2 through T). The full CDI waterfall is executed for each inner path, and the PV of contingent obligations is computed.</w:t>
      </w:r>
    </w:p>
    <w:p w14:paraId="30E79C9E" w14:textId="77777777" w:rsidR="00BC469E" w:rsidRDefault="00000000">
      <w:pPr>
        <w:spacing w:after="120"/>
      </w:pPr>
      <w:r>
        <w:rPr>
          <w:b/>
          <w:bCs/>
        </w:rPr>
        <w:t xml:space="preserve">Conditional expectation. </w:t>
      </w:r>
      <w:r>
        <w:t>For each outer scenario s, the conditional expected PV of obligations is computed as the average across the inner paths: E[</w:t>
      </w:r>
      <w:proofErr w:type="gramStart"/>
      <w:r>
        <w:t>PV(</w:t>
      </w:r>
      <w:proofErr w:type="gramEnd"/>
      <w:r>
        <w:t xml:space="preserve">obligations) | </w:t>
      </w:r>
      <w:proofErr w:type="gramStart"/>
      <w:r>
        <w:t>state(</w:t>
      </w:r>
      <w:proofErr w:type="gramEnd"/>
      <w:r>
        <w:t>s, t=1)] = (1/</w:t>
      </w:r>
      <w:proofErr w:type="spellStart"/>
      <w:r>
        <w:t>N_inner</w:t>
      </w:r>
      <w:proofErr w:type="spellEnd"/>
      <w:r>
        <w:t>) Σ PVⱼ.</w:t>
      </w:r>
    </w:p>
    <w:p w14:paraId="40703017" w14:textId="77777777" w:rsidR="00BC469E" w:rsidRDefault="00000000">
      <w:pPr>
        <w:spacing w:after="120"/>
      </w:pPr>
      <w:r>
        <w:rPr>
          <w:b/>
          <w:bCs/>
        </w:rPr>
        <w:t xml:space="preserve">Capital distribution. </w:t>
      </w:r>
      <w:r>
        <w:t xml:space="preserve">The one-year change in PV is computed by discounting the conditional expected PV back to the valuation date and subtracting the baseline PV: ΔPV(s) = </w:t>
      </w:r>
      <w:proofErr w:type="gramStart"/>
      <w:r>
        <w:t>E[</w:t>
      </w:r>
      <w:proofErr w:type="gramEnd"/>
      <w:r>
        <w:t xml:space="preserve">PV | state(s)] × df_1y − PV₀. The </w:t>
      </w:r>
      <w:proofErr w:type="spellStart"/>
      <w:r>
        <w:t>VaR</w:t>
      </w:r>
      <w:proofErr w:type="spellEnd"/>
      <w:r>
        <w:t xml:space="preserve"> and </w:t>
      </w:r>
      <w:proofErr w:type="spellStart"/>
      <w:r>
        <w:t>TVaR</w:t>
      </w:r>
      <w:proofErr w:type="spellEnd"/>
      <w:r>
        <w:t xml:space="preserve"> of this distribution give the capital requirement.</w:t>
      </w:r>
    </w:p>
    <w:p w14:paraId="2AF1C244" w14:textId="77777777" w:rsidR="00BC469E" w:rsidRDefault="00000000">
      <w:pPr>
        <w:pStyle w:val="Heading2"/>
      </w:pPr>
      <w:bookmarkStart w:id="31" w:name="_Toc223469469"/>
      <w:r>
        <w:t>9.3 Computational Optimisations</w:t>
      </w:r>
      <w:bookmarkEnd w:id="31"/>
    </w:p>
    <w:p w14:paraId="17B6715D" w14:textId="77777777" w:rsidR="00BC469E" w:rsidRDefault="00000000">
      <w:pPr>
        <w:spacing w:after="120"/>
      </w:pPr>
      <w:r>
        <w:t xml:space="preserve">The naive nested Monte Carlo has computational complexity </w:t>
      </w:r>
      <w:proofErr w:type="gramStart"/>
      <w:r>
        <w:t>O(</w:t>
      </w:r>
      <w:proofErr w:type="spellStart"/>
      <w:proofErr w:type="gramEnd"/>
      <w:r>
        <w:t>N_outer</w:t>
      </w:r>
      <w:proofErr w:type="spellEnd"/>
      <w:r>
        <w:t xml:space="preserve"> × </w:t>
      </w:r>
      <w:proofErr w:type="spellStart"/>
      <w:r>
        <w:t>N_inner</w:t>
      </w:r>
      <w:proofErr w:type="spellEnd"/>
      <w:r>
        <w:t xml:space="preserve"> × T × </w:t>
      </w:r>
      <w:proofErr w:type="spellStart"/>
      <w:r>
        <w:t>N_bonds</w:t>
      </w:r>
      <w:proofErr w:type="spellEnd"/>
      <w:r>
        <w:t>). Three optimisations are applied to make this tractable:</w:t>
      </w:r>
    </w:p>
    <w:p w14:paraId="4D27BB46" w14:textId="77777777" w:rsidR="00BC469E" w:rsidRDefault="00000000">
      <w:pPr>
        <w:spacing w:after="120"/>
      </w:pPr>
      <w:r>
        <w:rPr>
          <w:b/>
          <w:bCs/>
        </w:rPr>
        <w:t xml:space="preserve">Analytical bund comparator. </w:t>
      </w:r>
      <w:r>
        <w:t xml:space="preserve">The CMBP/bund benchmark returns are deterministic (driven by forward rates, not credit risk). The bund comparator at the performance year is therefore a closed-form function of the outer-state bund value, the cumulative growth factors g(t) = 1 + </w:t>
      </w:r>
      <w:proofErr w:type="spellStart"/>
      <w:r>
        <w:t>fwd</w:t>
      </w:r>
      <w:proofErr w:type="spellEnd"/>
      <w:r>
        <w:t xml:space="preserve">(t) + margin, the deterministic liability </w:t>
      </w:r>
      <w:proofErr w:type="gramStart"/>
      <w:r>
        <w:t>drain</w:t>
      </w:r>
      <w:proofErr w:type="gramEnd"/>
      <w:r>
        <w:t>, and the stochastic additional payment injection. This eliminates the entire CMBP bond simulation, CMBP portfolio allocation, and total return computation from the inner loop, roughly halving the inner-loop cost.</w:t>
      </w:r>
    </w:p>
    <w:p w14:paraId="08485901" w14:textId="77777777" w:rsidR="00BC469E" w:rsidRDefault="00000000">
      <w:pPr>
        <w:spacing w:after="120"/>
      </w:pPr>
      <w:r>
        <w:rPr>
          <w:b/>
          <w:bCs/>
        </w:rPr>
        <w:t xml:space="preserve">Chunked processing. </w:t>
      </w:r>
      <w:r>
        <w:t xml:space="preserve">Outer scenarios are processed in batches of configurable size (default: 50). Each chunk creates </w:t>
      </w:r>
      <w:proofErr w:type="spellStart"/>
      <w:r>
        <w:t>chunk_size</w:t>
      </w:r>
      <w:proofErr w:type="spellEnd"/>
      <w:r>
        <w:t xml:space="preserve"> × </w:t>
      </w:r>
      <w:proofErr w:type="spellStart"/>
      <w:r>
        <w:t>N_inner</w:t>
      </w:r>
      <w:proofErr w:type="spellEnd"/>
      <w:r>
        <w:t xml:space="preserve"> inner paths, runs the bond simulation, executes the waterfall, aggregates results, and frees memory. Peak memory is bounded at </w:t>
      </w:r>
      <w:proofErr w:type="gramStart"/>
      <w:r>
        <w:t>O(</w:t>
      </w:r>
      <w:proofErr w:type="spellStart"/>
      <w:proofErr w:type="gramEnd"/>
      <w:r>
        <w:t>chunk_size</w:t>
      </w:r>
      <w:proofErr w:type="spellEnd"/>
      <w:r>
        <w:t xml:space="preserve"> × </w:t>
      </w:r>
      <w:proofErr w:type="spellStart"/>
      <w:r>
        <w:t>N_inner</w:t>
      </w:r>
      <w:proofErr w:type="spellEnd"/>
      <w:r>
        <w:t xml:space="preserve"> × T × </w:t>
      </w:r>
      <w:proofErr w:type="spellStart"/>
      <w:r>
        <w:t>N_bonds</w:t>
      </w:r>
      <w:proofErr w:type="spellEnd"/>
      <w:r>
        <w:t>) regardless of the total number of outer scenarios.</w:t>
      </w:r>
    </w:p>
    <w:p w14:paraId="5A8B3668" w14:textId="77777777" w:rsidR="00BC469E" w:rsidRDefault="00000000">
      <w:pPr>
        <w:spacing w:after="120"/>
      </w:pPr>
      <w:r>
        <w:rPr>
          <w:b/>
          <w:bCs/>
        </w:rPr>
        <w:t xml:space="preserve">Lean inner loop. </w:t>
      </w:r>
      <w:r>
        <w:t xml:space="preserve">The inner waterfall only tracks the quantities needed for obligation calculation: cash, assets, HGB gap, cumulative HGB payments, additional payment (a scalar accumulator), and assets at the performance year. No bund state array, no return arrays, and no full results </w:t>
      </w:r>
      <w:proofErr w:type="spellStart"/>
      <w:r>
        <w:t>DataFrame</w:t>
      </w:r>
      <w:proofErr w:type="spellEnd"/>
      <w:r>
        <w:t xml:space="preserve"> are constructed.</w:t>
      </w:r>
    </w:p>
    <w:p w14:paraId="29B312B8" w14:textId="77777777" w:rsidR="00BC469E" w:rsidRDefault="00000000">
      <w:pPr>
        <w:pStyle w:val="Heading2"/>
      </w:pPr>
      <w:bookmarkStart w:id="32" w:name="_Toc223469470"/>
      <w:r>
        <w:t>9.4 Double-Recovery Prevention</w:t>
      </w:r>
      <w:bookmarkEnd w:id="32"/>
    </w:p>
    <w:p w14:paraId="55E1D5A3" w14:textId="77777777" w:rsidR="00BC469E" w:rsidRDefault="00000000">
      <w:pPr>
        <w:spacing w:after="120"/>
      </w:pPr>
      <w:r>
        <w:lastRenderedPageBreak/>
        <w:t>When a bond defaults in the outer year and enters the inner simulation in the default state, the inner bond simulation would naively detect the first occurrence of the default label and fire a recovery payment at inner t = 0. This would double-count the recovery, which was already paid in the outer year. The model explicitly zeros out recovery payments at inner t = 0 for any bond flagged as already defaulted in the outer simulation.</w:t>
      </w:r>
    </w:p>
    <w:p w14:paraId="53CDC247" w14:textId="77777777" w:rsidR="00BC469E" w:rsidRDefault="00000000">
      <w:pPr>
        <w:pStyle w:val="Heading2"/>
      </w:pPr>
      <w:bookmarkStart w:id="33" w:name="_Toc223469471"/>
      <w:r>
        <w:t>9.5 Capital Measures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469E" w14:paraId="525C1AD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7A3057F" w14:textId="77777777" w:rsidR="00BC469E" w:rsidRDefault="00000000">
            <w:r>
              <w:rPr>
                <w:b/>
                <w:bCs/>
                <w:color w:val="FFFFFF"/>
                <w:sz w:val="20"/>
                <w:szCs w:val="20"/>
              </w:rPr>
              <w:t>Measure</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4169B99" w14:textId="77777777" w:rsidR="00BC469E" w:rsidRDefault="00000000">
            <w:r>
              <w:rPr>
                <w:b/>
                <w:bCs/>
                <w:color w:val="FFFFFF"/>
                <w:sz w:val="20"/>
                <w:szCs w:val="20"/>
              </w:rPr>
              <w:t>Definition</w:t>
            </w:r>
          </w:p>
        </w:tc>
      </w:tr>
      <w:tr w:rsidR="00BC469E" w14:paraId="31188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E9747" w14:textId="77777777" w:rsidR="00BC469E" w:rsidRDefault="00000000">
            <w:proofErr w:type="spellStart"/>
            <w:proofErr w:type="gramStart"/>
            <w:r>
              <w:rPr>
                <w:sz w:val="20"/>
                <w:szCs w:val="20"/>
              </w:rPr>
              <w:t>VaR</w:t>
            </w:r>
            <w:proofErr w:type="spellEnd"/>
            <w:r>
              <w:rPr>
                <w:sz w:val="20"/>
                <w:szCs w:val="20"/>
              </w:rPr>
              <w:t>(</w:t>
            </w:r>
            <w:proofErr w:type="gramEnd"/>
            <w:r>
              <w:rPr>
                <w:sz w:val="20"/>
                <w:szCs w:val="20"/>
              </w:rPr>
              <w:t>99.5%)</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E4B38" w14:textId="77777777" w:rsidR="00BC469E" w:rsidRDefault="00000000">
            <w:r>
              <w:rPr>
                <w:sz w:val="20"/>
                <w:szCs w:val="20"/>
              </w:rPr>
              <w:t>99.5th percentile of the 1-year ΔPV distribution</w:t>
            </w:r>
          </w:p>
        </w:tc>
      </w:tr>
      <w:tr w:rsidR="00BC469E" w14:paraId="1CED41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3A5" w14:textId="77777777" w:rsidR="00BC469E" w:rsidRDefault="00000000">
            <w:proofErr w:type="spellStart"/>
            <w:proofErr w:type="gramStart"/>
            <w:r>
              <w:rPr>
                <w:sz w:val="20"/>
                <w:szCs w:val="20"/>
              </w:rPr>
              <w:t>TVaR</w:t>
            </w:r>
            <w:proofErr w:type="spellEnd"/>
            <w:r>
              <w:rPr>
                <w:sz w:val="20"/>
                <w:szCs w:val="20"/>
              </w:rPr>
              <w:t>(</w:t>
            </w:r>
            <w:proofErr w:type="gramEnd"/>
            <w:r>
              <w:rPr>
                <w:sz w:val="20"/>
                <w:szCs w:val="20"/>
              </w:rPr>
              <w:t>99.5%)</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D7279" w14:textId="77777777" w:rsidR="00BC469E" w:rsidRDefault="00000000">
            <w:r>
              <w:rPr>
                <w:sz w:val="20"/>
                <w:szCs w:val="20"/>
              </w:rPr>
              <w:t>Mean of ΔPV in the tail beyond the 99.5th percentile</w:t>
            </w:r>
          </w:p>
        </w:tc>
      </w:tr>
      <w:tr w:rsidR="00BC469E" w14:paraId="29B187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632BA" w14:textId="77777777" w:rsidR="00BC469E" w:rsidRDefault="00000000">
            <w:r>
              <w:rPr>
                <w:sz w:val="20"/>
                <w:szCs w:val="20"/>
              </w:rPr>
              <w:t>PV₀ baseline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4F46A" w14:textId="77777777" w:rsidR="00BC469E" w:rsidRDefault="00000000">
            <w:proofErr w:type="gramStart"/>
            <w:r>
              <w:rPr>
                <w:sz w:val="20"/>
                <w:szCs w:val="20"/>
              </w:rPr>
              <w:t>E[PV(</w:t>
            </w:r>
            <w:proofErr w:type="gramEnd"/>
            <w:r>
              <w:rPr>
                <w:sz w:val="20"/>
                <w:szCs w:val="20"/>
              </w:rPr>
              <w:t>total obligations)] from the base (</w:t>
            </w:r>
            <w:proofErr w:type="gramStart"/>
            <w:r>
              <w:rPr>
                <w:sz w:val="20"/>
                <w:szCs w:val="20"/>
              </w:rPr>
              <w:t>full-horizon</w:t>
            </w:r>
            <w:proofErr w:type="gramEnd"/>
            <w:r>
              <w:rPr>
                <w:sz w:val="20"/>
                <w:szCs w:val="20"/>
              </w:rPr>
              <w:t>) simulation</w:t>
            </w:r>
          </w:p>
        </w:tc>
      </w:tr>
    </w:tbl>
    <w:p w14:paraId="1AA68480" w14:textId="77777777" w:rsidR="00BC469E" w:rsidRDefault="00000000">
      <w:pPr>
        <w:pStyle w:val="Heading2"/>
      </w:pPr>
      <w:bookmarkStart w:id="34" w:name="_Toc223469472"/>
      <w:r>
        <w:t>9.6 Limitations</w:t>
      </w:r>
      <w:bookmarkEnd w:id="34"/>
    </w:p>
    <w:p w14:paraId="0135D2AF" w14:textId="77777777" w:rsidR="00BC469E" w:rsidRDefault="00000000">
      <w:pPr>
        <w:spacing w:after="120"/>
      </w:pPr>
      <w:r>
        <w:rPr>
          <w:b/>
          <w:bCs/>
        </w:rPr>
        <w:t xml:space="preserve">Credit risk only. </w:t>
      </w:r>
      <w:r>
        <w:t>The outer simulation shocks credit quality but holds the yield curve constant. The capital estimate therefore captures credit migration and default risk only. For a complete ICAAP, interest rate shocks should be integrated into the outer loop, which would require simulating yield curve movements and re-pricing both assets and liabilities under each rate scenario.</w:t>
      </w:r>
    </w:p>
    <w:p w14:paraId="08E02F30" w14:textId="77777777" w:rsidR="00BC469E" w:rsidRDefault="00000000">
      <w:pPr>
        <w:spacing w:after="120"/>
      </w:pPr>
      <w:r>
        <w:rPr>
          <w:b/>
          <w:bCs/>
        </w:rPr>
        <w:t xml:space="preserve">Inner path count. </w:t>
      </w:r>
      <w:r>
        <w:t xml:space="preserve">The conditional expectation </w:t>
      </w:r>
      <w:proofErr w:type="gramStart"/>
      <w:r>
        <w:t>E[</w:t>
      </w:r>
      <w:proofErr w:type="gramEnd"/>
      <w:r>
        <w:t xml:space="preserve">PV | state] is estimated with finite inner samples. For </w:t>
      </w:r>
      <w:proofErr w:type="spellStart"/>
      <w:r>
        <w:t>N_inner</w:t>
      </w:r>
      <w:proofErr w:type="spellEnd"/>
      <w:r>
        <w:t xml:space="preserve"> = 500, the estimation error in each conditional mean is non-negligible, adding noise to the capital distribution. This can be assessed by running with different </w:t>
      </w:r>
      <w:proofErr w:type="spellStart"/>
      <w:r>
        <w:t>N_inner</w:t>
      </w:r>
      <w:proofErr w:type="spellEnd"/>
      <w:r>
        <w:t xml:space="preserve"> values and checking convergence.</w:t>
      </w:r>
    </w:p>
    <w:p w14:paraId="1B7EECFA" w14:textId="77777777" w:rsidR="00BC469E" w:rsidRDefault="00000000">
      <w:pPr>
        <w:spacing w:after="120"/>
      </w:pPr>
      <w:r>
        <w:rPr>
          <w:b/>
          <w:bCs/>
        </w:rPr>
        <w:t xml:space="preserve">No LSMC. </w:t>
      </w:r>
      <w:r>
        <w:t xml:space="preserve">For production capital estimation at higher path counts, a Least-Squares Monte Carlo (LSMC) approach—regressing </w:t>
      </w:r>
      <w:proofErr w:type="gramStart"/>
      <w:r>
        <w:t>PV(</w:t>
      </w:r>
      <w:proofErr w:type="gramEnd"/>
      <w:r>
        <w:t>obligations) on state variables at t = 1 within a single long simulation—would be substantially more efficient. The nested MC implementation provides exact ground-truth results suitable for validating such an approximation.</w:t>
      </w:r>
    </w:p>
    <w:p w14:paraId="6F55FC0F" w14:textId="77777777" w:rsidR="00BC469E" w:rsidRDefault="00000000">
      <w:r>
        <w:br w:type="page"/>
      </w:r>
    </w:p>
    <w:p w14:paraId="50B3CDB6" w14:textId="77777777" w:rsidR="00BC469E" w:rsidRDefault="00000000">
      <w:pPr>
        <w:pStyle w:val="Heading1"/>
      </w:pPr>
      <w:bookmarkStart w:id="35" w:name="_Toc223469473"/>
      <w:r>
        <w:lastRenderedPageBreak/>
        <w:t>10. Input Data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BC469E" w14:paraId="45A75E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1CE7A3E6" w14:textId="77777777" w:rsidR="00BC469E" w:rsidRDefault="00000000">
            <w:r>
              <w:rPr>
                <w:b/>
                <w:bCs/>
                <w:color w:val="FFFFFF"/>
                <w:sz w:val="20"/>
                <w:szCs w:val="20"/>
              </w:rPr>
              <w:t>Input</w:t>
            </w:r>
          </w:p>
        </w:tc>
        <w:tc>
          <w:tcPr>
            <w:tcW w:w="31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7D876DCA" w14:textId="77777777" w:rsidR="00BC469E" w:rsidRDefault="00000000">
            <w:r>
              <w:rPr>
                <w:b/>
                <w:bCs/>
                <w:color w:val="FFFFFF"/>
                <w:sz w:val="20"/>
                <w:szCs w:val="20"/>
              </w:rPr>
              <w:t>Format</w:t>
            </w:r>
          </w:p>
        </w:tc>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F8BEA46" w14:textId="77777777" w:rsidR="00BC469E" w:rsidRDefault="00000000">
            <w:r>
              <w:rPr>
                <w:b/>
                <w:bCs/>
                <w:color w:val="FFFFFF"/>
                <w:sz w:val="20"/>
                <w:szCs w:val="20"/>
              </w:rPr>
              <w:t>Description</w:t>
            </w:r>
          </w:p>
        </w:tc>
      </w:tr>
      <w:tr w:rsidR="00BC469E" w14:paraId="3E34CA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07576" w14:textId="77777777" w:rsidR="00BC469E" w:rsidRDefault="00000000">
            <w:r>
              <w:rPr>
                <w:sz w:val="20"/>
                <w:szCs w:val="20"/>
              </w:rPr>
              <w:t>Liability cashflows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70E0E" w14:textId="77777777" w:rsidR="00BC469E" w:rsidRDefault="00000000">
            <w:r>
              <w:rPr>
                <w:sz w:val="20"/>
                <w:szCs w:val="20"/>
              </w:rPr>
              <w:t>CSV: date, cashflow</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2EEEE" w14:textId="77777777" w:rsidR="00BC469E" w:rsidRDefault="00000000">
            <w:r>
              <w:rPr>
                <w:sz w:val="20"/>
                <w:szCs w:val="20"/>
              </w:rPr>
              <w:t xml:space="preserve">Annual liability payments from </w:t>
            </w:r>
            <w:proofErr w:type="spellStart"/>
            <w:r>
              <w:rPr>
                <w:sz w:val="20"/>
                <w:szCs w:val="20"/>
              </w:rPr>
              <w:t>val_date</w:t>
            </w:r>
            <w:proofErr w:type="spellEnd"/>
            <w:r>
              <w:rPr>
                <w:sz w:val="20"/>
                <w:szCs w:val="20"/>
              </w:rPr>
              <w:t xml:space="preserve"> to end of mandate</w:t>
            </w:r>
          </w:p>
        </w:tc>
      </w:tr>
      <w:tr w:rsidR="00BC469E" w14:paraId="6AD293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EFFE6" w14:textId="77777777" w:rsidR="00BC469E" w:rsidRDefault="00000000">
            <w:r>
              <w:rPr>
                <w:sz w:val="20"/>
                <w:szCs w:val="20"/>
              </w:rPr>
              <w:t>Bund yields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BBD9DF" w14:textId="77777777" w:rsidR="00BC469E" w:rsidRDefault="00000000">
            <w:r>
              <w:rPr>
                <w:sz w:val="20"/>
                <w:szCs w:val="20"/>
              </w:rPr>
              <w:t>CSV: date, yield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20625" w14:textId="77777777" w:rsidR="00BC469E" w:rsidRDefault="00000000">
            <w:r>
              <w:rPr>
                <w:sz w:val="20"/>
                <w:szCs w:val="20"/>
              </w:rPr>
              <w:t>German government bond yield curve (term structure)</w:t>
            </w:r>
          </w:p>
        </w:tc>
      </w:tr>
      <w:tr w:rsidR="00BC469E" w14:paraId="6E141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8001CC" w14:textId="77777777" w:rsidR="00BC469E" w:rsidRDefault="00000000">
            <w:r>
              <w:rPr>
                <w:sz w:val="20"/>
                <w:szCs w:val="20"/>
              </w:rPr>
              <w:t>Credit spreads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1A7AE" w14:textId="77777777" w:rsidR="00BC469E" w:rsidRDefault="00000000">
            <w:r>
              <w:rPr>
                <w:sz w:val="20"/>
                <w:szCs w:val="20"/>
              </w:rPr>
              <w:t>CSV: rating, spread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1A9D5F" w14:textId="77777777" w:rsidR="00BC469E" w:rsidRDefault="00000000">
            <w:r>
              <w:rPr>
                <w:sz w:val="20"/>
                <w:szCs w:val="20"/>
              </w:rPr>
              <w:t>Rating-dependent credit spreads for bond discounting</w:t>
            </w:r>
          </w:p>
        </w:tc>
      </w:tr>
      <w:tr w:rsidR="00BC469E" w14:paraId="6DD6D3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1E652" w14:textId="77777777" w:rsidR="00BC469E" w:rsidRDefault="00000000">
            <w:r>
              <w:rPr>
                <w:sz w:val="20"/>
                <w:szCs w:val="20"/>
              </w:rPr>
              <w:t>Issuers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D9A3F" w14:textId="77777777" w:rsidR="00BC469E" w:rsidRDefault="00000000">
            <w:r>
              <w:rPr>
                <w:sz w:val="20"/>
                <w:szCs w:val="20"/>
              </w:rPr>
              <w:t>CSV: id, rating, sector, name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36783" w14:textId="77777777" w:rsidR="00BC469E" w:rsidRDefault="00000000">
            <w:r>
              <w:rPr>
                <w:sz w:val="20"/>
                <w:szCs w:val="20"/>
              </w:rPr>
              <w:t>Issuer details linked to the credit risk model</w:t>
            </w:r>
          </w:p>
        </w:tc>
      </w:tr>
      <w:tr w:rsidR="00BC469E" w14:paraId="6E7583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E7C39" w14:textId="77777777" w:rsidR="00BC469E" w:rsidRDefault="00000000">
            <w:r>
              <w:rPr>
                <w:sz w:val="20"/>
                <w:szCs w:val="20"/>
              </w:rPr>
              <w:t>Bonds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072F2" w14:textId="77777777" w:rsidR="00BC469E" w:rsidRDefault="00000000">
            <w:r>
              <w:rPr>
                <w:sz w:val="20"/>
                <w:szCs w:val="20"/>
              </w:rPr>
              <w:t xml:space="preserve">CSV: id, </w:t>
            </w:r>
            <w:proofErr w:type="spellStart"/>
            <w:r>
              <w:rPr>
                <w:sz w:val="20"/>
                <w:szCs w:val="20"/>
              </w:rPr>
              <w:t>issuer_id</w:t>
            </w:r>
            <w:proofErr w:type="spellEnd"/>
            <w:r>
              <w:rPr>
                <w:sz w:val="20"/>
                <w:szCs w:val="20"/>
              </w:rPr>
              <w:t>, recovery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67865" w14:textId="77777777" w:rsidR="00BC469E" w:rsidRDefault="00000000">
            <w:r>
              <w:rPr>
                <w:sz w:val="20"/>
                <w:szCs w:val="20"/>
              </w:rPr>
              <w:t>Bond universe with recovery rates</w:t>
            </w:r>
          </w:p>
        </w:tc>
      </w:tr>
      <w:tr w:rsidR="00BC469E" w14:paraId="3D93CA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AD4D3" w14:textId="77777777" w:rsidR="00BC469E" w:rsidRDefault="00000000">
            <w:r>
              <w:rPr>
                <w:sz w:val="20"/>
                <w:szCs w:val="20"/>
              </w:rPr>
              <w:t>Cashflow ladder</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370CD" w14:textId="77777777" w:rsidR="00BC469E" w:rsidRDefault="00000000">
            <w:r>
              <w:rPr>
                <w:sz w:val="20"/>
                <w:szCs w:val="20"/>
              </w:rPr>
              <w:t>CSV: date, bond_1, bond_2, …</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B539F" w14:textId="77777777" w:rsidR="00BC469E" w:rsidRDefault="00000000">
            <w:r>
              <w:rPr>
                <w:sz w:val="20"/>
                <w:szCs w:val="20"/>
              </w:rPr>
              <w:t>Scheduled bond cashflows by date and bond ID</w:t>
            </w:r>
          </w:p>
        </w:tc>
      </w:tr>
      <w:tr w:rsidR="00BC469E" w14:paraId="53217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A3A6D" w14:textId="77777777" w:rsidR="00BC469E" w:rsidRDefault="00000000">
            <w:r>
              <w:rPr>
                <w:sz w:val="20"/>
                <w:szCs w:val="20"/>
              </w:rPr>
              <w:t>Transition matrix</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6600" w14:textId="77777777" w:rsidR="00BC469E" w:rsidRDefault="00000000">
            <w:r>
              <w:rPr>
                <w:sz w:val="20"/>
                <w:szCs w:val="20"/>
              </w:rPr>
              <w:t>CSV: N×N matrix with rating labels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5F83F" w14:textId="77777777" w:rsidR="00BC469E" w:rsidRDefault="00000000">
            <w:r>
              <w:rPr>
                <w:sz w:val="20"/>
                <w:szCs w:val="20"/>
              </w:rPr>
              <w:t>Annual credit rating transition probabilities</w:t>
            </w:r>
          </w:p>
        </w:tc>
      </w:tr>
      <w:tr w:rsidR="00BC469E" w14:paraId="21046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CA57B" w14:textId="77777777" w:rsidR="00BC469E" w:rsidRDefault="00000000">
            <w:r>
              <w:rPr>
                <w:sz w:val="20"/>
                <w:szCs w:val="20"/>
              </w:rPr>
              <w:t>CDI allocation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2AFC" w14:textId="77777777" w:rsidR="00BC469E" w:rsidRDefault="00000000">
            <w:r>
              <w:rPr>
                <w:sz w:val="20"/>
                <w:szCs w:val="20"/>
              </w:rPr>
              <w:t>CSV: id, notional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EF470" w14:textId="77777777" w:rsidR="00BC469E" w:rsidRDefault="00000000">
            <w:r>
              <w:rPr>
                <w:sz w:val="20"/>
                <w:szCs w:val="20"/>
              </w:rPr>
              <w:t>Notional allocation per bond in the CDI portfolio</w:t>
            </w:r>
          </w:p>
        </w:tc>
      </w:tr>
      <w:tr w:rsidR="00BC469E" w14:paraId="03F6E8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43E2" w14:textId="77777777" w:rsidR="00BC469E" w:rsidRDefault="00000000">
            <w:r>
              <w:rPr>
                <w:sz w:val="20"/>
                <w:szCs w:val="20"/>
              </w:rPr>
              <w:t>CMBP allocation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F983" w14:textId="77777777" w:rsidR="00BC469E" w:rsidRDefault="00000000">
            <w:r>
              <w:rPr>
                <w:sz w:val="20"/>
                <w:szCs w:val="20"/>
              </w:rPr>
              <w:t>CSV: id, notional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5EA36" w14:textId="77777777" w:rsidR="00BC469E" w:rsidRDefault="00000000">
            <w:r>
              <w:rPr>
                <w:sz w:val="20"/>
                <w:szCs w:val="20"/>
              </w:rPr>
              <w:t>Notional allocation per bond in the comparator portfolio</w:t>
            </w:r>
          </w:p>
        </w:tc>
      </w:tr>
    </w:tbl>
    <w:p w14:paraId="323D3451" w14:textId="77777777" w:rsidR="00BC469E" w:rsidRDefault="00000000">
      <w:r>
        <w:br w:type="page"/>
      </w:r>
    </w:p>
    <w:p w14:paraId="710CDCEB" w14:textId="77777777" w:rsidR="00BC469E" w:rsidRDefault="00000000">
      <w:pPr>
        <w:pStyle w:val="Heading1"/>
      </w:pPr>
      <w:bookmarkStart w:id="36" w:name="_Toc223469474"/>
      <w:r>
        <w:lastRenderedPageBreak/>
        <w:t>11. Key Assumptions and Limitations</w:t>
      </w:r>
      <w:bookmarkEnd w:id="36"/>
    </w:p>
    <w:p w14:paraId="158406E1" w14:textId="77777777" w:rsidR="00BC469E" w:rsidRDefault="00000000">
      <w:pPr>
        <w:pStyle w:val="Heading2"/>
      </w:pPr>
      <w:bookmarkStart w:id="37" w:name="_Toc223469475"/>
      <w:r>
        <w:t>11.1 Key Assumptions</w:t>
      </w:r>
      <w:bookmarkEnd w:id="37"/>
    </w:p>
    <w:p w14:paraId="0508A19C" w14:textId="77777777" w:rsidR="00BC469E" w:rsidRDefault="00000000">
      <w:pPr>
        <w:spacing w:after="120"/>
      </w:pPr>
      <w:r>
        <w:rPr>
          <w:b/>
          <w:bCs/>
        </w:rPr>
        <w:t xml:space="preserve">Constant interest rates. </w:t>
      </w:r>
      <w:r>
        <w:t>The bund yield curve is held constant across all scenarios. Interest rate risk is not modelled.</w:t>
      </w:r>
    </w:p>
    <w:p w14:paraId="372C962B" w14:textId="77777777" w:rsidR="00BC469E" w:rsidRDefault="00000000">
      <w:pPr>
        <w:spacing w:after="120"/>
      </w:pPr>
      <w:r>
        <w:rPr>
          <w:b/>
          <w:bCs/>
        </w:rPr>
        <w:t xml:space="preserve">Markov credit transitions. </w:t>
      </w:r>
      <w:r>
        <w:t>Rating migrations follow a first-order discrete-time Markov chain. There is no memory of previous transitions, no momentum, and no credit cycle persistence.</w:t>
      </w:r>
    </w:p>
    <w:p w14:paraId="4489C7D0" w14:textId="77777777" w:rsidR="00BC469E" w:rsidRDefault="00000000">
      <w:pPr>
        <w:spacing w:after="120"/>
      </w:pPr>
      <w:r>
        <w:rPr>
          <w:b/>
          <w:bCs/>
        </w:rPr>
        <w:t xml:space="preserve">Absorbing default. </w:t>
      </w:r>
      <w:r>
        <w:t>Default is a terminal, absorbing state. There is no emergence from default or restructuring.</w:t>
      </w:r>
    </w:p>
    <w:p w14:paraId="74C34862" w14:textId="77777777" w:rsidR="00BC469E" w:rsidRDefault="00000000">
      <w:pPr>
        <w:spacing w:after="120"/>
      </w:pPr>
      <w:r>
        <w:rPr>
          <w:b/>
          <w:bCs/>
        </w:rPr>
        <w:t xml:space="preserve">Constant recovery rates. </w:t>
      </w:r>
      <w:r>
        <w:t>Recovery rates are fixed per bond and do not vary with the economic cycle or sector distress.</w:t>
      </w:r>
    </w:p>
    <w:p w14:paraId="02BCBEEF" w14:textId="77777777" w:rsidR="00BC469E" w:rsidRDefault="00000000">
      <w:pPr>
        <w:spacing w:after="120"/>
      </w:pPr>
      <w:r>
        <w:rPr>
          <w:b/>
          <w:bCs/>
        </w:rPr>
        <w:t xml:space="preserve">No reinvestment. </w:t>
      </w:r>
      <w:r>
        <w:t>Cash freed from maturing or defaulting bonds earns the forward rate but is not reinvested in new bonds. Over long horizons, the portfolio naturally de-risks as it migrates towards cash.</w:t>
      </w:r>
    </w:p>
    <w:p w14:paraId="1DF57685" w14:textId="77777777" w:rsidR="00BC469E" w:rsidRDefault="00000000">
      <w:pPr>
        <w:spacing w:after="120"/>
      </w:pPr>
      <w:r>
        <w:rPr>
          <w:b/>
          <w:bCs/>
        </w:rPr>
        <w:t xml:space="preserve">Annual time steps. </w:t>
      </w:r>
      <w:r>
        <w:t>All transitions, cashflows, and valuations occur at annual frequency. Intra-year dynamics are not captured.</w:t>
      </w:r>
    </w:p>
    <w:p w14:paraId="6CD09FC9" w14:textId="77777777" w:rsidR="00BC469E" w:rsidRDefault="00000000">
      <w:pPr>
        <w:spacing w:after="120"/>
      </w:pPr>
      <w:r>
        <w:rPr>
          <w:b/>
          <w:bCs/>
        </w:rPr>
        <w:t xml:space="preserve">Normal copula. </w:t>
      </w:r>
      <w:r>
        <w:t>Dependence between issuers is modelled via a Gaussian copula (CDF of the latent normal variable). Tail dependence is therefore limited to what the normal distribution provides, which may underestimate joint default probabilities in extreme stress scenarios.</w:t>
      </w:r>
    </w:p>
    <w:p w14:paraId="1A8EE034" w14:textId="77777777" w:rsidR="00BC469E" w:rsidRDefault="00000000">
      <w:pPr>
        <w:pStyle w:val="Heading2"/>
      </w:pPr>
      <w:bookmarkStart w:id="38" w:name="_Toc223469476"/>
      <w:r>
        <w:t>11.2 Model Limitations</w:t>
      </w:r>
      <w:bookmarkEnd w:id="38"/>
    </w:p>
    <w:p w14:paraId="763BD9DE" w14:textId="77777777" w:rsidR="00BC469E" w:rsidRDefault="00000000">
      <w:pPr>
        <w:spacing w:after="120"/>
      </w:pPr>
      <w:r>
        <w:rPr>
          <w:b/>
          <w:bCs/>
        </w:rPr>
        <w:t xml:space="preserve">No spread risk. </w:t>
      </w:r>
      <w:r>
        <w:t>Credit spreads change discretely with rating migrations but there is no stochastic spread volatility within a rating grade.</w:t>
      </w:r>
    </w:p>
    <w:p w14:paraId="71221594" w14:textId="77777777" w:rsidR="00BC469E" w:rsidRDefault="00000000">
      <w:pPr>
        <w:spacing w:after="120"/>
      </w:pPr>
      <w:r>
        <w:rPr>
          <w:b/>
          <w:bCs/>
        </w:rPr>
        <w:t xml:space="preserve">HGB gap monotonicity. </w:t>
      </w:r>
      <w:r>
        <w:t xml:space="preserve">The HGB gap is clipped to be non-increasing (line 872 of the model). This means the gap can only shrink over time. If the contractual terms allow the gap to re-open after improvement (e.g., following adverse migration), this constraint </w:t>
      </w:r>
      <w:proofErr w:type="gramStart"/>
      <w:r>
        <w:t>would</w:t>
      </w:r>
      <w:proofErr w:type="gramEnd"/>
      <w:r>
        <w:t xml:space="preserve"> suppress that behaviour.</w:t>
      </w:r>
    </w:p>
    <w:p w14:paraId="43A2B964" w14:textId="77777777" w:rsidR="00BC469E" w:rsidRDefault="00000000">
      <w:pPr>
        <w:spacing w:after="120"/>
      </w:pPr>
      <w:r>
        <w:rPr>
          <w:b/>
          <w:bCs/>
        </w:rPr>
        <w:t xml:space="preserve">Single performance settlement. </w:t>
      </w:r>
      <w:r>
        <w:t xml:space="preserve">The performance payment is settled only at the configured year (default: year 25). The bund comparator continues to evolve but is never settled at any other point. If the mandate allows periodic settlements, the model </w:t>
      </w:r>
      <w:proofErr w:type="gramStart"/>
      <w:r>
        <w:t>would</w:t>
      </w:r>
      <w:proofErr w:type="gramEnd"/>
      <w:r>
        <w:t xml:space="preserve"> need modification.</w:t>
      </w:r>
    </w:p>
    <w:p w14:paraId="54AEF716" w14:textId="77777777" w:rsidR="00BC469E" w:rsidRDefault="00000000">
      <w:r>
        <w:br w:type="page"/>
      </w:r>
    </w:p>
    <w:p w14:paraId="5749E4F3" w14:textId="77777777" w:rsidR="00BC469E" w:rsidRDefault="00000000">
      <w:pPr>
        <w:pStyle w:val="Heading1"/>
      </w:pPr>
      <w:bookmarkStart w:id="39" w:name="_Toc223469477"/>
      <w:r>
        <w:lastRenderedPageBreak/>
        <w:t>12. Validation and Testing</w:t>
      </w:r>
      <w:bookmarkEnd w:id="39"/>
    </w:p>
    <w:p w14:paraId="48E135F0" w14:textId="77777777" w:rsidR="00BC469E" w:rsidRDefault="00000000">
      <w:pPr>
        <w:pStyle w:val="Heading2"/>
      </w:pPr>
      <w:bookmarkStart w:id="40" w:name="_Toc223469478"/>
      <w:r>
        <w:t>12.1 Input Validation</w:t>
      </w:r>
      <w:bookmarkEnd w:id="40"/>
    </w:p>
    <w:p w14:paraId="02DF151A" w14:textId="77777777" w:rsidR="00BC469E" w:rsidRDefault="00000000">
      <w:pPr>
        <w:spacing w:after="120"/>
      </w:pPr>
      <w:r>
        <w:t>The model performs extensive input validation at construction time for all key objects: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C469E" w14:paraId="619BFD0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33942EA" w14:textId="77777777" w:rsidR="00BC469E" w:rsidRDefault="00000000">
            <w:r>
              <w:rPr>
                <w:b/>
                <w:bCs/>
                <w:color w:val="FFFFFF"/>
                <w:sz w:val="20"/>
                <w:szCs w:val="20"/>
              </w:rPr>
              <w:t>Class</w:t>
            </w:r>
          </w:p>
        </w:tc>
        <w:tc>
          <w:tcPr>
            <w:tcW w:w="69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06C8D4E5" w14:textId="77777777" w:rsidR="00BC469E" w:rsidRDefault="00000000">
            <w:r>
              <w:rPr>
                <w:b/>
                <w:bCs/>
                <w:color w:val="FFFFFF"/>
                <w:sz w:val="20"/>
                <w:szCs w:val="20"/>
              </w:rPr>
              <w:t>Validations Performed</w:t>
            </w:r>
          </w:p>
        </w:tc>
      </w:tr>
      <w:tr w:rsidR="00BC469E" w14:paraId="4EBB6F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7CDD7" w14:textId="77777777" w:rsidR="00BC469E" w:rsidRDefault="00000000">
            <w:proofErr w:type="spellStart"/>
            <w:r>
              <w:rPr>
                <w:sz w:val="20"/>
                <w:szCs w:val="20"/>
              </w:rPr>
              <w:t>TransitionMatrix</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07D15" w14:textId="77777777" w:rsidR="00BC469E" w:rsidRDefault="00000000">
            <w:r>
              <w:rPr>
                <w:sz w:val="20"/>
                <w:szCs w:val="20"/>
              </w:rPr>
              <w:t>Square matrix check, row sums equal 1.0, label-dimension consistency</w:t>
            </w:r>
          </w:p>
        </w:tc>
      </w:tr>
      <w:tr w:rsidR="00BC469E" w14:paraId="3A6179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1C91D" w14:textId="77777777" w:rsidR="00BC469E" w:rsidRDefault="00000000">
            <w:proofErr w:type="spellStart"/>
            <w:r>
              <w:rPr>
                <w:sz w:val="20"/>
                <w:szCs w:val="20"/>
              </w:rPr>
              <w:t>CreditRiskModel</w:t>
            </w:r>
            <w:proofErr w:type="spellEnd"/>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D0CD1" w14:textId="77777777" w:rsidR="00BC469E" w:rsidRDefault="00000000">
            <w:r>
              <w:rPr>
                <w:sz w:val="20"/>
                <w:szCs w:val="20"/>
              </w:rPr>
              <w:t>Type checks on all inputs, sector correlation ≥ economy correlation, sector map consistency</w:t>
            </w:r>
          </w:p>
        </w:tc>
      </w:tr>
      <w:tr w:rsidR="00BC469E" w14:paraId="38F84A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BF55A" w14:textId="77777777" w:rsidR="00BC469E" w:rsidRDefault="00000000">
            <w:r>
              <w:rPr>
                <w:sz w:val="20"/>
                <w:szCs w:val="20"/>
              </w:rPr>
              <w:t>Bonds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05D4D" w14:textId="77777777" w:rsidR="00BC469E" w:rsidRDefault="00000000">
            <w:r>
              <w:rPr>
                <w:sz w:val="20"/>
                <w:szCs w:val="20"/>
              </w:rPr>
              <w:t xml:space="preserve">Unique bond IDs, issuer linkage, recovery rates in [0, 1], cashflow </w:t>
            </w:r>
            <w:proofErr w:type="spellStart"/>
            <w:r>
              <w:rPr>
                <w:sz w:val="20"/>
                <w:szCs w:val="20"/>
              </w:rPr>
              <w:t>DataFrame</w:t>
            </w:r>
            <w:proofErr w:type="spellEnd"/>
            <w:r>
              <w:rPr>
                <w:sz w:val="20"/>
                <w:szCs w:val="20"/>
              </w:rPr>
              <w:t xml:space="preserve"> structure, numeric types</w:t>
            </w:r>
          </w:p>
        </w:tc>
      </w:tr>
      <w:tr w:rsidR="00BC469E" w14:paraId="0DCB15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4E4619" w14:textId="77777777" w:rsidR="00BC469E" w:rsidRDefault="00000000">
            <w:r>
              <w:rPr>
                <w:sz w:val="20"/>
                <w:szCs w:val="20"/>
              </w:rPr>
              <w:t>Liabilities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E3F8C2" w14:textId="77777777" w:rsidR="00BC469E" w:rsidRDefault="00000000">
            <w:r>
              <w:rPr>
                <w:sz w:val="20"/>
                <w:szCs w:val="20"/>
              </w:rPr>
              <w:t>Date-cashflow length match</w:t>
            </w:r>
          </w:p>
        </w:tc>
      </w:tr>
      <w:tr w:rsidR="00BC469E" w14:paraId="1507E8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120AD6" w14:textId="77777777" w:rsidR="00BC469E" w:rsidRDefault="00000000">
            <w:r>
              <w:rPr>
                <w:sz w:val="20"/>
                <w:szCs w:val="20"/>
              </w:rPr>
              <w:t>Rates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687E3" w14:textId="77777777" w:rsidR="00BC469E" w:rsidRDefault="00000000">
            <w:r>
              <w:rPr>
                <w:sz w:val="20"/>
                <w:szCs w:val="20"/>
              </w:rPr>
              <w:t>Yield-date length match</w:t>
            </w:r>
          </w:p>
        </w:tc>
      </w:tr>
    </w:tbl>
    <w:p w14:paraId="6B74482B" w14:textId="77777777" w:rsidR="00BC469E" w:rsidRDefault="00000000">
      <w:pPr>
        <w:pStyle w:val="Heading2"/>
      </w:pPr>
      <w:bookmarkStart w:id="41" w:name="_Toc223469479"/>
      <w:r>
        <w:t>12.2 Recommended Validation Tests</w:t>
      </w:r>
      <w:bookmarkEnd w:id="41"/>
    </w:p>
    <w:p w14:paraId="67019819" w14:textId="77777777" w:rsidR="00BC469E" w:rsidRDefault="00000000">
      <w:pPr>
        <w:spacing w:after="120"/>
      </w:pPr>
      <w:r>
        <w:rPr>
          <w:b/>
          <w:bCs/>
        </w:rPr>
        <w:t xml:space="preserve">Convergence testing. </w:t>
      </w:r>
      <w:r>
        <w:t xml:space="preserve">Run with increasing </w:t>
      </w:r>
      <w:proofErr w:type="spellStart"/>
      <w:r>
        <w:t>N_sim</w:t>
      </w:r>
      <w:proofErr w:type="spellEnd"/>
      <w:r>
        <w:t xml:space="preserve"> (1k, 5k, 10k, 50k) and verify that mean </w:t>
      </w:r>
      <w:proofErr w:type="gramStart"/>
      <w:r>
        <w:t>PV(</w:t>
      </w:r>
      <w:proofErr w:type="gramEnd"/>
      <w:r>
        <w:t>obligations) and key quantiles converge. For tail metrics at the 0.5th percentile, at least 10k scenarios are recommended.</w:t>
      </w:r>
    </w:p>
    <w:p w14:paraId="4334E84C" w14:textId="77777777" w:rsidR="00BC469E" w:rsidRDefault="00000000">
      <w:pPr>
        <w:spacing w:after="120"/>
      </w:pPr>
      <w:r>
        <w:rPr>
          <w:b/>
          <w:bCs/>
        </w:rPr>
        <w:t xml:space="preserve">Deterministic benchmark. </w:t>
      </w:r>
      <w:r>
        <w:t>With the transition matrix set to the identity (no migration), all scenarios should produce identical cashflows matching the expected (no-default) bond schedule.</w:t>
      </w:r>
    </w:p>
    <w:p w14:paraId="5FC0970E" w14:textId="77777777" w:rsidR="00BC469E" w:rsidRDefault="00000000">
      <w:pPr>
        <w:spacing w:after="120"/>
      </w:pPr>
      <w:r>
        <w:rPr>
          <w:b/>
          <w:bCs/>
        </w:rPr>
        <w:t xml:space="preserve">Single-name stress test. </w:t>
      </w:r>
      <w:r>
        <w:t>Set one issuer to CCC and verify the default rate and recovery behaviour match the transition matrix inputs.</w:t>
      </w:r>
    </w:p>
    <w:p w14:paraId="7A6FE00E" w14:textId="77777777" w:rsidR="00BC469E" w:rsidRDefault="00000000">
      <w:pPr>
        <w:spacing w:after="120"/>
      </w:pPr>
      <w:r>
        <w:rPr>
          <w:b/>
          <w:bCs/>
        </w:rPr>
        <w:t xml:space="preserve">ICAAP inner convergence. </w:t>
      </w:r>
      <w:r>
        <w:t xml:space="preserve">For a fixed outer scenario, increase </w:t>
      </w:r>
      <w:proofErr w:type="spellStart"/>
      <w:r>
        <w:t>N_inner</w:t>
      </w:r>
      <w:proofErr w:type="spellEnd"/>
      <w:r>
        <w:t xml:space="preserve"> and verify the conditional expected PV converges. Compare nested MC capital against an LSMC approximation when available.</w:t>
      </w:r>
    </w:p>
    <w:p w14:paraId="30F36F79" w14:textId="77777777" w:rsidR="00BC469E" w:rsidRDefault="00000000">
      <w:pPr>
        <w:spacing w:after="120"/>
      </w:pPr>
      <w:r>
        <w:rPr>
          <w:b/>
          <w:bCs/>
        </w:rPr>
        <w:t xml:space="preserve">Analytical bund comparator. </w:t>
      </w:r>
      <w:r>
        <w:t>Verify the closed-form bund comparator matches the step-by-step recursive calculation for a set of test cases with known additional payment amounts.</w:t>
      </w:r>
    </w:p>
    <w:p w14:paraId="06084E80" w14:textId="77777777" w:rsidR="00BC469E" w:rsidRDefault="00000000">
      <w:r>
        <w:br w:type="page"/>
      </w:r>
    </w:p>
    <w:p w14:paraId="07B83A4D" w14:textId="77777777" w:rsidR="00BC469E" w:rsidRDefault="00000000">
      <w:pPr>
        <w:pStyle w:val="Heading1"/>
      </w:pPr>
      <w:bookmarkStart w:id="42" w:name="_Toc223469480"/>
      <w:r>
        <w:lastRenderedPageBreak/>
        <w:t>Appendix A: Class Reference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3331"/>
        <w:gridCol w:w="3861"/>
      </w:tblGrid>
      <w:tr w:rsidR="00BC469E" w14:paraId="45F9AC3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41A15F7C" w14:textId="77777777" w:rsidR="00BC469E" w:rsidRDefault="00000000">
            <w:r>
              <w:rPr>
                <w:b/>
                <w:bCs/>
                <w:color w:val="FFFFFF"/>
                <w:sz w:val="20"/>
                <w:szCs w:val="20"/>
              </w:rPr>
              <w:t>Class</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66D8E4C5" w14:textId="77777777" w:rsidR="00BC469E" w:rsidRDefault="00000000">
            <w:r>
              <w:rPr>
                <w:b/>
                <w:bCs/>
                <w:color w:val="FFFFFF"/>
                <w:sz w:val="20"/>
                <w:szCs w:val="20"/>
              </w:rPr>
              <w:t>Key Methods</w:t>
            </w:r>
          </w:p>
        </w:tc>
        <w:tc>
          <w:tcPr>
            <w:tcW w:w="4000" w:type="dxa"/>
            <w:tcBorders>
              <w:top w:val="single" w:sz="1" w:space="0" w:color="CCCCCC"/>
              <w:left w:val="single" w:sz="1" w:space="0" w:color="CCCCCC"/>
              <w:bottom w:val="single" w:sz="1" w:space="0" w:color="CCCCCC"/>
              <w:right w:val="single" w:sz="1" w:space="0" w:color="CCCCCC"/>
            </w:tcBorders>
            <w:shd w:val="clear" w:color="auto" w:fill="1B2A4A"/>
            <w:tcMar>
              <w:top w:w="60" w:type="dxa"/>
              <w:left w:w="100" w:type="dxa"/>
              <w:bottom w:w="60" w:type="dxa"/>
              <w:right w:w="100" w:type="dxa"/>
            </w:tcMar>
          </w:tcPr>
          <w:p w14:paraId="29CD59C5" w14:textId="77777777" w:rsidR="00BC469E" w:rsidRDefault="00000000">
            <w:r>
              <w:rPr>
                <w:b/>
                <w:bCs/>
                <w:color w:val="FFFFFF"/>
                <w:sz w:val="20"/>
                <w:szCs w:val="20"/>
              </w:rPr>
              <w:t>Description</w:t>
            </w:r>
          </w:p>
        </w:tc>
      </w:tr>
      <w:tr w:rsidR="00BC469E" w14:paraId="674ABC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1798D" w14:textId="77777777" w:rsidR="00BC469E" w:rsidRDefault="00000000">
            <w:r>
              <w:rPr>
                <w:sz w:val="20"/>
                <w:szCs w:val="20"/>
              </w:rPr>
              <w:t>Rates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0E472" w14:textId="77777777" w:rsidR="00BC469E" w:rsidRDefault="00000000">
            <w:proofErr w:type="gramStart"/>
            <w:r>
              <w:rPr>
                <w:sz w:val="20"/>
                <w:szCs w:val="20"/>
              </w:rPr>
              <w:t>interpolate(</w:t>
            </w:r>
            <w:proofErr w:type="gramEnd"/>
            <w:r>
              <w:rPr>
                <w:sz w:val="20"/>
                <w:szCs w:val="20"/>
              </w:rPr>
              <w:t xml:space="preserve">), </w:t>
            </w:r>
            <w:proofErr w:type="spellStart"/>
            <w:r>
              <w:rPr>
                <w:sz w:val="20"/>
                <w:szCs w:val="20"/>
              </w:rPr>
              <w:t>calc_</w:t>
            </w:r>
            <w:proofErr w:type="gramStart"/>
            <w:r>
              <w:rPr>
                <w:sz w:val="20"/>
                <w:szCs w:val="20"/>
              </w:rPr>
              <w:t>fwds</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8DB87" w14:textId="77777777" w:rsidR="00BC469E" w:rsidRDefault="00000000">
            <w:r>
              <w:rPr>
                <w:sz w:val="20"/>
                <w:szCs w:val="20"/>
              </w:rPr>
              <w:t>Yield curve container with time interpolation and forward rate bootstrapping</w:t>
            </w:r>
          </w:p>
        </w:tc>
      </w:tr>
      <w:tr w:rsidR="00BC469E" w14:paraId="177FC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9DCA2" w14:textId="77777777" w:rsidR="00BC469E" w:rsidRDefault="00000000">
            <w:proofErr w:type="spellStart"/>
            <w:r>
              <w:rPr>
                <w:sz w:val="20"/>
                <w:szCs w:val="20"/>
              </w:rPr>
              <w:t>TransitionMatrix</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2154F" w14:textId="77777777" w:rsidR="00BC469E" w:rsidRDefault="00000000">
            <w:proofErr w:type="gramStart"/>
            <w:r>
              <w:rPr>
                <w:sz w:val="20"/>
                <w:szCs w:val="20"/>
              </w:rPr>
              <w:t>transitions(</w:t>
            </w:r>
            <w:proofErr w:type="gramEnd"/>
            <w:r>
              <w:rPr>
                <w:sz w:val="20"/>
                <w:szCs w:val="20"/>
              </w:rPr>
              <w:t xml:space="preserve">), </w:t>
            </w:r>
            <w:proofErr w:type="spellStart"/>
            <w:r>
              <w:rPr>
                <w:sz w:val="20"/>
                <w:szCs w:val="20"/>
              </w:rPr>
              <w:t>transitions_from_</w:t>
            </w:r>
            <w:proofErr w:type="gramStart"/>
            <w:r>
              <w:rPr>
                <w:sz w:val="20"/>
                <w:szCs w:val="20"/>
              </w:rPr>
              <w:t>state</w:t>
            </w:r>
            <w:proofErr w:type="spellEnd"/>
            <w:r>
              <w:rPr>
                <w:sz w:val="20"/>
                <w:szCs w:val="20"/>
              </w:rPr>
              <w:t>(</w:t>
            </w:r>
            <w:proofErr w:type="gramEnd"/>
            <w:r>
              <w:rPr>
                <w:sz w:val="20"/>
                <w:szCs w:val="20"/>
              </w:rPr>
              <w:t xml:space="preserve">), </w:t>
            </w:r>
            <w:proofErr w:type="spellStart"/>
            <w:r>
              <w:rPr>
                <w:sz w:val="20"/>
                <w:szCs w:val="20"/>
              </w:rPr>
              <w:t>fundamental_</w:t>
            </w:r>
            <w:proofErr w:type="gramStart"/>
            <w:r>
              <w:rPr>
                <w:sz w:val="20"/>
                <w:szCs w:val="20"/>
              </w:rPr>
              <w:t>matrix</w:t>
            </w:r>
            <w:proofErr w:type="spellEnd"/>
            <w:r>
              <w:rPr>
                <w:sz w:val="20"/>
                <w:szCs w:val="20"/>
              </w:rPr>
              <w:t>(</w:t>
            </w:r>
            <w:proofErr w:type="gramEnd"/>
            <w:r>
              <w:rPr>
                <w:sz w:val="20"/>
                <w:szCs w:val="20"/>
              </w:rPr>
              <w:t xml:space="preserve">), </w:t>
            </w:r>
            <w:proofErr w:type="spellStart"/>
            <w:r>
              <w:rPr>
                <w:sz w:val="20"/>
                <w:szCs w:val="20"/>
              </w:rPr>
              <w:t>time_to_</w:t>
            </w:r>
            <w:proofErr w:type="gramStart"/>
            <w:r>
              <w:rPr>
                <w:sz w:val="20"/>
                <w:szCs w:val="20"/>
              </w:rPr>
              <w:t>default</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84519" w14:textId="77777777" w:rsidR="00BC469E" w:rsidRDefault="00000000">
            <w:r>
              <w:rPr>
                <w:sz w:val="20"/>
                <w:szCs w:val="20"/>
              </w:rPr>
              <w:t>Markov transition matrix with migration simulation and absorbing chain analytics</w:t>
            </w:r>
          </w:p>
        </w:tc>
      </w:tr>
      <w:tr w:rsidR="00BC469E" w14:paraId="6A9D67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CCA61" w14:textId="77777777" w:rsidR="00BC469E" w:rsidRDefault="00000000">
            <w:proofErr w:type="spellStart"/>
            <w:r>
              <w:rPr>
                <w:sz w:val="20"/>
                <w:szCs w:val="20"/>
              </w:rPr>
              <w:t>CreditRiskModel</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CA1A2" w14:textId="77777777" w:rsidR="00BC469E" w:rsidRDefault="00000000">
            <w:proofErr w:type="gramStart"/>
            <w:r>
              <w:rPr>
                <w:sz w:val="20"/>
                <w:szCs w:val="20"/>
              </w:rPr>
              <w:t>run(</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1BF1C" w14:textId="77777777" w:rsidR="00BC469E" w:rsidRDefault="00000000">
            <w:r>
              <w:rPr>
                <w:sz w:val="20"/>
                <w:szCs w:val="20"/>
              </w:rPr>
              <w:t>Correlated factor model generating (</w:t>
            </w:r>
            <w:proofErr w:type="spellStart"/>
            <w:r>
              <w:rPr>
                <w:sz w:val="20"/>
                <w:szCs w:val="20"/>
              </w:rPr>
              <w:t>n_sim</w:t>
            </w:r>
            <w:proofErr w:type="spellEnd"/>
            <w:r>
              <w:rPr>
                <w:sz w:val="20"/>
                <w:szCs w:val="20"/>
              </w:rPr>
              <w:t xml:space="preserve">, </w:t>
            </w:r>
            <w:proofErr w:type="spellStart"/>
            <w:r>
              <w:rPr>
                <w:sz w:val="20"/>
                <w:szCs w:val="20"/>
              </w:rPr>
              <w:t>n_years</w:t>
            </w:r>
            <w:proofErr w:type="spellEnd"/>
            <w:r>
              <w:rPr>
                <w:sz w:val="20"/>
                <w:szCs w:val="20"/>
              </w:rPr>
              <w:t xml:space="preserve">, </w:t>
            </w:r>
            <w:proofErr w:type="spellStart"/>
            <w:r>
              <w:rPr>
                <w:sz w:val="20"/>
                <w:szCs w:val="20"/>
              </w:rPr>
              <w:t>n_issuers</w:t>
            </w:r>
            <w:proofErr w:type="spellEnd"/>
            <w:r>
              <w:rPr>
                <w:sz w:val="20"/>
                <w:szCs w:val="20"/>
              </w:rPr>
              <w:t>) rating paths</w:t>
            </w:r>
          </w:p>
        </w:tc>
      </w:tr>
      <w:tr w:rsidR="00BC469E" w14:paraId="085055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364F4" w14:textId="77777777" w:rsidR="00BC469E" w:rsidRDefault="00000000">
            <w:proofErr w:type="spellStart"/>
            <w:r>
              <w:rPr>
                <w:sz w:val="20"/>
                <w:szCs w:val="20"/>
              </w:rPr>
              <w:t>SimulationResult</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4BC62" w14:textId="77777777" w:rsidR="00BC469E"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BC9FA" w14:textId="77777777" w:rsidR="00BC469E" w:rsidRDefault="00000000">
            <w:r>
              <w:rPr>
                <w:sz w:val="20"/>
                <w:szCs w:val="20"/>
              </w:rPr>
              <w:t xml:space="preserve">Container for credit simulation outputs (E, S, I, X, </w:t>
            </w:r>
            <w:proofErr w:type="spellStart"/>
            <w:r>
              <w:rPr>
                <w:sz w:val="20"/>
                <w:szCs w:val="20"/>
              </w:rPr>
              <w:t>pX</w:t>
            </w:r>
            <w:proofErr w:type="spellEnd"/>
            <w:r>
              <w:rPr>
                <w:sz w:val="20"/>
                <w:szCs w:val="20"/>
              </w:rPr>
              <w:t>, transitions)</w:t>
            </w:r>
          </w:p>
        </w:tc>
      </w:tr>
      <w:tr w:rsidR="00BC469E" w14:paraId="10BF8D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D4654" w14:textId="77777777" w:rsidR="00BC469E" w:rsidRDefault="00000000">
            <w:r>
              <w:rPr>
                <w:sz w:val="20"/>
                <w:szCs w:val="20"/>
              </w:rPr>
              <w:t>Issuers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FBFCA" w14:textId="77777777" w:rsidR="00BC469E"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D4F7F" w14:textId="77777777" w:rsidR="00BC469E" w:rsidRDefault="00000000">
            <w:r>
              <w:rPr>
                <w:sz w:val="20"/>
                <w:szCs w:val="20"/>
              </w:rPr>
              <w:t>Issuer metadata container (ids, ratings, sectors, names)</w:t>
            </w:r>
          </w:p>
        </w:tc>
      </w:tr>
      <w:tr w:rsidR="00BC469E" w14:paraId="7EDE70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D8A7" w14:textId="77777777" w:rsidR="00BC469E" w:rsidRDefault="00000000">
            <w:r>
              <w:rPr>
                <w:sz w:val="20"/>
                <w:szCs w:val="20"/>
              </w:rPr>
              <w:t>Bonds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E83570" w14:textId="77777777" w:rsidR="00BC469E" w:rsidRDefault="00000000">
            <w:proofErr w:type="spellStart"/>
            <w:proofErr w:type="gramStart"/>
            <w:r>
              <w:rPr>
                <w:sz w:val="20"/>
                <w:szCs w:val="20"/>
              </w:rPr>
              <w:t>pv</w:t>
            </w:r>
            <w:proofErr w:type="spellEnd"/>
            <w:r>
              <w:rPr>
                <w:sz w:val="20"/>
                <w:szCs w:val="20"/>
              </w:rPr>
              <w:t>(</w:t>
            </w:r>
            <w:proofErr w:type="gramEnd"/>
            <w:r>
              <w:rPr>
                <w:sz w:val="20"/>
                <w:szCs w:val="20"/>
              </w:rPr>
              <w:t xml:space="preserve">), </w:t>
            </w:r>
            <w:proofErr w:type="spellStart"/>
            <w:r>
              <w:rPr>
                <w:sz w:val="20"/>
                <w:szCs w:val="20"/>
              </w:rPr>
              <w:t>year_end_</w:t>
            </w:r>
            <w:proofErr w:type="gramStart"/>
            <w:r>
              <w:rPr>
                <w:sz w:val="20"/>
                <w:szCs w:val="20"/>
              </w:rPr>
              <w:t>cashflows</w:t>
            </w:r>
            <w:proofErr w:type="spellEnd"/>
            <w:r>
              <w:rPr>
                <w:sz w:val="20"/>
                <w:szCs w:val="20"/>
              </w:rPr>
              <w:t>(</w:t>
            </w:r>
            <w:proofErr w:type="gramEnd"/>
            <w:r>
              <w:rPr>
                <w:sz w:val="20"/>
                <w:szCs w:val="20"/>
              </w:rPr>
              <w:t xml:space="preserve">), </w:t>
            </w:r>
            <w:proofErr w:type="spellStart"/>
            <w:r>
              <w:rPr>
                <w:sz w:val="20"/>
                <w:szCs w:val="20"/>
              </w:rPr>
              <w:t>run_</w:t>
            </w:r>
            <w:proofErr w:type="gramStart"/>
            <w:r>
              <w:rPr>
                <w:sz w:val="20"/>
                <w:szCs w:val="20"/>
              </w:rPr>
              <w:t>sim</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7016D" w14:textId="77777777" w:rsidR="00BC469E" w:rsidRDefault="00000000">
            <w:r>
              <w:rPr>
                <w:sz w:val="20"/>
                <w:szCs w:val="20"/>
              </w:rPr>
              <w:t>Bond universe with cashflow projection and stochastic PV calculation</w:t>
            </w:r>
          </w:p>
        </w:tc>
      </w:tr>
      <w:tr w:rsidR="00BC469E" w14:paraId="24D687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5A6FD" w14:textId="77777777" w:rsidR="00BC469E" w:rsidRDefault="00000000">
            <w:proofErr w:type="spellStart"/>
            <w:r>
              <w:rPr>
                <w:sz w:val="20"/>
                <w:szCs w:val="20"/>
              </w:rPr>
              <w:t>BondSimulationResult</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3FA12" w14:textId="77777777" w:rsidR="00BC469E" w:rsidRDefault="00000000">
            <w:proofErr w:type="spellStart"/>
            <w:r>
              <w:rPr>
                <w:sz w:val="20"/>
                <w:szCs w:val="20"/>
              </w:rPr>
              <w:t>to_</w:t>
            </w:r>
            <w:proofErr w:type="gramStart"/>
            <w:r>
              <w:rPr>
                <w:sz w:val="20"/>
                <w:szCs w:val="20"/>
              </w:rPr>
              <w:t>dataframe</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D6D4A" w14:textId="77777777" w:rsidR="00BC469E" w:rsidRDefault="00000000">
            <w:r>
              <w:rPr>
                <w:sz w:val="20"/>
                <w:szCs w:val="20"/>
              </w:rPr>
              <w:t>Container for bond simulation outputs per (scenario, year, bond)</w:t>
            </w:r>
          </w:p>
        </w:tc>
      </w:tr>
      <w:tr w:rsidR="00BC469E" w14:paraId="0F2793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C9446" w14:textId="77777777" w:rsidR="00BC469E" w:rsidRDefault="00000000">
            <w:r>
              <w:rPr>
                <w:sz w:val="20"/>
                <w:szCs w:val="20"/>
              </w:rPr>
              <w:t>Liabilities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133D8" w14:textId="77777777" w:rsidR="00BC469E" w:rsidRDefault="00000000">
            <w:proofErr w:type="spellStart"/>
            <w:proofErr w:type="gramStart"/>
            <w:r>
              <w:rPr>
                <w:sz w:val="20"/>
                <w:szCs w:val="20"/>
              </w:rPr>
              <w:t>pv</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ECD51" w14:textId="77777777" w:rsidR="00BC469E" w:rsidRDefault="00000000">
            <w:r>
              <w:rPr>
                <w:sz w:val="20"/>
                <w:szCs w:val="20"/>
              </w:rPr>
              <w:t>Deterministic liability cashflow container with PV calculation</w:t>
            </w:r>
          </w:p>
        </w:tc>
      </w:tr>
      <w:tr w:rsidR="00BC469E" w14:paraId="2928D4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66E74" w14:textId="77777777" w:rsidR="00BC469E" w:rsidRDefault="00000000">
            <w:r>
              <w:rPr>
                <w:sz w:val="20"/>
                <w:szCs w:val="20"/>
              </w:rPr>
              <w:t>FoxConfig</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84610" w14:textId="77777777" w:rsidR="00BC469E" w:rsidRDefault="00000000">
            <w:proofErr w:type="spellStart"/>
            <w:r>
              <w:rPr>
                <w:sz w:val="20"/>
                <w:szCs w:val="20"/>
              </w:rPr>
              <w:t>to_</w:t>
            </w:r>
            <w:proofErr w:type="gramStart"/>
            <w:r>
              <w:rPr>
                <w:sz w:val="20"/>
                <w:szCs w:val="20"/>
              </w:rPr>
              <w:t>dict</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9946" w14:textId="77777777" w:rsidR="00BC469E" w:rsidRDefault="00000000">
            <w:r>
              <w:rPr>
                <w:sz w:val="20"/>
                <w:szCs w:val="20"/>
              </w:rPr>
              <w:t>Mandate parameter container</w:t>
            </w:r>
          </w:p>
        </w:tc>
      </w:tr>
      <w:tr w:rsidR="00BC469E" w14:paraId="1FC246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DADBD" w14:textId="77777777" w:rsidR="00BC469E" w:rsidRDefault="00000000">
            <w:proofErr w:type="spellStart"/>
            <w:r>
              <w:rPr>
                <w:sz w:val="20"/>
                <w:szCs w:val="20"/>
              </w:rPr>
              <w:t>CDIMandate_Fox</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EE0B5" w14:textId="77777777" w:rsidR="00BC469E" w:rsidRDefault="00000000">
            <w:proofErr w:type="gramStart"/>
            <w:r>
              <w:rPr>
                <w:sz w:val="20"/>
                <w:szCs w:val="20"/>
              </w:rPr>
              <w:t>run(</w:t>
            </w:r>
            <w:proofErr w:type="gramEnd"/>
            <w:r>
              <w:rPr>
                <w:sz w:val="20"/>
                <w:szCs w:val="20"/>
              </w:rPr>
              <w:t xml:space="preserve">), </w:t>
            </w:r>
            <w:proofErr w:type="spellStart"/>
            <w:r>
              <w:rPr>
                <w:sz w:val="20"/>
                <w:szCs w:val="20"/>
              </w:rPr>
              <w:t>icaap_</w:t>
            </w:r>
            <w:proofErr w:type="gramStart"/>
            <w:r>
              <w:rPr>
                <w:sz w:val="20"/>
                <w:szCs w:val="20"/>
              </w:rPr>
              <w:t>capital</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F70AB" w14:textId="77777777" w:rsidR="00BC469E" w:rsidRDefault="00000000">
            <w:r>
              <w:rPr>
                <w:sz w:val="20"/>
                <w:szCs w:val="20"/>
              </w:rPr>
              <w:t>CDI waterfall engine; produces full simulation and ICAAP capital results</w:t>
            </w:r>
          </w:p>
        </w:tc>
      </w:tr>
      <w:tr w:rsidR="00BC469E" w14:paraId="3608ED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9637C" w14:textId="77777777" w:rsidR="00BC469E" w:rsidRDefault="00000000">
            <w:proofErr w:type="spellStart"/>
            <w:r>
              <w:rPr>
                <w:sz w:val="20"/>
                <w:szCs w:val="20"/>
              </w:rPr>
              <w:t>CDISimulationResult</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A83C9" w14:textId="77777777" w:rsidR="00BC469E" w:rsidRDefault="00000000">
            <w:proofErr w:type="spellStart"/>
            <w:r>
              <w:rPr>
                <w:sz w:val="20"/>
                <w:szCs w:val="20"/>
              </w:rPr>
              <w:t>obligation_</w:t>
            </w:r>
            <w:proofErr w:type="gramStart"/>
            <w:r>
              <w:rPr>
                <w:sz w:val="20"/>
                <w:szCs w:val="20"/>
              </w:rPr>
              <w:t>metrics</w:t>
            </w:r>
            <w:proofErr w:type="spellEnd"/>
            <w:r>
              <w:rPr>
                <w:sz w:val="20"/>
                <w:szCs w:val="20"/>
              </w:rPr>
              <w:t>(</w:t>
            </w:r>
            <w:proofErr w:type="gramEnd"/>
            <w:r>
              <w:rPr>
                <w:sz w:val="20"/>
                <w:szCs w:val="20"/>
              </w:rPr>
              <w:t xml:space="preserve">), </w:t>
            </w:r>
            <w:proofErr w:type="spellStart"/>
            <w:r>
              <w:rPr>
                <w:sz w:val="20"/>
                <w:szCs w:val="20"/>
              </w:rPr>
              <w:t>pv_hgb_</w:t>
            </w:r>
            <w:proofErr w:type="gramStart"/>
            <w:r>
              <w:rPr>
                <w:sz w:val="20"/>
                <w:szCs w:val="20"/>
              </w:rPr>
              <w:t>payments</w:t>
            </w:r>
            <w:proofErr w:type="spellEnd"/>
            <w:r>
              <w:rPr>
                <w:sz w:val="20"/>
                <w:szCs w:val="20"/>
              </w:rPr>
              <w:t>(</w:t>
            </w:r>
            <w:proofErr w:type="gramEnd"/>
            <w:r>
              <w:rPr>
                <w:sz w:val="20"/>
                <w:szCs w:val="20"/>
              </w:rPr>
              <w:t xml:space="preserve">), </w:t>
            </w:r>
            <w:proofErr w:type="spellStart"/>
            <w:r>
              <w:rPr>
                <w:sz w:val="20"/>
                <w:szCs w:val="20"/>
              </w:rPr>
              <w:t>pv_performance_</w:t>
            </w:r>
            <w:proofErr w:type="gramStart"/>
            <w:r>
              <w:rPr>
                <w:sz w:val="20"/>
                <w:szCs w:val="20"/>
              </w:rPr>
              <w:t>payments</w:t>
            </w:r>
            <w:proofErr w:type="spellEnd"/>
            <w:r>
              <w:rPr>
                <w:sz w:val="20"/>
                <w:szCs w:val="20"/>
              </w:rPr>
              <w:t>(</w:t>
            </w:r>
            <w:proofErr w:type="gramEnd"/>
            <w:r>
              <w:rPr>
                <w:sz w:val="20"/>
                <w:szCs w:val="20"/>
              </w:rPr>
              <w:t xml:space="preserve">), </w:t>
            </w:r>
            <w:proofErr w:type="spellStart"/>
            <w:r>
              <w:rPr>
                <w:sz w:val="20"/>
                <w:szCs w:val="20"/>
              </w:rPr>
              <w:t>pv_total_</w:t>
            </w:r>
            <w:proofErr w:type="gramStart"/>
            <w:r>
              <w:rPr>
                <w:sz w:val="20"/>
                <w:szCs w:val="20"/>
              </w:rPr>
              <w:t>obligations</w:t>
            </w:r>
            <w:proofErr w:type="spellEnd"/>
            <w:r>
              <w:rPr>
                <w:sz w:val="20"/>
                <w:szCs w:val="20"/>
              </w:rPr>
              <w:t>(</w:t>
            </w:r>
            <w:proofErr w:type="gramEnd"/>
            <w:r>
              <w:rPr>
                <w:sz w:val="20"/>
                <w:szCs w:val="20"/>
              </w:rPr>
              <w:t xml:space="preserve">), </w:t>
            </w:r>
            <w:proofErr w:type="spellStart"/>
            <w:r>
              <w:rPr>
                <w:sz w:val="20"/>
                <w:szCs w:val="20"/>
              </w:rPr>
              <w:t>pv_</w:t>
            </w:r>
            <w:proofErr w:type="gramStart"/>
            <w:r>
              <w:rPr>
                <w:sz w:val="20"/>
                <w:szCs w:val="20"/>
              </w:rPr>
              <w:t>fees</w:t>
            </w:r>
            <w:proofErr w:type="spellEnd"/>
            <w:r>
              <w:rPr>
                <w:sz w:val="20"/>
                <w:szCs w:val="20"/>
              </w:rPr>
              <w:t>(</w:t>
            </w:r>
            <w:proofErr w:type="gramEnd"/>
            <w:r>
              <w:rPr>
                <w:sz w:val="20"/>
                <w:szCs w:val="20"/>
              </w:rPr>
              <w:t xml:space="preserve">), </w:t>
            </w:r>
            <w:proofErr w:type="spellStart"/>
            <w:r>
              <w:rPr>
                <w:sz w:val="20"/>
                <w:szCs w:val="20"/>
              </w:rPr>
              <w:t>pv_</w:t>
            </w:r>
            <w:proofErr w:type="gramStart"/>
            <w:r>
              <w:rPr>
                <w:sz w:val="20"/>
                <w:szCs w:val="20"/>
              </w:rPr>
              <w:t>net</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E73B0" w14:textId="77777777" w:rsidR="00BC469E" w:rsidRDefault="00000000">
            <w:r>
              <w:rPr>
                <w:sz w:val="20"/>
                <w:szCs w:val="20"/>
              </w:rPr>
              <w:t>Simulation output with PV metrics and summary reporting</w:t>
            </w:r>
          </w:p>
        </w:tc>
      </w:tr>
      <w:tr w:rsidR="00BC469E" w14:paraId="3F626E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165B9" w14:textId="77777777" w:rsidR="00BC469E" w:rsidRDefault="00000000">
            <w:proofErr w:type="spellStart"/>
            <w:r>
              <w:rPr>
                <w:sz w:val="20"/>
                <w:szCs w:val="20"/>
              </w:rPr>
              <w:t>ICAAPResult</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81EA7" w14:textId="77777777" w:rsidR="00BC469E" w:rsidRDefault="00000000">
            <w:proofErr w:type="gramStart"/>
            <w:r>
              <w:rPr>
                <w:sz w:val="20"/>
                <w:szCs w:val="20"/>
              </w:rPr>
              <w:t>summary(</w:t>
            </w:r>
            <w:proofErr w:type="gramEnd"/>
            <w:r>
              <w:rPr>
                <w:sz w:val="20"/>
                <w:szCs w:val="20"/>
              </w:rPr>
              <w:t xml:space="preserve">), </w:t>
            </w:r>
            <w:proofErr w:type="gramStart"/>
            <w:r>
              <w:rPr>
                <w:sz w:val="20"/>
                <w:szCs w:val="20"/>
              </w:rPr>
              <w:t>var(</w:t>
            </w:r>
            <w:proofErr w:type="gramEnd"/>
            <w:r>
              <w:rPr>
                <w:sz w:val="20"/>
                <w:szCs w:val="20"/>
              </w:rPr>
              <w:t xml:space="preserve">), </w:t>
            </w:r>
            <w:proofErr w:type="spellStart"/>
            <w:proofErr w:type="gramStart"/>
            <w:r>
              <w:rPr>
                <w:sz w:val="20"/>
                <w:szCs w:val="20"/>
              </w:rPr>
              <w:t>tvar</w:t>
            </w:r>
            <w:proofErr w:type="spellEnd"/>
            <w:r>
              <w:rPr>
                <w:sz w:val="20"/>
                <w:szCs w:val="20"/>
              </w:rPr>
              <w:t>(</w:t>
            </w:r>
            <w:proofErr w:type="gramEnd"/>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CF292" w14:textId="77777777" w:rsidR="00BC469E" w:rsidRDefault="00000000">
            <w:r>
              <w:rPr>
                <w:sz w:val="20"/>
                <w:szCs w:val="20"/>
              </w:rPr>
              <w:t>ICAAP nested MC output with capital measures</w:t>
            </w:r>
          </w:p>
        </w:tc>
      </w:tr>
    </w:tbl>
    <w:p w14:paraId="3E467A86" w14:textId="77777777" w:rsidR="006F5D5E" w:rsidRDefault="006F5D5E"/>
    <w:sectPr w:rsidR="006F5D5E">
      <w:headerReference w:type="default" r:id="rId7"/>
      <w:footerReference w:type="default" r:id="rId8"/>
      <w:pgSz w:w="11906" w:h="16838"/>
      <w:pgMar w:top="1440" w:right="1250" w:bottom="144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E4789" w14:textId="77777777" w:rsidR="006F5D5E" w:rsidRDefault="006F5D5E">
      <w:pPr>
        <w:spacing w:line="240" w:lineRule="auto"/>
      </w:pPr>
      <w:r>
        <w:separator/>
      </w:r>
    </w:p>
  </w:endnote>
  <w:endnote w:type="continuationSeparator" w:id="0">
    <w:p w14:paraId="3F906B8E" w14:textId="77777777" w:rsidR="006F5D5E" w:rsidRDefault="006F5D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1F5C" w14:textId="77777777" w:rsidR="00BC469E"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C28E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47F5" w14:textId="77777777" w:rsidR="006F5D5E" w:rsidRDefault="006F5D5E">
      <w:pPr>
        <w:spacing w:line="240" w:lineRule="auto"/>
      </w:pPr>
      <w:r>
        <w:separator/>
      </w:r>
    </w:p>
  </w:footnote>
  <w:footnote w:type="continuationSeparator" w:id="0">
    <w:p w14:paraId="05A951B6" w14:textId="77777777" w:rsidR="006F5D5E" w:rsidRDefault="006F5D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79FC" w14:textId="77777777" w:rsidR="00BC469E" w:rsidRDefault="00000000">
    <w:pPr>
      <w:pBdr>
        <w:bottom w:val="single" w:sz="4" w:space="4" w:color="2E75B6"/>
      </w:pBdr>
      <w:tabs>
        <w:tab w:val="right" w:pos="9026"/>
      </w:tabs>
    </w:pPr>
    <w:r>
      <w:rPr>
        <w:color w:val="666666"/>
        <w:sz w:val="18"/>
        <w:szCs w:val="18"/>
      </w:rPr>
      <w:t>CDI Credit Risk Model — Model Documentation</w:t>
    </w:r>
    <w:r>
      <w:rPr>
        <w:color w:val="666666"/>
        <w:sz w:val="18"/>
        <w:szCs w:val="18"/>
      </w:rPr>
      <w:tab/>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861F8"/>
    <w:multiLevelType w:val="hybridMultilevel"/>
    <w:tmpl w:val="CDBEAB2E"/>
    <w:lvl w:ilvl="0" w:tplc="B1D0EF40">
      <w:start w:val="1"/>
      <w:numFmt w:val="bullet"/>
      <w:lvlText w:val="●"/>
      <w:lvlJc w:val="left"/>
      <w:pPr>
        <w:ind w:left="720" w:hanging="360"/>
      </w:pPr>
    </w:lvl>
    <w:lvl w:ilvl="1" w:tplc="ECD2D122">
      <w:start w:val="1"/>
      <w:numFmt w:val="bullet"/>
      <w:lvlText w:val="○"/>
      <w:lvlJc w:val="left"/>
      <w:pPr>
        <w:ind w:left="1440" w:hanging="360"/>
      </w:pPr>
    </w:lvl>
    <w:lvl w:ilvl="2" w:tplc="927ADC1E">
      <w:start w:val="1"/>
      <w:numFmt w:val="bullet"/>
      <w:lvlText w:val="■"/>
      <w:lvlJc w:val="left"/>
      <w:pPr>
        <w:ind w:left="2160" w:hanging="360"/>
      </w:pPr>
    </w:lvl>
    <w:lvl w:ilvl="3" w:tplc="09F694FC">
      <w:start w:val="1"/>
      <w:numFmt w:val="bullet"/>
      <w:lvlText w:val="●"/>
      <w:lvlJc w:val="left"/>
      <w:pPr>
        <w:ind w:left="2880" w:hanging="360"/>
      </w:pPr>
    </w:lvl>
    <w:lvl w:ilvl="4" w:tplc="F78A125E">
      <w:start w:val="1"/>
      <w:numFmt w:val="bullet"/>
      <w:lvlText w:val="○"/>
      <w:lvlJc w:val="left"/>
      <w:pPr>
        <w:ind w:left="3600" w:hanging="360"/>
      </w:pPr>
    </w:lvl>
    <w:lvl w:ilvl="5" w:tplc="1184676C">
      <w:start w:val="1"/>
      <w:numFmt w:val="bullet"/>
      <w:lvlText w:val="■"/>
      <w:lvlJc w:val="left"/>
      <w:pPr>
        <w:ind w:left="4320" w:hanging="360"/>
      </w:pPr>
    </w:lvl>
    <w:lvl w:ilvl="6" w:tplc="11E04104">
      <w:start w:val="1"/>
      <w:numFmt w:val="bullet"/>
      <w:lvlText w:val="●"/>
      <w:lvlJc w:val="left"/>
      <w:pPr>
        <w:ind w:left="5040" w:hanging="360"/>
      </w:pPr>
    </w:lvl>
    <w:lvl w:ilvl="7" w:tplc="80FCC2B0">
      <w:start w:val="1"/>
      <w:numFmt w:val="bullet"/>
      <w:lvlText w:val="●"/>
      <w:lvlJc w:val="left"/>
      <w:pPr>
        <w:ind w:left="5760" w:hanging="360"/>
      </w:pPr>
    </w:lvl>
    <w:lvl w:ilvl="8" w:tplc="5C243C8C">
      <w:start w:val="1"/>
      <w:numFmt w:val="bullet"/>
      <w:lvlText w:val="●"/>
      <w:lvlJc w:val="left"/>
      <w:pPr>
        <w:ind w:left="6480" w:hanging="360"/>
      </w:pPr>
    </w:lvl>
  </w:abstractNum>
  <w:num w:numId="1" w16cid:durableId="19500899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69E"/>
    <w:rsid w:val="00266F80"/>
    <w:rsid w:val="004F6192"/>
    <w:rsid w:val="006F5D5E"/>
    <w:rsid w:val="00BC28EE"/>
    <w:rsid w:val="00BC46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D5AF"/>
  <w15:docId w15:val="{CB7B0669-A255-47A2-8C23-5C6C326FD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200" w:after="12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C28EE"/>
    <w:pPr>
      <w:spacing w:after="100"/>
    </w:pPr>
  </w:style>
  <w:style w:type="paragraph" w:styleId="TOC2">
    <w:name w:val="toc 2"/>
    <w:basedOn w:val="Normal"/>
    <w:next w:val="Normal"/>
    <w:autoRedefine/>
    <w:uiPriority w:val="39"/>
    <w:unhideWhenUsed/>
    <w:rsid w:val="00BC28E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4448</Words>
  <Characters>25359</Characters>
  <Application>Microsoft Office Word</Application>
  <DocSecurity>0</DocSecurity>
  <Lines>211</Lines>
  <Paragraphs>59</Paragraphs>
  <ScaleCrop>false</ScaleCrop>
  <Company/>
  <LinksUpToDate>false</LinksUpToDate>
  <CharactersWithSpaces>29748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Mills</cp:lastModifiedBy>
  <cp:revision>3</cp:revision>
  <dcterms:created xsi:type="dcterms:W3CDTF">2026-03-03T22:26:00Z</dcterms:created>
  <dcterms:modified xsi:type="dcterms:W3CDTF">2026-03-03T22:30:00Z</dcterms:modified>
</cp:coreProperties>
</file>