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283"/>
        <w:jc w:val="left"/>
        <w:rPr/>
      </w:pPr>
      <w:r>
        <w:rPr/>
        <w:t>CAP Formalizations Across Fields</w:t>
      </w:r>
    </w:p>
    <w:p>
      <w:pPr>
        <w:pStyle w:val="BodyText"/>
        <w:bidi w:val="0"/>
        <w:spacing w:before="0" w:after="283"/>
        <w:jc w:val="left"/>
        <w:rPr/>
      </w:pPr>
      <w:r>
        <w:rPr/>
        <w:t>This document summarises how the CAP (Constraint-Alignment-Persistence) triad manifests across several academic domains. The CAP framework observes that systems persist when their alignment satisfies the constraints that bound them, with a buffer zone enabling exploration without collapse. Below, we outline how formal concepts in different disciplines mirror this structure.</w:t>
      </w:r>
    </w:p>
    <w:p>
      <w:pPr>
        <w:pStyle w:val="Heading2"/>
        <w:numPr>
          <w:ilvl w:val="0"/>
          <w:numId w:val="0"/>
        </w:numPr>
        <w:bidi w:val="0"/>
        <w:spacing w:before="200" w:after="120"/>
        <w:jc w:val="left"/>
        <w:rPr/>
      </w:pPr>
      <w:r>
        <w:rPr/>
        <w:t>Summary Table</w:t>
      </w:r>
    </w:p>
    <w:tbl>
      <w:tblPr>
        <w:tblW w:w="10205" w:type="dxa"/>
        <w:jc w:val="left"/>
        <w:tblInd w:w="0" w:type="dxa"/>
        <w:tblLayout w:type="fixed"/>
        <w:tblCellMar>
          <w:top w:w="28" w:type="dxa"/>
          <w:left w:w="28" w:type="dxa"/>
          <w:bottom w:w="28" w:type="dxa"/>
          <w:right w:w="28" w:type="dxa"/>
        </w:tblCellMar>
      </w:tblPr>
      <w:tblGrid>
        <w:gridCol w:w="2051"/>
        <w:gridCol w:w="2220"/>
        <w:gridCol w:w="1859"/>
        <w:gridCol w:w="4075"/>
      </w:tblGrid>
      <w:tr>
        <w:trPr/>
        <w:tc>
          <w:tcPr>
            <w:tcW w:w="2051" w:type="dxa"/>
            <w:tcBorders/>
            <w:vAlign w:val="center"/>
          </w:tcPr>
          <w:p>
            <w:pPr>
              <w:pStyle w:val="TableHeading"/>
              <w:suppressLineNumbers/>
              <w:bidi w:val="0"/>
              <w:spacing w:before="0" w:after="283"/>
              <w:jc w:val="left"/>
              <w:rPr/>
            </w:pPr>
            <w:r>
              <w:rPr/>
              <w:t>Field</w:t>
            </w:r>
          </w:p>
        </w:tc>
        <w:tc>
          <w:tcPr>
            <w:tcW w:w="2220" w:type="dxa"/>
            <w:tcBorders/>
            <w:vAlign w:val="center"/>
          </w:tcPr>
          <w:p>
            <w:pPr>
              <w:pStyle w:val="TableHeading"/>
              <w:suppressLineNumbers/>
              <w:bidi w:val="0"/>
              <w:spacing w:before="0" w:after="283"/>
              <w:jc w:val="left"/>
              <w:rPr/>
            </w:pPr>
            <w:r>
              <w:rPr/>
              <w:t>Constraint (C)</w:t>
            </w:r>
          </w:p>
        </w:tc>
        <w:tc>
          <w:tcPr>
            <w:tcW w:w="1859" w:type="dxa"/>
            <w:tcBorders/>
            <w:vAlign w:val="center"/>
          </w:tcPr>
          <w:p>
            <w:pPr>
              <w:pStyle w:val="TableHeading"/>
              <w:suppressLineNumbers/>
              <w:bidi w:val="0"/>
              <w:spacing w:before="0" w:after="283"/>
              <w:jc w:val="left"/>
              <w:rPr/>
            </w:pPr>
            <w:r>
              <w:rPr/>
              <w:t>Alignment (A)</w:t>
            </w:r>
          </w:p>
        </w:tc>
        <w:tc>
          <w:tcPr>
            <w:tcW w:w="4075" w:type="dxa"/>
            <w:tcBorders/>
            <w:vAlign w:val="center"/>
          </w:tcPr>
          <w:p>
            <w:pPr>
              <w:pStyle w:val="TableHeading"/>
              <w:suppressLineNumbers/>
              <w:bidi w:val="0"/>
              <w:spacing w:before="0" w:after="283"/>
              <w:jc w:val="left"/>
              <w:rPr/>
            </w:pPr>
            <w:r>
              <w:rPr/>
              <w:t>Persistence (P)/Buffer</w:t>
            </w:r>
          </w:p>
        </w:tc>
      </w:tr>
      <w:tr>
        <w:trPr/>
        <w:tc>
          <w:tcPr>
            <w:tcW w:w="2051" w:type="dxa"/>
            <w:tcBorders/>
            <w:vAlign w:val="center"/>
          </w:tcPr>
          <w:p>
            <w:pPr>
              <w:pStyle w:val="TableContents"/>
              <w:bidi w:val="0"/>
              <w:spacing w:before="0" w:after="283"/>
              <w:jc w:val="left"/>
              <w:rPr/>
            </w:pPr>
            <w:r>
              <w:rPr/>
              <w:t>Cybernetics</w:t>
            </w:r>
          </w:p>
        </w:tc>
        <w:tc>
          <w:tcPr>
            <w:tcW w:w="2220" w:type="dxa"/>
            <w:tcBorders/>
            <w:vAlign w:val="center"/>
          </w:tcPr>
          <w:p>
            <w:pPr>
              <w:pStyle w:val="TableContents"/>
              <w:bidi w:val="0"/>
              <w:spacing w:before="0" w:after="283"/>
              <w:jc w:val="left"/>
              <w:rPr/>
            </w:pPr>
            <w:r>
              <w:rPr/>
              <w:t>Environmental variety and disturbances</w:t>
            </w:r>
          </w:p>
        </w:tc>
        <w:tc>
          <w:tcPr>
            <w:tcW w:w="1859" w:type="dxa"/>
            <w:tcBorders/>
            <w:vAlign w:val="center"/>
          </w:tcPr>
          <w:p>
            <w:pPr>
              <w:pStyle w:val="TableContents"/>
              <w:bidi w:val="0"/>
              <w:spacing w:before="0" w:after="283"/>
              <w:jc w:val="left"/>
              <w:rPr/>
            </w:pPr>
            <w:r>
              <w:rPr/>
              <w:t>Regulator’s variety / response choices</w:t>
            </w:r>
          </w:p>
        </w:tc>
        <w:tc>
          <w:tcPr>
            <w:tcW w:w="4075" w:type="dxa"/>
            <w:tcBorders/>
            <w:vAlign w:val="center"/>
          </w:tcPr>
          <w:p>
            <w:pPr>
              <w:pStyle w:val="TableContents"/>
              <w:bidi w:val="0"/>
              <w:spacing w:before="0" w:after="283"/>
              <w:jc w:val="left"/>
              <w:rPr/>
            </w:pPr>
            <w:r>
              <w:rPr/>
              <w:t>Viability (stability); the “Law of Requisite Variety” states a regulator must have variety matching the disturbances</w:t>
            </w:r>
            <w:r>
              <w:rPr/>
              <w:t>【</w:t>
            </w:r>
            <w:r>
              <w:rPr/>
              <w:t>142935824051603†L283-L289</w:t>
            </w:r>
            <w:r>
              <w:rPr/>
              <w:t>】</w:t>
            </w:r>
            <w:r>
              <w:rPr/>
              <w:t>.</w:t>
            </w:r>
          </w:p>
        </w:tc>
      </w:tr>
      <w:tr>
        <w:trPr/>
        <w:tc>
          <w:tcPr>
            <w:tcW w:w="2051" w:type="dxa"/>
            <w:tcBorders/>
            <w:vAlign w:val="center"/>
          </w:tcPr>
          <w:p>
            <w:pPr>
              <w:pStyle w:val="TableContents"/>
              <w:bidi w:val="0"/>
              <w:spacing w:before="0" w:after="283"/>
              <w:jc w:val="left"/>
              <w:rPr/>
            </w:pPr>
            <w:r>
              <w:rPr/>
              <w:t>Information theory &amp; control</w:t>
            </w:r>
          </w:p>
        </w:tc>
        <w:tc>
          <w:tcPr>
            <w:tcW w:w="2220" w:type="dxa"/>
            <w:tcBorders/>
            <w:vAlign w:val="center"/>
          </w:tcPr>
          <w:p>
            <w:pPr>
              <w:pStyle w:val="TableContents"/>
              <w:bidi w:val="0"/>
              <w:spacing w:before="0" w:after="283"/>
              <w:jc w:val="left"/>
              <w:rPr/>
            </w:pPr>
            <w:r>
              <w:rPr/>
              <w:t>Noise and disturbances in communication channels</w:t>
            </w:r>
          </w:p>
        </w:tc>
        <w:tc>
          <w:tcPr>
            <w:tcW w:w="1859" w:type="dxa"/>
            <w:tcBorders/>
            <w:vAlign w:val="center"/>
          </w:tcPr>
          <w:p>
            <w:pPr>
              <w:pStyle w:val="TableContents"/>
              <w:bidi w:val="0"/>
              <w:spacing w:before="0" w:after="283"/>
              <w:jc w:val="left"/>
              <w:rPr/>
            </w:pPr>
            <w:r>
              <w:rPr/>
              <w:t>Coding and channel capacity to correct errors</w:t>
            </w:r>
          </w:p>
        </w:tc>
        <w:tc>
          <w:tcPr>
            <w:tcW w:w="4075" w:type="dxa"/>
            <w:tcBorders/>
            <w:vAlign w:val="center"/>
          </w:tcPr>
          <w:p>
            <w:pPr>
              <w:pStyle w:val="TableContents"/>
              <w:bidi w:val="0"/>
              <w:spacing w:before="0" w:after="283"/>
              <w:jc w:val="left"/>
              <w:rPr/>
            </w:pPr>
            <w:r>
              <w:rPr/>
              <w:t>Reliable communication limited by channel capacity; Shannon’s Theorem 10 says noise removal is bounded by channel capacity</w:t>
            </w:r>
            <w:r>
              <w:rPr/>
              <w:t>【</w:t>
            </w:r>
            <w:r>
              <w:rPr/>
              <w:t>413156941503317†L3075-L3081</w:t>
            </w:r>
            <w:r>
              <w:rPr/>
              <w:t>】</w:t>
            </w:r>
            <w:r>
              <w:rPr/>
              <w:t>.</w:t>
            </w:r>
          </w:p>
        </w:tc>
      </w:tr>
      <w:tr>
        <w:trPr/>
        <w:tc>
          <w:tcPr>
            <w:tcW w:w="2051" w:type="dxa"/>
            <w:tcBorders/>
            <w:vAlign w:val="center"/>
          </w:tcPr>
          <w:p>
            <w:pPr>
              <w:pStyle w:val="TableContents"/>
              <w:bidi w:val="0"/>
              <w:spacing w:before="0" w:after="283"/>
              <w:jc w:val="left"/>
              <w:rPr/>
            </w:pPr>
            <w:r>
              <w:rPr/>
              <w:t>Thermodynamics / information engines</w:t>
            </w:r>
          </w:p>
        </w:tc>
        <w:tc>
          <w:tcPr>
            <w:tcW w:w="2220" w:type="dxa"/>
            <w:tcBorders/>
            <w:vAlign w:val="center"/>
          </w:tcPr>
          <w:p>
            <w:pPr>
              <w:pStyle w:val="TableContents"/>
              <w:bidi w:val="0"/>
              <w:spacing w:before="0" w:after="283"/>
              <w:jc w:val="left"/>
              <w:rPr/>
            </w:pPr>
            <w:r>
              <w:rPr/>
              <w:t>Accessible, detectable, and controllable states (environmental variety)</w:t>
            </w:r>
          </w:p>
        </w:tc>
        <w:tc>
          <w:tcPr>
            <w:tcW w:w="1859" w:type="dxa"/>
            <w:tcBorders/>
            <w:vAlign w:val="center"/>
          </w:tcPr>
          <w:p>
            <w:pPr>
              <w:pStyle w:val="TableContents"/>
              <w:bidi w:val="0"/>
              <w:spacing w:before="0" w:after="283"/>
              <w:jc w:val="left"/>
              <w:rPr/>
            </w:pPr>
            <w:r>
              <w:rPr/>
              <w:t>Agent’s memory/policy to match environment structure</w:t>
            </w:r>
          </w:p>
        </w:tc>
        <w:tc>
          <w:tcPr>
            <w:tcW w:w="4075" w:type="dxa"/>
            <w:tcBorders/>
            <w:vAlign w:val="center"/>
          </w:tcPr>
          <w:p>
            <w:pPr>
              <w:pStyle w:val="TableContents"/>
              <w:bidi w:val="0"/>
              <w:spacing w:before="0" w:after="283"/>
              <w:jc w:val="left"/>
              <w:rPr/>
            </w:pPr>
            <w:r>
              <w:rPr/>
              <w:t>To harvest work, memory must match environmental correlations; Ashby reinterpreted Shannon’s surprise for living systems</w:t>
            </w:r>
            <w:r>
              <w:rPr/>
              <w:t>【</w:t>
            </w:r>
            <w:r>
              <w:rPr/>
              <w:t>377254049364992†L101-L113</w:t>
            </w:r>
            <w:r>
              <w:rPr/>
              <w:t>】</w:t>
            </w:r>
            <w:r>
              <w:rPr/>
              <w:t>.</w:t>
            </w:r>
          </w:p>
        </w:tc>
      </w:tr>
      <w:tr>
        <w:trPr/>
        <w:tc>
          <w:tcPr>
            <w:tcW w:w="2051" w:type="dxa"/>
            <w:tcBorders/>
            <w:vAlign w:val="center"/>
          </w:tcPr>
          <w:p>
            <w:pPr>
              <w:pStyle w:val="TableContents"/>
              <w:bidi w:val="0"/>
              <w:spacing w:before="0" w:after="283"/>
              <w:jc w:val="left"/>
              <w:rPr/>
            </w:pPr>
            <w:r>
              <w:rPr/>
              <w:t>Multiscale complexity</w:t>
            </w:r>
          </w:p>
        </w:tc>
        <w:tc>
          <w:tcPr>
            <w:tcW w:w="2220" w:type="dxa"/>
            <w:tcBorders/>
            <w:vAlign w:val="center"/>
          </w:tcPr>
          <w:p>
            <w:pPr>
              <w:pStyle w:val="TableContents"/>
              <w:bidi w:val="0"/>
              <w:spacing w:before="0" w:after="283"/>
              <w:jc w:val="left"/>
              <w:rPr/>
            </w:pPr>
            <w:r>
              <w:rPr/>
              <w:t>Environmental variation at multiple scales</w:t>
            </w:r>
          </w:p>
        </w:tc>
        <w:tc>
          <w:tcPr>
            <w:tcW w:w="1859" w:type="dxa"/>
            <w:tcBorders/>
            <w:vAlign w:val="center"/>
          </w:tcPr>
          <w:p>
            <w:pPr>
              <w:pStyle w:val="TableContents"/>
              <w:bidi w:val="0"/>
              <w:spacing w:before="0" w:after="283"/>
              <w:jc w:val="left"/>
              <w:rPr/>
            </w:pPr>
            <w:r>
              <w:rPr/>
              <w:t>System’s coordinated responses across scales</w:t>
            </w:r>
          </w:p>
        </w:tc>
        <w:tc>
          <w:tcPr>
            <w:tcW w:w="4075" w:type="dxa"/>
            <w:tcBorders/>
            <w:vAlign w:val="center"/>
          </w:tcPr>
          <w:p>
            <w:pPr>
              <w:pStyle w:val="TableContents"/>
              <w:bidi w:val="0"/>
              <w:spacing w:before="0" w:after="283"/>
              <w:jc w:val="left"/>
              <w:rPr/>
            </w:pPr>
            <w:r>
              <w:rPr/>
              <w:t>A system needs as many responses as environment states; scaling law reveals trade-offs between coordination and flexibility</w:t>
            </w:r>
            <w:r>
              <w:rPr/>
              <w:t>【</w:t>
            </w:r>
            <w:r>
              <w:rPr/>
              <w:t>465549531403709†L81-L89</w:t>
            </w:r>
            <w:r>
              <w:rPr/>
              <w:t>】【</w:t>
            </w:r>
            <w:r>
              <w:rPr/>
              <w:t>465549531403709†L110-L116</w:t>
            </w:r>
            <w:r>
              <w:rPr/>
              <w:t>】</w:t>
            </w:r>
            <w:r>
              <w:rPr/>
              <w:t>.</w:t>
            </w:r>
          </w:p>
        </w:tc>
      </w:tr>
      <w:tr>
        <w:trPr/>
        <w:tc>
          <w:tcPr>
            <w:tcW w:w="2051" w:type="dxa"/>
            <w:tcBorders/>
            <w:vAlign w:val="center"/>
          </w:tcPr>
          <w:p>
            <w:pPr>
              <w:pStyle w:val="TableContents"/>
              <w:bidi w:val="0"/>
              <w:spacing w:before="0" w:after="283"/>
              <w:jc w:val="left"/>
              <w:rPr/>
            </w:pPr>
            <w:r>
              <w:rPr/>
              <w:t>Microeconomics</w:t>
            </w:r>
          </w:p>
        </w:tc>
        <w:tc>
          <w:tcPr>
            <w:tcW w:w="2220" w:type="dxa"/>
            <w:tcBorders/>
            <w:vAlign w:val="center"/>
          </w:tcPr>
          <w:p>
            <w:pPr>
              <w:pStyle w:val="TableContents"/>
              <w:bidi w:val="0"/>
              <w:spacing w:before="0" w:after="283"/>
              <w:jc w:val="left"/>
              <w:rPr/>
            </w:pPr>
            <w:r>
              <w:rPr/>
              <w:t>Scarcity and resource limits; supply and demand curves</w:t>
            </w:r>
          </w:p>
        </w:tc>
        <w:tc>
          <w:tcPr>
            <w:tcW w:w="1859" w:type="dxa"/>
            <w:tcBorders/>
            <w:vAlign w:val="center"/>
          </w:tcPr>
          <w:p>
            <w:pPr>
              <w:pStyle w:val="TableContents"/>
              <w:bidi w:val="0"/>
              <w:spacing w:before="0" w:after="283"/>
              <w:jc w:val="left"/>
              <w:rPr/>
            </w:pPr>
            <w:r>
              <w:rPr/>
              <w:t>Price and quantity adjustments to balance supply &amp; demand</w:t>
            </w:r>
          </w:p>
        </w:tc>
        <w:tc>
          <w:tcPr>
            <w:tcW w:w="4075" w:type="dxa"/>
            <w:tcBorders/>
            <w:vAlign w:val="center"/>
          </w:tcPr>
          <w:p>
            <w:pPr>
              <w:pStyle w:val="TableContents"/>
              <w:bidi w:val="0"/>
              <w:spacing w:before="0" w:after="283"/>
              <w:jc w:val="left"/>
              <w:rPr/>
            </w:pPr>
            <w:r>
              <w:rPr/>
              <w:t>Market equilibrium: when supply equals demand; price adjustments restore balance</w:t>
            </w:r>
            <w:r>
              <w:rPr/>
              <w:t>【</w:t>
            </w:r>
            <w:r>
              <w:rPr/>
              <w:t>227171154935520†L529-L536</w:t>
            </w:r>
            <w:r>
              <w:rPr/>
              <w:t>】</w:t>
            </w:r>
            <w:r>
              <w:rPr/>
              <w:t>.</w:t>
            </w:r>
          </w:p>
        </w:tc>
      </w:tr>
      <w:tr>
        <w:trPr/>
        <w:tc>
          <w:tcPr>
            <w:tcW w:w="2051" w:type="dxa"/>
            <w:tcBorders/>
            <w:vAlign w:val="center"/>
          </w:tcPr>
          <w:p>
            <w:pPr>
              <w:pStyle w:val="TableContents"/>
              <w:bidi w:val="0"/>
              <w:spacing w:before="0" w:after="283"/>
              <w:jc w:val="left"/>
              <w:rPr/>
            </w:pPr>
            <w:r>
              <w:rPr/>
              <w:t>Learning theory / ML</w:t>
            </w:r>
          </w:p>
        </w:tc>
        <w:tc>
          <w:tcPr>
            <w:tcW w:w="2220" w:type="dxa"/>
            <w:tcBorders/>
            <w:vAlign w:val="center"/>
          </w:tcPr>
          <w:p>
            <w:pPr>
              <w:pStyle w:val="TableContents"/>
              <w:bidi w:val="0"/>
              <w:spacing w:before="0" w:after="283"/>
              <w:jc w:val="left"/>
              <w:rPr/>
            </w:pPr>
            <w:r>
              <w:rPr/>
              <w:t>Training data distribution and hypothesis space complexity</w:t>
            </w:r>
          </w:p>
        </w:tc>
        <w:tc>
          <w:tcPr>
            <w:tcW w:w="1859" w:type="dxa"/>
            <w:tcBorders/>
            <w:vAlign w:val="center"/>
          </w:tcPr>
          <w:p>
            <w:pPr>
              <w:pStyle w:val="TableContents"/>
              <w:bidi w:val="0"/>
              <w:spacing w:before="0" w:after="283"/>
              <w:jc w:val="left"/>
              <w:rPr/>
            </w:pPr>
            <w:r>
              <w:rPr/>
              <w:t>Algorithm’s hypothesis selection</w:t>
            </w:r>
          </w:p>
        </w:tc>
        <w:tc>
          <w:tcPr>
            <w:tcW w:w="4075" w:type="dxa"/>
            <w:tcBorders/>
            <w:vAlign w:val="center"/>
          </w:tcPr>
          <w:p>
            <w:pPr>
              <w:pStyle w:val="TableContents"/>
              <w:bidi w:val="0"/>
              <w:spacing w:before="0" w:after="283"/>
              <w:jc w:val="left"/>
              <w:rPr/>
            </w:pPr>
            <w:r>
              <w:rPr/>
              <w:t>Learning capacity (like Shannon capacity); generalization risk relates to mutual information between algorithm output and training data</w:t>
            </w:r>
            <w:r>
              <w:rPr/>
              <w:t>【</w:t>
            </w:r>
            <w:r>
              <w:rPr/>
              <w:t>229310671654971†L124-L137</w:t>
            </w:r>
            <w:r>
              <w:rPr/>
              <w:t>】</w:t>
            </w:r>
            <w:r>
              <w:rPr/>
              <w:t>.</w:t>
            </w:r>
          </w:p>
        </w:tc>
      </w:tr>
    </w:tbl>
    <w:p>
      <w:pPr>
        <w:pStyle w:val="Heading2"/>
        <w:numPr>
          <w:ilvl w:val="0"/>
          <w:numId w:val="0"/>
        </w:numPr>
        <w:bidi w:val="0"/>
        <w:spacing w:before="200" w:after="120"/>
        <w:jc w:val="left"/>
        <w:rPr/>
      </w:pPr>
      <w:r>
        <w:rPr/>
        <w:t>Cybernetics and the Law of Requisite Variety</w:t>
      </w:r>
    </w:p>
    <w:p>
      <w:pPr>
        <w:pStyle w:val="BodyText"/>
        <w:bidi w:val="0"/>
        <w:spacing w:before="0" w:after="283"/>
        <w:jc w:val="left"/>
        <w:rPr/>
      </w:pPr>
      <w:r>
        <w:rPr/>
        <w:t>Cyberneticist W. Ross Ashby’s Law of Requisite Variety states that a regulator must have at least as much variety as the disturbances it aims to suppress. This corresponds to CAP: constraints are environmental disturbances, alignment is the regulator’s variety, and persistence is the viability of the system. Stafford Beer later connected this to information theory and formal measures of variety</w:t>
      </w:r>
      <w:r>
        <w:rPr/>
        <w:t>【</w:t>
      </w:r>
      <w:r>
        <w:rPr/>
        <w:t>142935824051603†L283-L289</w:t>
      </w:r>
      <w:r>
        <w:rPr/>
        <w:t>】</w:t>
      </w:r>
      <w:r>
        <w:rPr/>
        <w:t>.</w:t>
      </w:r>
    </w:p>
    <w:p>
      <w:pPr>
        <w:pStyle w:val="Heading2"/>
        <w:numPr>
          <w:ilvl w:val="0"/>
          <w:numId w:val="0"/>
        </w:numPr>
        <w:bidi w:val="0"/>
        <w:spacing w:before="200" w:after="120"/>
        <w:jc w:val="left"/>
        <w:rPr/>
      </w:pPr>
      <w:r>
        <w:rPr/>
        <w:t>Information Theory &amp; Control</w:t>
      </w:r>
    </w:p>
    <w:p>
      <w:pPr>
        <w:pStyle w:val="BodyText"/>
        <w:bidi w:val="0"/>
        <w:spacing w:before="0" w:after="283"/>
        <w:jc w:val="left"/>
        <w:rPr/>
      </w:pPr>
      <w:r>
        <w:rPr/>
        <w:t>Shannon’s Theorem 10 shows that the noise a correction channel can remove is limited by the channel’s information capacity. This mirrors Ashby’s law: only as much noise can be handled as the channel’s capacity allows. In CAP terms, the channel capacity sets the constraint, coding schemes align within that limit, and reliable communication represents persistence</w:t>
      </w:r>
      <w:r>
        <w:rPr/>
        <w:t>【</w:t>
      </w:r>
      <w:r>
        <w:rPr/>
        <w:t>413156941503317†L3075-L3081</w:t>
      </w:r>
      <w:r>
        <w:rPr/>
        <w:t>】</w:t>
      </w:r>
      <w:r>
        <w:rPr/>
        <w:t>.</w:t>
      </w:r>
    </w:p>
    <w:p>
      <w:pPr>
        <w:pStyle w:val="Heading2"/>
        <w:numPr>
          <w:ilvl w:val="0"/>
          <w:numId w:val="0"/>
        </w:numPr>
        <w:bidi w:val="0"/>
        <w:spacing w:before="200" w:after="120"/>
        <w:jc w:val="left"/>
        <w:rPr/>
      </w:pPr>
      <w:r>
        <w:rPr/>
        <w:t>Thermodynamics &amp; Information Engines</w:t>
      </w:r>
    </w:p>
    <w:p>
      <w:pPr>
        <w:pStyle w:val="BodyText"/>
        <w:bidi w:val="0"/>
        <w:spacing w:before="0" w:after="283"/>
        <w:jc w:val="left"/>
        <w:rPr/>
      </w:pPr>
      <w:r>
        <w:rPr/>
        <w:t>Information engine models show that to extract work from a structured environment, a system’s memory must match the environment’s variety. Ashby’s reinterpretation of Shannon’s surprise emphasises that accessible states define the constraint, memory and policy constitute alignment, and persistent work extraction corresponds to persistence</w:t>
      </w:r>
      <w:r>
        <w:rPr/>
        <w:t>【</w:t>
      </w:r>
      <w:r>
        <w:rPr/>
        <w:t>377254049364992†L101-L113</w:t>
      </w:r>
      <w:r>
        <w:rPr/>
        <w:t>】</w:t>
      </w:r>
      <w:r>
        <w:rPr/>
        <w:t>.</w:t>
      </w:r>
    </w:p>
    <w:p>
      <w:pPr>
        <w:pStyle w:val="Heading2"/>
        <w:numPr>
          <w:ilvl w:val="0"/>
          <w:numId w:val="0"/>
        </w:numPr>
        <w:bidi w:val="0"/>
        <w:spacing w:before="200" w:after="120"/>
        <w:jc w:val="left"/>
        <w:rPr/>
      </w:pPr>
      <w:r>
        <w:rPr/>
        <w:t>Multiscale Law of Requisite Variety</w:t>
      </w:r>
    </w:p>
    <w:p>
      <w:pPr>
        <w:pStyle w:val="BodyText"/>
        <w:bidi w:val="0"/>
        <w:spacing w:before="0" w:after="283"/>
        <w:jc w:val="left"/>
        <w:rPr/>
      </w:pPr>
      <w:r>
        <w:rPr/>
        <w:t xml:space="preserve">The multiscale law generalises Ashby’s insight: if an environment has </w:t>
      </w:r>
      <w:r>
        <w:rPr>
          <w:rStyle w:val="Emphasis"/>
        </w:rPr>
        <w:t>v</w:t>
      </w:r>
      <w:r>
        <w:rPr/>
        <w:t xml:space="preserve"> possible states, a system needs </w:t>
      </w:r>
      <w:r>
        <w:rPr>
          <w:rStyle w:val="Emphasis"/>
        </w:rPr>
        <w:t>v</w:t>
      </w:r>
      <w:r>
        <w:rPr/>
        <w:t xml:space="preserve"> distinct responses to guarantee success. Coordination across scales introduces a trade-off between cohesion and flexibility; high coordination helps with large-scale shocks but reduces small-scale adaptability</w:t>
      </w:r>
      <w:r>
        <w:rPr/>
        <w:t>【</w:t>
      </w:r>
      <w:r>
        <w:rPr/>
        <w:t>465549531403709†L81-L89</w:t>
      </w:r>
      <w:r>
        <w:rPr/>
        <w:t>】【</w:t>
      </w:r>
      <w:r>
        <w:rPr/>
        <w:t>465549531403709†L110-L116</w:t>
      </w:r>
      <w:r>
        <w:rPr/>
        <w:t>】</w:t>
      </w:r>
      <w:r>
        <w:rPr/>
        <w:t>.</w:t>
      </w:r>
    </w:p>
    <w:p>
      <w:pPr>
        <w:pStyle w:val="Heading2"/>
        <w:numPr>
          <w:ilvl w:val="0"/>
          <w:numId w:val="0"/>
        </w:numPr>
        <w:bidi w:val="0"/>
        <w:spacing w:before="200" w:after="120"/>
        <w:jc w:val="left"/>
        <w:rPr/>
      </w:pPr>
      <w:r>
        <w:rPr/>
        <w:t>Microeconomics</w:t>
      </w:r>
    </w:p>
    <w:p>
      <w:pPr>
        <w:pStyle w:val="BodyText"/>
        <w:bidi w:val="0"/>
        <w:spacing w:before="0" w:after="283"/>
        <w:jc w:val="left"/>
        <w:rPr/>
      </w:pPr>
      <w:r>
        <w:rPr/>
        <w:t>Classical microeconomic models treat scarcity and resources as constraints. Market participants align via prices and quantities. Markets persist (equilibrate) when supply equals demand; prices adjust when there is excess demand or supply, restoring equilibrium within a buffer zone</w:t>
      </w:r>
      <w:r>
        <w:rPr/>
        <w:t>【</w:t>
      </w:r>
      <w:r>
        <w:rPr/>
        <w:t>227171154935520†L529-L536</w:t>
      </w:r>
      <w:r>
        <w:rPr/>
        <w:t>】</w:t>
      </w:r>
      <w:r>
        <w:rPr/>
        <w:t>.</w:t>
      </w:r>
    </w:p>
    <w:p>
      <w:pPr>
        <w:pStyle w:val="Heading2"/>
        <w:numPr>
          <w:ilvl w:val="0"/>
          <w:numId w:val="0"/>
        </w:numPr>
        <w:bidi w:val="0"/>
        <w:spacing w:before="200" w:after="120"/>
        <w:jc w:val="left"/>
        <w:rPr/>
      </w:pPr>
      <w:r>
        <w:rPr/>
        <w:t>Learning Theory / Machine Learning</w:t>
      </w:r>
    </w:p>
    <w:p>
      <w:pPr>
        <w:pStyle w:val="BodyText"/>
        <w:bidi w:val="0"/>
        <w:spacing w:before="0" w:after="283"/>
        <w:jc w:val="left"/>
        <w:rPr/>
      </w:pPr>
      <w:r>
        <w:rPr/>
        <w:t>In learning theory, “learning capacity” is analogous to Shannon channel capacity: it quantifies the effective complexity of the hypothesis space relative to the training distribution. Generalization risk can be expressed as the mutual information between the algorithm’s output and a single training example. Models must restrict complexity to match the information in the data to generalize well</w:t>
      </w:r>
      <w:r>
        <w:rPr/>
        <w:t>【</w:t>
      </w:r>
      <w:r>
        <w:rPr/>
        <w:t>229310671654971†L124-L137</w:t>
      </w:r>
      <w:r>
        <w:rPr/>
        <w:t>】</w:t>
      </w:r>
      <w:r>
        <w:rPr/>
        <w:t>.</w:t>
      </w:r>
    </w:p>
    <w:p>
      <w:pPr>
        <w:pStyle w:val="Heading2"/>
        <w:numPr>
          <w:ilvl w:val="0"/>
          <w:numId w:val="0"/>
        </w:numPr>
        <w:bidi w:val="0"/>
        <w:spacing w:before="200" w:after="120"/>
        <w:jc w:val="left"/>
        <w:rPr/>
      </w:pPr>
      <w:r>
        <w:rPr/>
        <w:t>Conclusion</w:t>
      </w:r>
    </w:p>
    <w:p>
      <w:pPr>
        <w:pStyle w:val="BodyText"/>
        <w:bidi w:val="0"/>
        <w:spacing w:before="0" w:after="283"/>
        <w:jc w:val="left"/>
        <w:rPr/>
      </w:pPr>
      <w:r>
        <w:rPr/>
        <w:t>Across varied disciplines, the CAP framework’s triad of constraints, alignments, and persistence appears formally and implicitly. The law of requisite variety, Shannon’s channel capacity, thermodynamic information engines, multiscale analyses, microeconomic equilibrium, and learning capacity all echo the same principle: systems persist only when their capacities match the demands of their environment, and buffer zones (variety margins) allow exploration without collapse. These parallels suggest that the CAP pattern is not merely metaphorical but a unifying structural law across science and engineering.</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1134"/>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Noto Sans Devanagari"/>
      <w:color w:val="auto"/>
      <w:sz w:val="24"/>
      <w:szCs w:val="24"/>
      <w:lang w:val="en-US" w:eastAsia="zh-CN" w:bidi="hi-IN"/>
    </w:rPr>
  </w:style>
  <w:style w:type="paragraph" w:styleId="Heading1">
    <w:name w:val="heading 1"/>
    <w:basedOn w:val="Heading"/>
    <w:next w:val="BodyText"/>
    <w:qFormat/>
    <w:pPr/>
    <w:rPr>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Emphasis">
    <w:name w:val="Emphasis"/>
    <w:qFormat/>
    <w:rPr>
      <w:i/>
      <w:i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List">
    <w:name w:val="List"/>
    <w:basedOn w:val="BodyText"/>
    <w:pPr/>
    <w:rPr>
      <w:rFonts w:cs="Noto Sans Devanagari"/>
    </w:rPr>
  </w:style>
  <w:style w:type="paragraph" w:styleId="TableHeading">
    <w:name w:val="Table Heading"/>
    <w:basedOn w:val="TableContents"/>
    <w:qFormat/>
    <w:pPr>
      <w:suppressLineNumbers/>
      <w:jc w:val="lef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LibreOffice/25.2.3.2$Linux_X86_64 LibreOffice_project/520$Build-2</Application>
  <AppVersion>15.0000</AppVersion>
  <Pages>1</Pages>
  <Words>699</Words>
  <Characters>4572</Characters>
  <CharactersWithSpaces>5172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CAP Formalizations Across Fields</dc:title>
</cp:coreProperties>
</file>

<file path=docProps/custom.xml><?xml version="1.0" encoding="utf-8"?>
<Properties xmlns="http://schemas.openxmlformats.org/officeDocument/2006/custom-properties" xmlns:vt="http://schemas.openxmlformats.org/officeDocument/2006/docPropsVTypes"/>
</file>