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Engineering Appendix — NMC-Free 15-Pack Ensemble</w:t>
      </w:r>
    </w:p>
    <w:p>
      <w:r>
        <w:t>This appendix consolidates detailed data, stress-test results, and modeling assumptions underpinning the NMC-free 15-pack ensemble (10× LFP bulk + 5× LTO sprinters). It serves as the technical companion to the executive brief.</w:t>
      </w:r>
    </w:p>
    <w:p>
      <w:pPr>
        <w:pStyle w:val="Heading1"/>
      </w:pPr>
      <w:r>
        <w:t>1. Modeling Assumptions</w:t>
      </w:r>
    </w:p>
    <w:p>
      <w:r>
        <w:t>• Ensemble: 10 LFP modules + 5 LTO modules.</w:t>
        <w:br/>
        <w:t>• Duty cycles: Northeast fleet climate, 8/10/12 h/day, with stop–go urban patterns.</w:t>
        <w:br/>
        <w:t>• ΔSoC suppression: ×40 cold, ×20 warm.</w:t>
        <w:br/>
        <w:t>• Depot SoC: ~55% mid-SoC target.</w:t>
        <w:br/>
        <w:t>• Thermal: active liquid cooling with sub-ambient clamp at 35 °C.</w:t>
        <w:br/>
        <w:t>• Converter overhead: ~2.5 kW baseline, included in cost-of-ownership.</w:t>
        <w:br/>
        <w:t>• Cost basis: LFP $100/kWh, LTO $500/kWh, controls/converters $2,500.</w:t>
      </w:r>
    </w:p>
    <w:p>
      <w:pPr>
        <w:pStyle w:val="Heading1"/>
      </w:pPr>
      <w:r>
        <w:t>2. Warranty &amp; Cost-of-Ownership</w:t>
      </w:r>
    </w:p>
    <w:p>
      <w:r>
        <w:t>Simulation results comparing single-pack baselines vs ensemble architecture. Years-to-80% values by chemistry and fleet duty are documented in CSVs.</w:t>
      </w:r>
    </w:p>
    <w:p>
      <w:r>
        <w:t>Key CSVs:</w:t>
      </w:r>
    </w:p>
    <w:p>
      <w:r>
        <w:t>• warranty_NE_15pack_NMCfree_chem_8_10_12h.csv</w:t>
      </w:r>
    </w:p>
    <w:p>
      <w:r>
        <w:t>• cost_of_ownership_NE_15pack_NMCfree_8_10_12h.csv</w:t>
      </w:r>
    </w:p>
    <w:p>
      <w:r>
        <w:drawing>
          <wp:inline xmlns:a="http://schemas.openxmlformats.org/drawingml/2006/main" xmlns:pic="http://schemas.openxmlformats.org/drawingml/2006/picture">
            <wp:extent cx="5029200" cy="28738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O_NE_NMCfree_8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3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8738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O_NE_NMCfree_10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3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8738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O_NE_NMCfree_12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3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Stress Test Scenarios</w:t>
      </w:r>
    </w:p>
    <w:p>
      <w:pPr>
        <w:pStyle w:val="Heading2"/>
      </w:pPr>
      <w:r>
        <w:t>A) Mountain Grade, 35 °C, 60 min</w:t>
      </w:r>
    </w:p>
    <w:p>
      <w:r>
        <w:t>• Max T: LFP 35.2 °C, LTO 35.1 °C.</w:t>
        <w:br/>
        <w:t>• Regen captured: 6.37 kWh.</w:t>
        <w:br/>
        <w:t>• Net energy delivered: 6.43 kWh.</w:t>
        <w:br/>
        <w:t>• Outcome: stable thermal profile, no runaway.</w:t>
      </w:r>
    </w:p>
    <w:p>
      <w:r>
        <w:t>CSV: stress_mountain_hot_35C_60min_LFP_LTO.csv</w:t>
      </w:r>
    </w:p>
    <w:p>
      <w:pPr>
        <w:pStyle w:val="Heading2"/>
      </w:pPr>
      <w:r>
        <w:t>B) Urban Heatwave, 42 °C, 45 min</w:t>
      </w:r>
    </w:p>
    <w:p>
      <w:r>
        <w:t>• Max T: LFP 41.3 °C, LTO 41.8 °C.</w:t>
        <w:br/>
        <w:t>• Regen captured: 0.67 kWh.</w:t>
        <w:br/>
        <w:t>• Net energy delivered: 1.99 kWh.</w:t>
        <w:br/>
        <w:t>• Outcome: &gt;40 °C cells, torque derates observed.</w:t>
      </w:r>
    </w:p>
    <w:p>
      <w:r>
        <w:t>CSV: stress_urban_heatwave_42C_45min_LFP_LTO.csv</w:t>
      </w:r>
    </w:p>
    <w:p>
      <w:pPr>
        <w:pStyle w:val="Heading2"/>
      </w:pPr>
      <w:r>
        <w:t>C) Urban Heatwave + Active Cooling + 400 V bus</w:t>
      </w:r>
    </w:p>
    <w:p>
      <w:r>
        <w:t>• Max T: LFP 41.6 °C, LTO 41.9 °C.</w:t>
        <w:br/>
        <w:t>• Regen captured: 0.87 kWh.</w:t>
        <w:br/>
        <w:t>• Net energy delivered: 3.03 kWh.</w:t>
        <w:br/>
        <w:t>• Outcome: improved, but &gt;40 °C persists without sub-ambient clamp.</w:t>
      </w:r>
    </w:p>
    <w:p>
      <w:r>
        <w:t>CSV: stress_urban_heatwave_42C_45min_activecool_V400.csv</w:t>
      </w:r>
    </w:p>
    <w:p>
      <w:pPr>
        <w:pStyle w:val="Heading2"/>
      </w:pPr>
      <w:r>
        <w:t>D) Urban Heatwave + Active Cooling Clamp at 35 °C</w:t>
      </w:r>
    </w:p>
    <w:p>
      <w:r>
        <w:t>• Max T: LFP 35.01 °C, LTO 35.02 °C.</w:t>
        <w:br/>
        <w:t>• Regen captured: 2.17 kWh.</w:t>
        <w:br/>
        <w:t>• Net energy delivered: 6.34 kWh.</w:t>
        <w:br/>
        <w:t>• Outcome: temperatures locked to ~35 °C; zero runaway; near-zero derates.</w:t>
        <w:br/>
        <w:t>• Confirms sub-ambient chiller effectiveness.</w:t>
      </w:r>
    </w:p>
    <w:p>
      <w:r>
        <w:t>CSV: stress_urban_heatwave_42C_45min_activecool_clamped35C.csv</w:t>
      </w:r>
    </w:p>
    <w:p>
      <w:pPr>
        <w:pStyle w:val="Heading1"/>
      </w:pPr>
      <w:r>
        <w:t>4. Control Law Overview</w:t>
      </w:r>
    </w:p>
    <w:p>
      <w:r>
        <w:t>Cadence controller operates on a 2–2–3 cycle principle:</w:t>
        <w:br/>
        <w:t>• LTO sprinters absorb spikes, regen, and cold starts.</w:t>
        <w:br/>
        <w:t>• LFP bulk carries steady energy at suppressed ΔSoC.</w:t>
        <w:br/>
        <w:t>• Timing is orchestrated to keep modules in phase, ensuring synchronized aging and minimized stress.</w:t>
        <w:br/>
        <w:t>• Suppression multipliers and SoC band enforcement are parameterized per climate.</w:t>
      </w:r>
    </w:p>
    <w:p>
      <w:pPr>
        <w:pStyle w:val="Heading1"/>
      </w:pPr>
      <w:r>
        <w:t>5. Conclusions</w:t>
      </w:r>
    </w:p>
    <w:p>
      <w:r>
        <w:t>The NMC-free 15-pack ensemble architecture delivers synchronized longevity, thermal resilience, and flat 12-year cost-of-ownership. Stress tests validate performance under both mountain and urban extremes. Active cooling with a 35 °C clamp ensures safety and endurance in high ambient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