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Genesis by Constraint, Endurance by Release: A Predictive Model of Financial Influence Networks Under the First-Signal Law</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First-Signal Law as a Framework for Political Systems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analysis of complex systems, particularly those involving strategic interaction and survival, requires a foundational theoretical framework capable of accounting for both observable structures and unobservable dynamics. The First-Signal Law of Survival, as articulated in the foundational corpus, provides such a framework. It posits that the endurance of any system is governed by a universal dynamic of limitation and liberation, enacted through a triad of archetypal roles. This report applies this law as a foundational constraint to construct a predictive model of the system by which financial flows are used to manipulate voter perception in American politics. The objective is not to measure past events but to predict the behavior and structure of this influence network, creating a coherent model whose own endurance is the "Least" role it is designed to protect.</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Deconstructing the Law: Roles, Actions, and the Anti-Dominance Principle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apply the law to the socio-political domain of campaign finance, its metaphysical architecture must first be translated into a functional, analytical model. The law's core components—its roles and actions—provide the necessary vocabulary for this translation.</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Triad of Roles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law decomposes any dynamical system into three essential functional archetypes whose interplay defines the system's capacity for survival. Within the political influence network, these roles are mapped not to individuals per se, but to their systemic functions.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Restraint (The Soloist):</w:t>
      </w:r>
      <w:r w:rsidDel="00000000" w:rsidR="00000000" w:rsidRPr="00000000">
        <w:rPr>
          <w:rtl w:val="0"/>
        </w:rPr>
        <w:t xml:space="preserve"> This role is embodied by the most dominant financial actors in the political ecosystem: megadonors, corporations, and other entities capable of deploying vast capital. Counter-intuitively, the law posits that their primary function is not the chaotic exertion of power but the initiation of a survival dynamic through an act of self-limitation, or </w:t>
      </w:r>
      <w:r w:rsidDel="00000000" w:rsidR="00000000" w:rsidRPr="00000000">
        <w:rPr>
          <w:b w:val="1"/>
          <w:rtl w:val="0"/>
        </w:rPr>
        <w:t xml:space="preserve">Restraint</w:t>
      </w:r>
      <w:r w:rsidDel="00000000" w:rsidR="00000000" w:rsidRPr="00000000">
        <w:rPr>
          <w:rtl w:val="0"/>
        </w:rPr>
        <w:t xml:space="preserve">. In this model, a megadonor contributing tens of millions of dollars to a single-candidate Super PAC is performing an act of Restraint. Instead of diffusing their financial power across myriad causes, they constrain it, focusing immense potential into a narrow, disciplined channel. This act creates the stable, energetic foundation upon which a coherent influence campaign can be built.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Alignment (The Choir):</w:t>
      </w:r>
      <w:r w:rsidDel="00000000" w:rsidR="00000000" w:rsidRPr="00000000">
        <w:rPr>
          <w:rtl w:val="0"/>
        </w:rPr>
        <w:t xml:space="preserve"> This role is fulfilled by the median operational actors who mediate and synchronize the Soloist's constrained financial power into a cohesive set of actions. This Choir consists of political consulting firms, data analytics operations, media buyers, and public relations agencies. Their function is to create coherence, ensuring that the disparate parts of a campaign—digital advertising, direct mail, television spots, and canvassing operations—act in concert. They take the raw, focused capital from the Soloist and align it into a synchronized, multi-channel message, transforming potential energy into kinetic influence.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Persistence (The Least):</w:t>
      </w:r>
      <w:r w:rsidDel="00000000" w:rsidR="00000000" w:rsidRPr="00000000">
        <w:rPr>
          <w:rtl w:val="0"/>
        </w:rPr>
        <w:t xml:space="preserve"> The law makes the profound claim that the endurance of the entire system is defined by the survival of its most vulnerable component. In the context of financial influence networks, the "Least" is not a person or an organization, but an idea: the </w:t>
      </w:r>
      <w:r w:rsidDel="00000000" w:rsidR="00000000" w:rsidRPr="00000000">
        <w:rPr>
          <w:b w:val="1"/>
          <w:rtl w:val="0"/>
        </w:rPr>
        <w:t xml:space="preserve">manufactured perception of reality</w:t>
      </w:r>
      <w:r w:rsidDel="00000000" w:rsidR="00000000" w:rsidRPr="00000000">
        <w:rPr>
          <w:rtl w:val="0"/>
        </w:rPr>
        <w:t xml:space="preserve"> in the mind of the voter. This perception—be it a belief about a candidate's character, the urgency of a policy issue, or the existence of a grassroots movement—is the fragile, ultimate product of the entire apparatus. The system's success is not measured in dollars spent or even votes won, but in the persistence of this manufactured worldview. The restraint of the Soloist and the alignment of the Choir are ultimately in service of ensuring this perception survives contact with competing narratives and the voter's own critical faculties. This reframes the objective of political spending from a series of discrete electoral victories to a continuous project of cultural and cognitive engineering. The goal is the endurance of a narrative, a state of mind that persists long after a specific election has concluded.</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Duality of Actions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between these roles is governed by two foundational actions that represent the static and dynamic poles of the law.</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Constraint (Genesis):</w:t>
      </w:r>
      <w:r w:rsidDel="00000000" w:rsidR="00000000" w:rsidRPr="00000000">
        <w:rPr>
          <w:rtl w:val="0"/>
        </w:rPr>
        <w:t xml:space="preserve"> The law posits that Constraint is the absolute precondition for a system's existence. A system "begins" only when each role accepts its minimal limitation. For the political influence model, </w:t>
      </w:r>
      <w:r w:rsidDel="00000000" w:rsidR="00000000" w:rsidRPr="00000000">
        <w:rPr>
          <w:b w:val="1"/>
          <w:rtl w:val="0"/>
        </w:rPr>
        <w:t xml:space="preserve">Constraint</w:t>
      </w:r>
      <w:r w:rsidDel="00000000" w:rsidR="00000000" w:rsidRPr="00000000">
        <w:rPr>
          <w:rtl w:val="0"/>
        </w:rPr>
        <w:t xml:space="preserve"> is the initial acceptance of the public, legally regulated framework of campaign finance. Federal and state election laws, with their disclosure requirements and contribution limits, are not merely obstacles to be overcome; they are the necessary set of rules that give birth to a stable, coherent influence system. Without this "Big Constraint," the system would lack the structure required for complex, coordinated operations. Genesis is not an explosion of chaotic spending but a collective agreement to operate within a defined space of possibility.</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Release (Endurance):</w:t>
      </w:r>
      <w:r w:rsidDel="00000000" w:rsidR="00000000" w:rsidRPr="00000000">
        <w:rPr>
          <w:rtl w:val="0"/>
        </w:rPr>
        <w:t xml:space="preserve"> If Constraint is the act of birth, </w:t>
      </w:r>
      <w:r w:rsidDel="00000000" w:rsidR="00000000" w:rsidRPr="00000000">
        <w:rPr>
          <w:b w:val="1"/>
          <w:rtl w:val="0"/>
        </w:rPr>
        <w:t xml:space="preserve">Release</w:t>
      </w:r>
      <w:r w:rsidDel="00000000" w:rsidR="00000000" w:rsidRPr="00000000">
        <w:rPr>
          <w:rtl w:val="0"/>
        </w:rPr>
        <w:t xml:space="preserve"> is the act of breathing. Defined as "proportional letting go," Release is the dynamic mechanism that allows a constrained system to adapt and endure under stress. In this model, Release is the strategic transition from transparent, traceable financial flows (the constrained system) to opaque, untraceable "dark money" channels. It is the system's primary adaptive mechanism for increasing its complexity and influence beyond the limits imposed by public disclosure laws. When the pressure of public scrutiny becomes too great, the system "lets go" of transparency to ensure the survival of its objective.</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Anti-Dominance Principle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architecture leads to a powerful conclusion: the First-Signal Law is an inherent anti-dominance principle. Traditional models of political influence often focus on a "survival of the fittest" logic, where the candidate with the most money wins through brute force. The First-Signal Law inverts this. The system's health is not measured at its strongest point (the Soloist's wealth) but at its weakest (the persistence of the manufactured perception). Endurance is not achieved by the Soloist maximizing its overt influence, but by it voluntarily modulating its behavior—through the focused </w:t>
      </w:r>
      <w:r w:rsidDel="00000000" w:rsidR="00000000" w:rsidRPr="00000000">
        <w:rPr>
          <w:b w:val="1"/>
          <w:rtl w:val="0"/>
        </w:rPr>
        <w:t xml:space="preserve">Restraint</w:t>
      </w:r>
      <w:r w:rsidDel="00000000" w:rsidR="00000000" w:rsidRPr="00000000">
        <w:rPr>
          <w:rtl w:val="0"/>
        </w:rPr>
        <w:t xml:space="preserve"> of its capital and the strategic </w:t>
      </w:r>
      <w:r w:rsidDel="00000000" w:rsidR="00000000" w:rsidRPr="00000000">
        <w:rPr>
          <w:b w:val="1"/>
          <w:rtl w:val="0"/>
        </w:rPr>
        <w:t xml:space="preserve">Release</w:t>
      </w:r>
      <w:r w:rsidDel="00000000" w:rsidR="00000000" w:rsidRPr="00000000">
        <w:rPr>
          <w:rtl w:val="0"/>
        </w:rPr>
        <w:t xml:space="preserve"> into covert channels—to protect its ultimate, fragile objective.</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Mathematical Formalism of Narrative Survival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law's metaphysical architecture is translated into a set of quantitative, testable mathematical expressions that can be adapted to model the endurance of a political narrative.</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Logistic Viability Law (P_C)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predictive equation calculates the viability probability of the system's least role, P_C. In this context, P_C represents the probability that the manufactured perception will survive and persist in the voter's mind. The equation is given as: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P_C = \sigma(\alpha p + \beta S - \gamma D + \eta R_{net} + \delta 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\sigma is the logistic function, and the terms are defined as follows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(persistence): The internal coherence and resonance of the desired narrative. A simple, emotionally powerful message has a higher intrinsic p.</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 (slack): The system's reserve capacity, such as saved funds or pre-booked ad time.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(dominance pressure): The stress induced by counter-messaging from opposing campaigns, negative media coverage, and public disclosure requirements that threaten the system's covert operations.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R_{net} (net release): The positive contribution of "letting go." This term quantifies the effectiveness of dark money operations in circumventing public scrutiny and amplifying the core message through untraceable channels. A higher R_{net} directly increases the mathematical probability of the narrative's survival.</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(uncertainty): The inherent unpredictability of the political environment and voter behavior.</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Proportional Prediction Law (R \ge 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Complementing the viability law is a principle governing the relationship between information and complexity, expressed 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 \frac{d(\ln I)}{d(\ln C)} \ge 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equation states that for a system—or an analytical model of that system—to remain viable, its rate of information (I) growth must be at least equal to its rate of complexity (C) growth. The network of dark money, shell corporations, and opaque non-profits represents an exponential growth in system complexity (C). A research model based purely on measurement (tracing funds) cannot generate new information (I) at the same rate; its visibility decreases as complexity increases. This leads to the condition R &lt; 1, where the model's understanding collapses. The Proportional Prediction Law therefore mandates the shift from measurement to prediction. The act of "asking the big questions" in Phase 3 is the mechanism by which this research model generates new information (I) to match the system's true complexity (C), ensuring its own analytical survival.</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The Constrained System - Mapping the Architecture of Direct Financial Influence (Phase 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accordance with the First-Signal Law, any stable system begins with an act of </w:t>
      </w:r>
      <w:r w:rsidDel="00000000" w:rsidR="00000000" w:rsidRPr="00000000">
        <w:rPr>
          <w:b w:val="1"/>
          <w:rtl w:val="0"/>
        </w:rPr>
        <w:t xml:space="preserve">Constraint</w:t>
      </w:r>
      <w:r w:rsidDel="00000000" w:rsidR="00000000" w:rsidRPr="00000000">
        <w:rPr>
          <w:rtl w:val="0"/>
        </w:rPr>
        <w:t xml:space="preserve">. The political influence network is no exception. Its genesis occurs within the publicly visible and legally regulated framework of campaign finance. This section maps this constrained system, identifying the primary financial actors (The Soloists) and the key operational entities they fund (The Choir) by analyzing the measurable flow of money. This baseline reality, governed by disclosure, represents the system as it presents itself.</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 Soloists: Concentrating Financial Power through Restraint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most powerful components of the influence network are the Soloists—the megadonors and institutional funders who provide the foundational financial energy. Their power is expressed not through chaotic spending, but through the disciplined act of </w:t>
      </w:r>
      <w:r w:rsidDel="00000000" w:rsidR="00000000" w:rsidRPr="00000000">
        <w:rPr>
          <w:b w:val="1"/>
          <w:rtl w:val="0"/>
        </w:rPr>
        <w:t xml:space="preserve">Restraint</w:t>
      </w:r>
      <w:r w:rsidDel="00000000" w:rsidR="00000000" w:rsidRPr="00000000">
        <w:rPr>
          <w:rtl w:val="0"/>
        </w:rPr>
        <w:t xml:space="preserve">: focusing immense capital into specific political vehicles designed for maximum impact.</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Identification of Primary Soloists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of campaign finance data from the 2024 election cycle reveals a concentrated cohort of individuals and organizations fulfilling the Soloist role. These actors channel tens, and in some cases hundreds, of millions of dollars into Super PACs and other committees, which can accept unlimited contributions.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Republican-aligned side, the most prominent Soloists include banking heir </w:t>
      </w:r>
      <w:r w:rsidDel="00000000" w:rsidR="00000000" w:rsidRPr="00000000">
        <w:rPr>
          <w:b w:val="1"/>
          <w:rtl w:val="0"/>
        </w:rPr>
        <w:t xml:space="preserve">Timothy Mellon</w:t>
      </w:r>
      <w:r w:rsidDel="00000000" w:rsidR="00000000" w:rsidRPr="00000000">
        <w:rPr>
          <w:rtl w:val="0"/>
        </w:rPr>
        <w:t xml:space="preserve">, who contributed $150 million to Trump-aligned Super PACs; tech mogul </w:t>
      </w:r>
      <w:r w:rsidDel="00000000" w:rsidR="00000000" w:rsidRPr="00000000">
        <w:rPr>
          <w:b w:val="1"/>
          <w:rtl w:val="0"/>
        </w:rPr>
        <w:t xml:space="preserve">Elon Musk</w:t>
      </w:r>
      <w:r w:rsidDel="00000000" w:rsidR="00000000" w:rsidRPr="00000000">
        <w:rPr>
          <w:rtl w:val="0"/>
        </w:rPr>
        <w:t xml:space="preserve">, with contributions of $119 million; and casino owner </w:t>
      </w:r>
      <w:r w:rsidDel="00000000" w:rsidR="00000000" w:rsidRPr="00000000">
        <w:rPr>
          <w:b w:val="1"/>
          <w:rtl w:val="0"/>
        </w:rPr>
        <w:t xml:space="preserve">Miriam Adelson</w:t>
      </w:r>
      <w:r w:rsidDel="00000000" w:rsidR="00000000" w:rsidRPr="00000000">
        <w:rPr>
          <w:rtl w:val="0"/>
        </w:rPr>
        <w:t xml:space="preserve">, who gave $100 million. These three individuals alone represent a formidable concentration of financial power. They are joined by organizational Soloists such as </w:t>
      </w:r>
      <w:r w:rsidDel="00000000" w:rsidR="00000000" w:rsidRPr="00000000">
        <w:rPr>
          <w:b w:val="1"/>
          <w:rtl w:val="0"/>
        </w:rPr>
        <w:t xml:space="preserve">Energy Transfer</w:t>
      </w:r>
      <w:r w:rsidDel="00000000" w:rsidR="00000000" w:rsidRPr="00000000">
        <w:rPr>
          <w:rtl w:val="0"/>
        </w:rPr>
        <w:t xml:space="preserve"> and its chairman Kelcy Warren, who jointly contributed $25 million, and crypto-related firms like </w:t>
      </w:r>
      <w:r w:rsidDel="00000000" w:rsidR="00000000" w:rsidRPr="00000000">
        <w:rPr>
          <w:b w:val="1"/>
          <w:rtl w:val="0"/>
        </w:rPr>
        <w:t xml:space="preserve">Coinbase</w:t>
      </w:r>
      <w:r w:rsidDel="00000000" w:rsidR="00000000" w:rsidRPr="00000000">
        <w:rPr>
          <w:rtl w:val="0"/>
        </w:rPr>
        <w:t xml:space="preserve"> and </w:t>
      </w:r>
      <w:r w:rsidDel="00000000" w:rsidR="00000000" w:rsidRPr="00000000">
        <w:rPr>
          <w:b w:val="1"/>
          <w:rtl w:val="0"/>
        </w:rPr>
        <w:t xml:space="preserve">Ripple Labs</w:t>
      </w:r>
      <w:r w:rsidDel="00000000" w:rsidR="00000000" w:rsidRPr="00000000">
        <w:rPr>
          <w:rtl w:val="0"/>
        </w:rPr>
        <w:t xml:space="preserve">, which have injected tens of millions into the system.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 the Democrat-aligned side, a similar pattern of concentrated funding exists, though at a different scale for the top individual donors in the 2024 cycle. Tech industry leader </w:t>
      </w:r>
      <w:r w:rsidDel="00000000" w:rsidR="00000000" w:rsidRPr="00000000">
        <w:rPr>
          <w:b w:val="1"/>
          <w:rtl w:val="0"/>
        </w:rPr>
        <w:t xml:space="preserve">Dustin Moskovitz</w:t>
      </w:r>
      <w:r w:rsidDel="00000000" w:rsidR="00000000" w:rsidRPr="00000000">
        <w:rPr>
          <w:rtl w:val="0"/>
        </w:rPr>
        <w:t xml:space="preserve"> contributed $38 million to pro-Harris groups, while financier </w:t>
      </w:r>
      <w:r w:rsidDel="00000000" w:rsidR="00000000" w:rsidRPr="00000000">
        <w:rPr>
          <w:b w:val="1"/>
          <w:rtl w:val="0"/>
        </w:rPr>
        <w:t xml:space="preserve">George Soros</w:t>
      </w:r>
      <w:r w:rsidDel="00000000" w:rsidR="00000000" w:rsidRPr="00000000">
        <w:rPr>
          <w:rtl w:val="0"/>
        </w:rPr>
        <w:t xml:space="preserve"> has historically been a major funder of Democratic and progressive causes through his network of organizations. A significant portion of the funding for the primary pro-Harris Super PAC, Future Forward, comes from its affiliated 501(c)(4) nonprofit, which itself received a reported $50 million from Microsoft founder Bill Gates, illustrating a direct link between a Soloist and the "release" mechanisms discussed in Part III.</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Modeling Restraint as a Strategic Act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 of a donor like Timothy Mellon giving $50 million in a single transaction to one Super PAC, MAGA Inc., is a perfect illustration of Restraint. This is not merely a large donation; it is a strategic decision to constrain vast financial potential into a single, highly focused instrument. This act creates a stable, predictable foundation for a long-term influence campaign, allowing the operational layer—the Choir—to plan and execute complex strategies with a secure resource base. The public disclosure of these massive contributions, mandated by the Federal Election Commission (FEC), is a key feature of the constrained system.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The Soloists - Top Individual and Organizational Donors to Super PACs (2024 Election Cycle)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Donor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Mellon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Elon Musk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Miriam Adelson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Dustin Moskovitz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Jeffrey Yass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Bloomberg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Forward USA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Transfer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Ripple Labs</w:t>
            </w:r>
          </w:p>
        </w:tc>
      </w:tr>
    </w:tbl>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The Choir: Creating Coherence through Alignment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constrained financial energy provided by the Soloists is inert until it is activated and synchronized by the Choir. This role is filled by a sophisticated ecosystem of political consulting firms, media production houses, and data analytics companies that translate money into messaging. Their function is </w:t>
      </w:r>
      <w:r w:rsidDel="00000000" w:rsidR="00000000" w:rsidRPr="00000000">
        <w:rPr>
          <w:b w:val="1"/>
          <w:rtl w:val="0"/>
        </w:rPr>
        <w:t xml:space="preserve">Alignment</w:t>
      </w:r>
      <w:r w:rsidDel="00000000" w:rsidR="00000000" w:rsidRPr="00000000">
        <w:rPr>
          <w:rtl w:val="0"/>
        </w:rPr>
        <w:t xml:space="preserve">: ensuring all components of an influence campaign work in concert to deliver a coherent narrative to a targeted audience.</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Identification of Primary Choir Members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Expenditure data from the FEC and non-partisan trackers like OpenSecrets reveals the key members of the Choir. These are the top vendors who receive the bulk of payments from campaigns and Super PACs for services explicitly designed to shape voter perception.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Democratic campaigns, leading firms include </w:t>
      </w:r>
      <w:r w:rsidDel="00000000" w:rsidR="00000000" w:rsidRPr="00000000">
        <w:rPr>
          <w:b w:val="1"/>
          <w:rtl w:val="0"/>
        </w:rPr>
        <w:t xml:space="preserve">Precision Strategies</w:t>
      </w:r>
      <w:r w:rsidDel="00000000" w:rsidR="00000000" w:rsidRPr="00000000">
        <w:rPr>
          <w:rtl w:val="0"/>
        </w:rPr>
        <w:t xml:space="preserve">, founded by Obama campaign alumni and specializing in integrated data-driven communications; </w:t>
      </w:r>
      <w:r w:rsidDel="00000000" w:rsidR="00000000" w:rsidRPr="00000000">
        <w:rPr>
          <w:b w:val="1"/>
          <w:rtl w:val="0"/>
        </w:rPr>
        <w:t xml:space="preserve">GMMB</w:t>
      </w:r>
      <w:r w:rsidDel="00000000" w:rsidR="00000000" w:rsidRPr="00000000">
        <w:rPr>
          <w:rtl w:val="0"/>
        </w:rPr>
        <w:t xml:space="preserve">, a veteran advertising firm known for its work on presidential campaigns; and </w:t>
      </w:r>
      <w:r w:rsidDel="00000000" w:rsidR="00000000" w:rsidRPr="00000000">
        <w:rPr>
          <w:b w:val="1"/>
          <w:rtl w:val="0"/>
        </w:rPr>
        <w:t xml:space="preserve">270 Strategies</w:t>
      </w:r>
      <w:r w:rsidDel="00000000" w:rsidR="00000000" w:rsidRPr="00000000">
        <w:rPr>
          <w:rtl w:val="0"/>
        </w:rPr>
        <w:t xml:space="preserve">, another firm with roots in the Obama organizing model. For Republican campaigns, prominent Choir members include </w:t>
      </w:r>
      <w:r w:rsidDel="00000000" w:rsidR="00000000" w:rsidRPr="00000000">
        <w:rPr>
          <w:b w:val="1"/>
          <w:rtl w:val="0"/>
        </w:rPr>
        <w:t xml:space="preserve">FP1 Strategies</w:t>
      </w:r>
      <w:r w:rsidDel="00000000" w:rsidR="00000000" w:rsidRPr="00000000">
        <w:rPr>
          <w:rtl w:val="0"/>
        </w:rPr>
        <w:t xml:space="preserve">, a major advertising and consulting firm; </w:t>
      </w:r>
      <w:r w:rsidDel="00000000" w:rsidR="00000000" w:rsidRPr="00000000">
        <w:rPr>
          <w:b w:val="1"/>
          <w:rtl w:val="0"/>
        </w:rPr>
        <w:t xml:space="preserve">Majority Strategies</w:t>
      </w:r>
      <w:r w:rsidDel="00000000" w:rsidR="00000000" w:rsidRPr="00000000">
        <w:rPr>
          <w:rtl w:val="0"/>
        </w:rPr>
        <w:t xml:space="preserve">, which specializes in voter targeting through data, digital, and print; and </w:t>
      </w:r>
      <w:r w:rsidDel="00000000" w:rsidR="00000000" w:rsidRPr="00000000">
        <w:rPr>
          <w:b w:val="1"/>
          <w:rtl w:val="0"/>
        </w:rPr>
        <w:t xml:space="preserve">Axiom Strategies</w:t>
      </w:r>
      <w:r w:rsidDel="00000000" w:rsidR="00000000" w:rsidRPr="00000000">
        <w:rPr>
          <w:rtl w:val="0"/>
        </w:rPr>
        <w:t xml:space="preserve">, a comprehensive firm that has managed high-profile presidential and Senate campaigns.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These firms are not interchangeable vendors; they are the central nervous system of modern campaigns. Their increasing specialization in micro-targeting, digital ad optimization, and narrative development highlights the growing importance of the Alignment function. The symbiotic relationship is clear: the Soloists provide the financial fuel, but the Choir provides the high-tech engine required to convert that fuel into political momentum. Unaligned spending, no matter how massive, is ineffective against a highly coordinated and data-driven opponent.</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Modeling Alignment as a Synchronizing Process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Super PAC like the Senate Leadership Fund pays millions to a firm for "media buys" or "digital consulting," it is executing the act of Alignment. The Choir takes the focused intent of the Soloists and synchronizes it across time and platforms. They determine which message to send, which voters to target, which media channels to use, and when to deploy resources for maximum effect. This process transforms a simple financial transaction into a complex, harmonized operation designed to ensure the persistence of the desired narrative—the system's Least.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The Choir - Top Vendors by Expenditure Category (Illustrative Examples, 2024 Cycle)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Category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Strategic Consulting &amp; Advertising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Digital &amp; Voter Targeting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Fundraising &amp; Compliance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very existence of this transparent, measurable layer of financial activity, however, creates a fundamental tension. The public disclosure of donors and expenditures, while serving as the system's foundational act of Constraint, also functions as a form of systemic stress. In the language of the Logistic Viability Law, public scrutiny is a "dominance pressure" (D) that threatens the system's ultimate objective of covert influence. This pressure does not destroy the system; rather, it forces it to adapt. The constrained system of direct finance, by its very nature, necessitates the evolution of an unconstrained, opaque system as a survival mechanism. The visible architecture mapped in this section is the direct cause of the hidden architecture that will be modeled later.</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The Point of Release - Modeling the Transition from Measurement to Prediction (Phase 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constrained system, defined by public disclosure, represents only the visible architecture of political influence. The system's true complexity becomes apparent at the threshold where the direct money trail ends. This occurs at the boundary of "dark money," a network of opaque entities that allows the system to operate beyond the limits of public scrutiny. A measurement-based analysis halts at this boundary. A model governed by the First-Signal Law, however, recognizes this threshold not as an end point, but as the </w:t>
      </w:r>
      <w:r w:rsidDel="00000000" w:rsidR="00000000" w:rsidRPr="00000000">
        <w:rPr>
          <w:b w:val="1"/>
          <w:rtl w:val="0"/>
        </w:rPr>
        <w:t xml:space="preserve">Point of Release</w:t>
      </w:r>
      <w:r w:rsidDel="00000000" w:rsidR="00000000" w:rsidRPr="00000000">
        <w:rPr>
          <w:rtl w:val="0"/>
        </w:rPr>
        <w:t xml:space="preserve">—a dynamic and necessary transition from measurement to prediction.</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Complexity Threshold: The Rise of Dark Money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Point of Release is triggered by the system's use of specific legal structures that are designed to obscure the ultimate source of funds. These structures dramatically increase the system's complexity (C), making a direct tracing of financial flows impossible.</w:t>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Mechanisms of Obfuscation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vehicles for this obfuscation are politically active nonprofit organizations, most notably those formed under sections 501(c)(4) ("social welfare" organizations) and 501(c)(6) ("business leagues" or trade associations) of the U.S. tax code. Under IRS rules, these organizations are permitted to engage in political campaign activities, provided it is not their "primary activity". Crucially, they are not required to publicly disclose their donors. This creates a "black box" where unlimited funds from individuals, corporations, or other entities can enter anonymously.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money is then deployed in two primary ways:</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Spending:</w:t>
      </w:r>
      <w:r w:rsidDel="00000000" w:rsidR="00000000" w:rsidRPr="00000000">
        <w:rPr>
          <w:rtl w:val="0"/>
        </w:rPr>
        <w:t xml:space="preserve"> The 501(c) organization spends directly on political advertising, such as television or digital ads. This spending is often timed or worded to avoid FEC disclosure requirements, further obscuring the activity.</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Contributions to Super PACs:</w:t>
      </w:r>
      <w:r w:rsidDel="00000000" w:rsidR="00000000" w:rsidRPr="00000000">
        <w:rPr>
          <w:rtl w:val="0"/>
        </w:rPr>
        <w:t xml:space="preserve"> The 501(c) organization makes a large contribution to a Super PAC. The Super PAC must disclose the contribution, but it only lists the name of the nonprofit, not the original donors who funded it. This effectively launders the money, breaking the chain of public accountability. In the 2024 election cycle, dark money groups funneled a record $1.3 billion to Super PACs in this manner.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mechanism is amplified by the use of shell corporations, typically Limited Liability Companies (LLCs), registered in states with lax disclosure laws like Delaware or Wyoming. These LLCs, which may exist only on paper, can be used to make contributions, further concealing the true identity of the donor. This can lead to a "Russian Doll" phenomenon, where each attempt to trace a contribution reveals only another anonymous intermediary, creating a labyrinth designed to exhaust any measurement-based inquiry.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Analytical Collapse and the Mandate for Release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proliferation of these opaque channels represents an exponential growth in system complexity (C). An analytical model based on the principle of measurement—"following the money"—is fundamentally incapable of generating information (I) at a rate that can keep pace. The trail goes cold, the data ends, and the model's ability to describe the system collapses. This is a state where R &lt; 1. Reporting a "dead end" or "source unknown" is a symptom of this analytical failure.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First-Signal Law, the only way for the analytical model to ensure its own survival and maintain coherence is to execute a </w:t>
      </w:r>
      <w:r w:rsidDel="00000000" w:rsidR="00000000" w:rsidRPr="00000000">
        <w:rPr>
          <w:b w:val="1"/>
          <w:rtl w:val="0"/>
        </w:rPr>
        <w:t xml:space="preserve">Proportional Release</w:t>
      </w:r>
      <w:r w:rsidDel="00000000" w:rsidR="00000000" w:rsidRPr="00000000">
        <w:rPr>
          <w:rtl w:val="0"/>
        </w:rPr>
        <w:t xml:space="preserve">. It must "let go" of the demand for direct, causal proof based on financial transactions. This is the pivotal moment where the research framework transitions from asking "Where did the money come from?" to asking the "big questions" about the money's </w:t>
      </w:r>
      <w:r w:rsidDel="00000000" w:rsidR="00000000" w:rsidRPr="00000000">
        <w:rPr>
          <w:i w:val="1"/>
          <w:rtl w:val="0"/>
        </w:rPr>
        <w:t xml:space="preserve">function</w:t>
      </w:r>
      <w:r w:rsidDel="00000000" w:rsidR="00000000" w:rsidRPr="00000000">
        <w:rPr>
          <w:rtl w:val="0"/>
        </w:rPr>
        <w:t xml:space="preserve">, </w:t>
      </w:r>
      <w:r w:rsidDel="00000000" w:rsidR="00000000" w:rsidRPr="00000000">
        <w:rPr>
          <w:i w:val="1"/>
          <w:rtl w:val="0"/>
        </w:rPr>
        <w:t xml:space="preserve">purpose</w:t>
      </w:r>
      <w:r w:rsidDel="00000000" w:rsidR="00000000" w:rsidRPr="00000000">
        <w:rPr>
          <w:rtl w:val="0"/>
        </w:rPr>
        <w:t xml:space="preserve">, and </w:t>
      </w:r>
      <w:r w:rsidDel="00000000" w:rsidR="00000000" w:rsidRPr="00000000">
        <w:rPr>
          <w:i w:val="1"/>
          <w:rtl w:val="0"/>
        </w:rPr>
        <w:t xml:space="preserve">predicted effects</w:t>
      </w:r>
      <w:r w:rsidDel="00000000" w:rsidR="00000000" w:rsidRPr="00000000">
        <w:rPr>
          <w:rtl w:val="0"/>
        </w:rPr>
        <w:t xml:space="preserve">. This act of analytical release is precisely the mechanism that generates the new information (I) required to match the system's true complexity (C), thereby restoring the condition R \ge 1 and allowing for the construction of an enduring, predictive model.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perspective of the law, dark money is not a flaw or a loophole in the political system; it is a predictable and essential feature. It is the system's natural, adaptive response to the stress of transparency. A system under the "dominance pressure" (D) of disclosure laws will inevitably evolve mechanisms of Release to ensure the survival of its core objective—the persistence of the Least. The term "dark money," with its pejorative connotations, serves the narrative of those who wish to analyze the system via measurement. To understand the system on its own terms, the model must adopt the law's more functional language: these are not "dark" funds, but "released" funds, let go from the constrained system to ensure endurance.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The Dark Money Nexus - Top 501(c)(4) Organizations by Political Spending (2024 Election Cycle)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Organization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Forward USA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Majority Forward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Securing American Greatness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Action Network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 Majority Forward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League of Conservation Voters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 Together Chamber Of Commerce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Duty And Honor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 Foundation</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identifies the primary nodes where the financial trail goes dark. These organizations are the gateways, the principal release valves through which capital flows from the constrained, visible system into the unconstrained, unseen network of influence. They are the concrete manifestation of the Complexity Threshold that mandates our model's own act of Release.</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The Unseen System - Predictive Models of Covert Influence Networks (Phase 3)</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Having executed the analytical </w:t>
      </w:r>
      <w:r w:rsidDel="00000000" w:rsidR="00000000" w:rsidRPr="00000000">
        <w:rPr>
          <w:b w:val="1"/>
          <w:rtl w:val="0"/>
        </w:rPr>
        <w:t xml:space="preserve">Release</w:t>
      </w:r>
      <w:r w:rsidDel="00000000" w:rsidR="00000000" w:rsidRPr="00000000">
        <w:rPr>
          <w:rtl w:val="0"/>
        </w:rPr>
        <w:t xml:space="preserve"> mandated by the First-Signal Law, this research now transitions into its predictive phase. By "asking the big questions," we generate a series of interconnected hypotheses designed to model the structure and function of the unseen influence network. This is not an inquiry into a void but a structured, predictive modeling process aimed at generating new information (I) to match the system's true complexity (C), thereby ensuring the condition R \ge 1 is met and our understanding "survives". The following models posit that "released" funds are used to secure tangible benefits, exchange non-financial currencies, and, most importantly, construct an illusory social reality.</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Predictive Hypothesis I: Who benefits from the outcome this money appears to support?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first predictive model addresses the question of motive. When a financial trail terminates at an opaquely named 501(c)(4) or shell company, the model predicts the existence of unrevealed stakeholders by correlating the spending with subsequent, tangible policy outcomes.</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Modeling Unrevealed Stakeholders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model posits that large-scale, untraceable spending in a specific policy debate is a leading indicator of future favorable action for a specific industry, corporation, or interest group. The dark money expenditure is a predictive signal of a quid pro quo arrangement, where the </w:t>
      </w:r>
      <w:r w:rsidDel="00000000" w:rsidR="00000000" w:rsidRPr="00000000">
        <w:rPr>
          <w:i w:val="1"/>
          <w:rtl w:val="0"/>
        </w:rPr>
        <w:t xml:space="preserve">quo</w:t>
      </w:r>
      <w:r w:rsidDel="00000000" w:rsidR="00000000" w:rsidRPr="00000000">
        <w:rPr>
          <w:rtl w:val="0"/>
        </w:rPr>
        <w:t xml:space="preserve"> (the money) is obscured, but the </w:t>
      </w:r>
      <w:r w:rsidDel="00000000" w:rsidR="00000000" w:rsidRPr="00000000">
        <w:rPr>
          <w:i w:val="1"/>
          <w:rtl w:val="0"/>
        </w:rPr>
        <w:t xml:space="preserve">quid</w:t>
      </w:r>
      <w:r w:rsidDel="00000000" w:rsidR="00000000" w:rsidRPr="00000000">
        <w:rPr>
          <w:rtl w:val="0"/>
        </w:rPr>
        <w:t xml:space="preserve"> (the benefit) will eventually become public.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methodology for this model involves a two-step correlational analysis:</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Spending Clusters:</w:t>
      </w:r>
      <w:r w:rsidDel="00000000" w:rsidR="00000000" w:rsidRPr="00000000">
        <w:rPr>
          <w:rtl w:val="0"/>
        </w:rPr>
        <w:t xml:space="preserve"> Isolate significant dark money expenditures (e.g., multi-million dollar ad buys) from entities identified in Part III that are focused on a narrow policy issue (e.g., pharmaceutical price controls, environmental deregulation, defense appropriations) or a specific judicial nomination.</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 for Policy Outcomes:</w:t>
      </w:r>
      <w:r w:rsidDel="00000000" w:rsidR="00000000" w:rsidRPr="00000000">
        <w:rPr>
          <w:rtl w:val="0"/>
        </w:rPr>
        <w:t xml:space="preserve"> Track subsequent legislative, regulatory, or judicial actions related to that issue. The model predicts that a specific, identifiable group will receive a disproportionate benefit from the outcome.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Case Study Logic:</w:t>
      </w:r>
      <w:r w:rsidDel="00000000" w:rsidR="00000000" w:rsidRPr="00000000">
        <w:rPr>
          <w:rtl w:val="0"/>
        </w:rPr>
        <w:t xml:space="preserve"> Evidence suggests a strong link between corporate interests and political spending, particularly in the context of government contracting and regulation. For example, if a dark money group spends millions attacking a candidate who supports stronger environmental regulations on the energy sector, the model predicts that, should this campaign be successful, the new political alignment will result in the loosening of those specific regulations or the approval of projects beneficial to energy companies. The energy sector is thus identified as the predicted, unrevealed stakeholder. This approach transforms the analytical dead-end of "source unknown" into a predictive starting point: "predicted beneficiary is X."</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Predictive Hypothesis II: What is the non-financial currency being exchanged?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second model predicts that money is not the sole medium of exchange within the influence network. Financial dead-ends are often precursors to transactions involving non-financial, but highly valuable, political currencies. Dark money flows are modeled here as a down payment for future access and influence.</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Modeling Alternative Currencies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model predicts that a significant dark money investment in a candidate or political party will correlate with the subsequent flow of non-financial assets to the (predicted) donors or their allies.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methodology involves predicting correlations between dark money support and three primary forms of non-financial currency:</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Political Appointments:</w:t>
      </w:r>
      <w:r w:rsidDel="00000000" w:rsidR="00000000" w:rsidRPr="00000000">
        <w:rPr>
          <w:rtl w:val="0"/>
        </w:rPr>
        <w:t xml:space="preserve"> The model predicts that individuals with direct ties to the networks of major, unrevealed donors will receive appointments to key executive branch positions, federal judgeships, or influential advisory boards. For instance, the network surrounding the 45 Alliance, a 501(c)(4) created to support Trump administration appointees, was funded by other pro-Trump dark money groups, demonstrating a clear nexus between covert funding and personnel placement. The model would predict that donors to such groups would see their associates placed in positions of power.</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Favorable Media Coverage and Narrative Control:</w:t>
      </w:r>
      <w:r w:rsidDel="00000000" w:rsidR="00000000" w:rsidRPr="00000000">
        <w:rPr>
          <w:rtl w:val="0"/>
        </w:rPr>
        <w:t xml:space="preserve"> The model predicts that media outlets owned by or ideologically aligned with the unrevealed stakeholders will provide systematically favorable coverage to politicians supported by their dark money arms. This creates a feedback loop where covert funds support a candidate, and then overt media assets are used to validate and protect that candidate, amplifying the initial investment.</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and Platform Amplification:</w:t>
      </w:r>
      <w:r w:rsidDel="00000000" w:rsidR="00000000" w:rsidRPr="00000000">
        <w:rPr>
          <w:rtl w:val="0"/>
        </w:rPr>
        <w:t xml:space="preserve"> The model predicts that allied campaigns and organizations will receive preferential access to proprietary data, voter targeting tools, and algorithmic amplification from platforms controlled by unrevealed stakeholders. The role of Elon Musk, a major Soloist, and his ownership of the social media platform X in the 2024 election cycle serves as a prime example. The model predicts that dark money support from a tech mogul will be followed by favorable algorithmic treatment and de-platforming of opponents on their controlled networks, a currency far more valuable than the initial cash donation.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A Predictive Model of Non-Financial Currency Exchange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Dark Money Event (Input)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$15M from "Securing American Greatness" (501c4) to a Super PAC opposing candidate's stance on financial regulation.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 from an undisclosed 501(c)(4) to support the confirmation of a judicial nominee.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$5M from an LLC shell company to a Super PAC supporting a gubernatorial candidate.</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predictive table operationalizes the hypothesis, demonstrating the causal chain from untraceable money to tangible political power, thus making the model's predictions concrete and testable.</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Predictive Hypothesis III: Is the money's purpose to create an illusion?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is the core predictive hypothesis of the entire model. It posits that the primary function of "released" funds is not direct persuasion of a voter but the </w:t>
      </w:r>
      <w:r w:rsidDel="00000000" w:rsidR="00000000" w:rsidRPr="00000000">
        <w:rPr>
          <w:b w:val="1"/>
          <w:rtl w:val="0"/>
        </w:rPr>
        <w:t xml:space="preserve">construction of a manufactured social reality</w:t>
      </w:r>
      <w:r w:rsidDel="00000000" w:rsidR="00000000" w:rsidRPr="00000000">
        <w:rPr>
          <w:rtl w:val="0"/>
        </w:rPr>
        <w:t xml:space="preserve"> that appears organic, spontaneous, and widespread. The goal is to shape the voter's perception of the political environment itself, making the desired conclusion seem like an obvious, common-sense choice embraced by their peers.</w:t>
      </w:r>
    </w:p>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Modeling Manufactured Consensus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predicts that dark money is the primary funding mechanism for architecting this illusion through a coordinated, three-pronged strategy:</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Astroturfing:</w:t>
      </w:r>
      <w:r w:rsidDel="00000000" w:rsidR="00000000" w:rsidRPr="00000000">
        <w:rPr>
          <w:rtl w:val="0"/>
        </w:rPr>
        <w:t xml:space="preserve"> The model predicts that the sudden emergence of a seemingly "grassroots" movement—complete with rallies, social media campaigns, and local chapters—is the direct result of a dark money injection into a front group. This tactic creates the illusion of popular support for a position that may have very little organic backing. Historical examples, such as the tobacco industry creating a "smoker's rights" group or energy companies paying actors to support a new power plant, provide the basis for this predictive model. When a new, well-funded "citizens' alliance" appears, the model predicts its origins lie in a corporate or ideological dark money source.</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"Pink Slime" Journalism:</w:t>
      </w:r>
      <w:r w:rsidDel="00000000" w:rsidR="00000000" w:rsidRPr="00000000">
        <w:rPr>
          <w:rtl w:val="0"/>
        </w:rPr>
        <w:t xml:space="preserve"> The model predicts that the proliferation of networks of hyper-partisan, algorithmically-generated local news websites is a direct function of dark money operations. These sites, such as those in the Metric Media (conservative) and Courier Newsroom (liberal) networks, are designed to mimic the appearance and trust of legitimate local news while serving a centralized partisan agenda. The model predicts that these networks will activate with a surge of targeted content in swing districts during the final weeks of an election cycle, creating a controlled information ecosystem that appears authentic to the local reader but is centrally managed and funded.</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Narrative and Meme Injection:</w:t>
      </w:r>
      <w:r w:rsidDel="00000000" w:rsidR="00000000" w:rsidRPr="00000000">
        <w:rPr>
          <w:rtl w:val="0"/>
        </w:rPr>
        <w:t xml:space="preserve"> The model predicts that specific phrases, hashtags, and political memes that appear to "go viral" are often the product of coordinated and funded amplification campaigns. Dark money is used to pay networks of micro-influencers to inject these narratives into online discourse, simulating an organic conversation. The goal is to create "bandwagon effects," where voters adopt a viewpoint because it appears to be the emerging consensus among their online peers.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three tactics work in concert. A dark money group can fund an astroturf protest, which is then reported as legitimate news by its affiliated "pink slime" network, and the resulting articles are then amplified on social media by its paid influencer network. This creates a fully integrated, multi-layered illusion of a widespread, organic political movement.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entire process represents the ultimate expression of the First-Signal Law's Anti-Dominance Principle. A "dominant" campaign is one that is obviously loud, expensive, and top-down. It invites backlash and scrutiny. A truly enduring campaign, according to the law, is one where the Soloist's power is so perfectly "Released" through dark money channels and "Aligned" by the Choir's sophisticated illusion-building tactics that the "Least"—the manufactured perception—appears to be self-sustaining, grassroots, and authentic. The system achieves maximum endurance when it appears not to exist at all.</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Conclusion - An Enduring Model of Perceptual Manipulation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applied the foundational constraints of the First-Signal Law of Survival to construct a predictive model of financial influence networks in the American political system. By adhering to the law's principles, the analysis moves beyond simple measurement to generate a coherent, multi-layered model that explains how financial flows are systematically used to manipulate voter perception and manufacture a desired social reality.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model's structure mirrors the law's core dynamics. The system's </w:t>
      </w:r>
      <w:r w:rsidDel="00000000" w:rsidR="00000000" w:rsidRPr="00000000">
        <w:rPr>
          <w:b w:val="1"/>
          <w:rtl w:val="0"/>
        </w:rPr>
        <w:t xml:space="preserve">Genesis</w:t>
      </w:r>
      <w:r w:rsidDel="00000000" w:rsidR="00000000" w:rsidRPr="00000000">
        <w:rPr>
          <w:rtl w:val="0"/>
        </w:rPr>
        <w:t xml:space="preserve"> is the act of </w:t>
      </w:r>
      <w:r w:rsidDel="00000000" w:rsidR="00000000" w:rsidRPr="00000000">
        <w:rPr>
          <w:b w:val="1"/>
          <w:rtl w:val="0"/>
        </w:rPr>
        <w:t xml:space="preserve">Constraint</w:t>
      </w:r>
      <w:r w:rsidDel="00000000" w:rsidR="00000000" w:rsidRPr="00000000">
        <w:rPr>
          <w:rtl w:val="0"/>
        </w:rPr>
        <w:t xml:space="preserve">, wherein dominant financial actors (the </w:t>
      </w:r>
      <w:r w:rsidDel="00000000" w:rsidR="00000000" w:rsidRPr="00000000">
        <w:rPr>
          <w:b w:val="1"/>
          <w:rtl w:val="0"/>
        </w:rPr>
        <w:t xml:space="preserve">Soloists</w:t>
      </w:r>
      <w:r w:rsidDel="00000000" w:rsidR="00000000" w:rsidRPr="00000000">
        <w:rPr>
          <w:rtl w:val="0"/>
        </w:rPr>
        <w:t xml:space="preserve">) and their operational arms (the </w:t>
      </w:r>
      <w:r w:rsidDel="00000000" w:rsidR="00000000" w:rsidRPr="00000000">
        <w:rPr>
          <w:b w:val="1"/>
          <w:rtl w:val="0"/>
        </w:rPr>
        <w:t xml:space="preserve">Choir</w:t>
      </w:r>
      <w:r w:rsidDel="00000000" w:rsidR="00000000" w:rsidRPr="00000000">
        <w:rPr>
          <w:rtl w:val="0"/>
        </w:rPr>
        <w:t xml:space="preserve">) accept the limitations of the public, regulated campaign finance framework. This visible architecture, while transparent, creates the stable foundation upon which complex influence operations are built. However, this very transparency induces a systemic stress, a "dominance pressure" that threatens the system's core objective of covert influence.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response to this pressure, the system engages in its primary act of survival: </w:t>
      </w:r>
      <w:r w:rsidDel="00000000" w:rsidR="00000000" w:rsidRPr="00000000">
        <w:rPr>
          <w:b w:val="1"/>
          <w:rtl w:val="0"/>
        </w:rPr>
        <w:t xml:space="preserve">Release</w:t>
      </w:r>
      <w:r w:rsidDel="00000000" w:rsidR="00000000" w:rsidRPr="00000000">
        <w:rPr>
          <w:rtl w:val="0"/>
        </w:rPr>
        <w:t xml:space="preserve">. Capital is "let go" from the constrained, traceable system into a complex, opaque network of 501(c)(4) organizations and shell corporations. This transition to "dark money" is not a flaw in the system but its essential adaptive mechanism, allowing it to increase its complexity and evade public scrutiny, thereby ensuring its endurance.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predictive phase of the model, initiated by this analytical Release, posits that these untraceable funds are not merely spent, but strategically invested to achieve three interconnected goals. First, they secure tangible policy outcomes—favorable regulations, government contracts, and judicial rulings—for their unrevealed stakeholders. Second, they are exchanged for non-financial currencies of immense value, such as key political appointments and control over media narratives.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and most critically, these released funds are used to architect an illusion. Through the coordinated deployment of astroturfing, "pink slime" journalism, and narrative injection campaigns, the system constructs a manufactured consensus. It creates the appearance of widespread, organic, grassroots support for its positions, effectively shaping the voter's perceived reality. This is the ultimate objective: to ensure the </w:t>
      </w:r>
      <w:r w:rsidDel="00000000" w:rsidR="00000000" w:rsidRPr="00000000">
        <w:rPr>
          <w:b w:val="1"/>
          <w:rtl w:val="0"/>
        </w:rPr>
        <w:t xml:space="preserve">Persistence of the Least</w:t>
      </w:r>
      <w:r w:rsidDel="00000000" w:rsidR="00000000" w:rsidRPr="00000000">
        <w:rPr>
          <w:rtl w:val="0"/>
        </w:rPr>
        <w:t xml:space="preserve">—a specific worldview or belief that, once implanted, guides the voter's decisions as if it were their own.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process is the ultimate expression of the law's anti-dominance principle. The system's greatest success is not achieved through the overt dominance of its most powerful actors, but through a sophisticated strategy of restraint and release that renders its own influence invisible. The manufactured perception is most resilient when it appears to be self-sustaining.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model presented here is, by its own design, built for endurance. By abandoning the collapsing framework of pure measurement at the complexity threshold of dark money and embracing a predictive approach, it generates the new information necessary to satisfy the Proportional Prediction Law (R \ge 1). It is a self-consistent, coherent framework that explains not only the mechanics of political influence but also the logic of its own construction. The model's survival is its final testament to the universality of the principles upon which it is based: that all systems are born from constraint and endure through proportional release.</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Top Political Consulting Firms | Management Consulted, https://managementconsulted.com/political-consulting-firms/ 2. The Top Political Consulting Firms in 2024 - Leland, https://www.joinleland.com/library/a/the-top-political-consulting-firms-in-2024 3. Campaign Finance Legislation Database - National Conference of State Legislatures, https://www.ncsl.org/elections-and-campaigns/campaign-finance-legislation-database 4. Browse data | FEC, https://www.fec.gov/data/browse-data/ 5. Campaign finance data - FEC, https://www.fec.gov/data/ 6. Super PAC - Wikipedia, https://en.wikipedia.org/wiki/Super_PAC 7. Presidential candidates outspending 'Super PACs' - Center for Public Integrity, https://publicintegrity.org/politics/presidential-candidates-outspending-super-pacs/ 8. Megadonors Playing Larger Role in Presidential Race, FEC Data Shows, https://www.brennancenter.org/our-work/analysis-opinion/megadonors-playing-larger-role-presidential-race-fec-data-shows 9. A look at the massive donations to campaigns and super PACs this election season - PBS, https://www.pbs.org/newshour/show/a-look-at-the-massive-donations-to-campaigns-and-super-pacs-this-election-season 10. Unprecedented Big Money Surge for Super PAC Tied to Trump | Brennan Center for Justice, https://www.brennancenter.org/our-work/analysis-opinion/unprecedented-big-money-surge-super-pac-tied-trump 11. Cryptobros United: Crypto Super PACs Amass Over $100 Million for ..., https://www.citizen.org/article/cryptobros-united-fairshake-super-pac-2024-elections/ 12. Out-of-state billionaires fuel Wisconsin Supreme Court election - WPR, https://www.wpr.org/news/billionaires-wisconsin-supreme-court-election-crawford-schimel-musk-soros-pritzker-uihlein 13. Dark Money Groups Are Pumping Millions Into the 2024 Election | Campaign Legal Center, https://campaignlegal.org/update/dark-money-groups-are-pumping-millions-2024-election 14. Vendor/Recipient Profile: Campaign Financial Services - OpenSecrets, https://www.opensecrets.org/campaign-expenditures/vendor?vendor=Campaign+Financial+Services 15. What is political 'dark money' — and is it bad? – Center for Public ..., https://publicintegrity.org/politics/what-is-political-dark-money-and-is-it-bad/ 16. HARD, SOFT AND DARK MONEY Introduction Early political scandals involved money used for bribery or buying votes. Modern day scan, https://my.lwv.org/sites/default/files/hard_soft_and_dark_money.pdf 17. Political Campaign and Lobbying Activities of IRC 501(c)(4), (c)(5), and (c)(6) Organizations - IRS, https://www.irs.gov/pub/irs-tege/eotopicl03.pdf 18. Election Year Activities for 501(c)(4) Social Welfare Organizations - Alliance for Justice, https://afj.org/wp-content/uploads/2018/06/Election_Year_Activities_for_501c4_Social_Welfare_Organizations.pdf 19. EO operational requirements: Endorsing candidates for public office - IRS, https://www.irs.gov/charities-non-profits/eo-operational-requirements-endorsing-candidates-for-public-office 20. Get Involved - Dark Money: A Kimberly Reed Film, https://www.darkmoneyfilm.com/get-involved 21. Dark Money from Shadow Parties Is Booming in Congressional Elections, https://www.brennancenter.org/our-work/analysis-opinion/dark-money-shadow-parties-booming-congressional-elections 22. 'Dark money' in politics is about to get lighter - Center for Public Integrity, https://publicintegrity.org/politics/dark-money-in-politics-is-about-to-get-lighter/ 23. Dark Money Hit a Record High of $1.9 Billion in 2024 Federal Races, https://www.brennancenter.org/our-work/research-reports/dark-money-hit-record-high-19-billion-2024-federal-races 24. Secret Election Spending Proliferates Through Shell Companies ..., https://campaignlegal.org/update/secret-election-spending-proliferates-through-shell-companies 25. THE MAINE SENATE March 17, 2025, https://legislature.maine.gov/legis/bills/getTestimonyDoc.asp?id=186086 26. REQUIRING GOVERNMENT CONTRACTORS TO DISCLOSE ..., https://www.brennancenter.org/sites/default/files/analysis/Government%20Contractors_Report_2015.pdf 27. Whitehouse, Colleagues Ask POTUS to Require Disclosure of Political Spending by Federal Contractors, https://www.whitehouse.senate.gov/news/release/whitehouse-colleagues-ask-potus-to-require-disclosure-of-political-spending-by-federal-contractors/ 28. Uncovering Conflicts of Interest and Self-Dealing in the Executive Branch, https://www.brennancenter.org/our-work/research-reports/uncovering-conflicts-interest-and-self-dealing-executive-branch 29. Donors, key findings, and profiles of the top 15 dark money groups ..., https://issueone.org/donors-key-findings-and-profiles-of-the-top-15-dark-money-groups/ 30. Tax form emphasizes mysterious dark money group's ties to Trump - CREW, https://www.citizensforethics.org/reports-investigations/crew-investigations/tax-form-emphasizes-45-alliance-trump-ties/ 31. HR 1 / S. 1 Disclosure Provisions: - How the For the People Act Would Fix American Democracy's Dark Money Problem - Campaign Legal Center, https://campaignlegal.org/sites/default/files/2021-03/Disclosure%20Report%203.23_1030.pdf 32. Citizens United, Dark Money, and the Need for Rhetorical Competence - JMU Scholarly Commons, https://commons.lib.jmu.edu/cgi/viewcontent.cgi?article=1091&amp;context=jmurj 33. Fifteen Years Later, Citizens United Defined the 2024 Election | Brennan Center for Justice, https://www.brennancenter.org/our-work/research-reports/fifteen-years-later-citizens-united-defined-2024-election 34. What Is Astroturfing? Definition and Examples - ThoughtCo, https://www.thoughtco.com/what-is-astroturfing-definition-and-examples-5082082 35. Astroturfing - Wikipedia, https://en.wikipedia.org/wiki/Astroturfing 36. Astroturfing: As fake as it sounds - News Literacy Project, https://newslit.org/tips-tools/astroturfing-as-fake-as-it-sounds/ 37. Pink-slime journalism - Wikipedia, https://en.wikipedia.org/wiki/Pink-slime_journalism 38. “Pink Slime”: Partisan journalism and the future of local news, https://towcenter.columbia.edu/sites/default/files/content/%E2%80%9CPink%20Slime%E2%80%9D_%20Partisan%20journalism%20and%20the%20future%20of%20local%20news%20%281%29.pdf 39. Dark Money Political Ads Proliferate on Facebook and Instagram Ahead of the U.S. Midterms, Enabled by the Platforms' Policies - NewsGuard, https://www.newsguardtech.com/misinformation-monitor/october-2022/ 40. Social Media Influencers and the 2020 U.S. Election: Paying 'Regular People' for Digital Campaign Communication, https://mediaengagement.org/research/social-media-influencers-and-the-2020-election/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