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Blueprints for a Modern Monitoring and Evaluation Data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domain of Monitoring and Evaluation (M&amp;E) in international development, humanitarian response, and global health requires specialized data infrastructure that diverges significantly from conventional commercial survey tools. While commercial platforms excel in cross-sectional market research, M&amp;E systems must map complex causal chains, execute longitudinal subject tracking across multi-year interventions, and operate reliably in extreme, low-connectivity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Building a platform to rival or exceed established ecosystem tools requires a sophisticated architecture encompassing offline-first data synchronization, strict data governance, interoperability with global health standards, and an integrated indicator tracking engine. This report details the comprehensive technical specifications and architectural paradigms required to develop a next-generation M&amp;E data collection and analytics platform.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Incumbent Ecosystem Platforms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developer entering the M&amp;E software space must first understand the technical baseline established by incumbent platforms. The landscape is currently dominated by a few key players, each utilizing distinct architectural philosophies and funding models. KoboToolbox, Open Data Kit (ODK), CommCare, and SurveyCTO represent the industry standards, and any new platform must offer competitive parity or distinct architectural advantages over these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differentiators among these platforms revolve around their total cost of ownership, hosting architecture, case management capabilities, and cross-platform compatibility. For instance, KoboToolbox and ODK are heavily utilized due to their open-source nature and free tiers for humanitarian use, but they often require organizations to self-host and maintain their own hardware and IT infrastructure unless utilizing specific cloud tiers.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SurveyCTO and CommCare operate on Software-as-a-Service (SaaS) models, bundling secure cloud hosting into their subscription tiers.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technical divergence lies in mobile operating system support. While SurveyCTO provides native clients for both Android and iOS, KoboToolbox, ODK, and CommCare predominantly restrict their native offline data collection applications to the Android ecosystem.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depth of technical support and enterprise compliance varies significantly. SurveyCTO offers continuous, global support and out-of-the-box compliance with regulations such as the General Data Protection Regulation (GDPR) and the Health Insurance Portability and Accountability Act (HIPAA), whereas open-source alternatives often rely on community forums for troubleshooting and place the compliance burden on the self-hosting organization.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Strengths and Technical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Limitations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KoboToolbox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community support, intuitive form builder, free humanitarian usage tier.</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Limited native analytics, manual data exports required for advanced processing, Android-only native app.</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humanitarian assessments, resource-constrained NGOs.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for non-profits; paid enterprise cloud.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Data Kit (ODK)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ecosystem foundation, highly extensible, proven large-scale deployment history.</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Self-hosting requires robust internal IT, complex longitudinal setup without ODK-X.</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academic research, government-scale national surveys.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paid ODK Cloud options.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offline case management, bidirectional syncing, multimedia integration.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enterprise cost, steep learning curve for workflow configuration, Android-only.</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Longitudinal health tracking, frontline worker task management.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Starts at lower tiers; $1000/mo for enterprise features.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SurveyCTO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 data quality checks, encrypted-at-rest security, rapid support response times, iOS and Android support.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Proprietary closed-source nature, monthly recurring costs prohibitive for grassroots organizations.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High-stakes academic research, randomized control trials (RCTs).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Starts at $250/month; user-funded.</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market share, a new platform must bridge the gap between the intuitive simplicity of KoboToolbox and the rigorous longitudinal case management of CommCare, while offering a cost-effective cloud-hosted model that supports both major mobile operating systems.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Toward Identity-First Data Models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vulnerability in legacy M&amp;E systems is the reliance on fragmented data collection tools that assume data cleaning will occur post-hoc. This approach frequently results in the "Dashboard Trap," wherein organizations utilize disconnected collection forms, store data in raw spreadsheets, and attempt to visualize unverified inputs in business intelligence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fragmented architecture forces M&amp;E professionals to expend the vast majority of their operational time on manual data reconciliation and deduplication, transforming what should be a learning organization into a compliance factory.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modern M&amp;E platform must implement a clean-at-source data architecture driven by persistent unique identifiers.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participant, household, or facility is registered at the baseline phase, the system must generate an immutable ID that propagates through every subsequent data collection event, including midline surveys, endline assessments, and qualitative interviews.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Organizations utilizing these clean-at-source platforms report spending significantly less time on data management, as the architecture eliminates the need for post-hoc matching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Hierarchy of an M&amp;E Database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this data requires a rigid, hierarchical relational model rather than a flat table structure. Drawing upon the architectural principles of specialized M&amp;E databases like ActivityInfo, the system must balance two overarching principles: minimizing data redundancy and maximizing data integrity.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balance is achieved through a multi-tiered database structure that logically separates administrative boundaries from specific data collection instruments.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Rule of Thumb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M&amp;E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dedicated, isolated environment for a discrete team or operational unit.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dedicated database instance for the Kenya Country Office.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collection of related schemas grouped by a common thematic sector or programmatic area.</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folder containing all forms related to Water, Sanitation, and Hygiene (WASH).</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specific schema representing a list of entities that share a common set of attributes.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Beneficiary Registry form, or a Facility Baseline Assessment form.</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 (Row)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individual, discrete entity instantiated from the form schema.</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specific farmer enrolled in an agricultural training program.</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Field (Column)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specific attribute that defines or describes the entity.</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geographic coordinates of the farmer's primary agricultural plot.</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Longitudinal Case Management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True longitudinal M&amp;E software connects pre-assessment, mid-program, and post-program data for each individual participant automatically.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tools treat each survey submission as an isolated dataset, making it mathematically impossible to accurately measure change over time without extensive manual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systems like the Longitudinal Implementation Strategy Tracking System (LISTS), the database schema must decouple the concept of a "form submission" from the "subject record".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ODK ecosystem, this is handled via "Entities," which are structured as lists functioning similarly to shared databases across disparate forms.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form acts as the functional operation (the "verb," such as "Register a beneficiary"), while the Entity represents the persistent record (the "noun," such as the beneficiary themselves).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single submission can create or update Entities across multiple lists, allowing for complex, multifaceted workflows.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CommCare relies heavily on robust case management, enabling hierarchical relationships and bidirectional workflows where form submissions update the central case record on the device before synchronizing with the cloud.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developer building a new platform must emulate this by allowing survey forms to reference existing participant records.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an enumerator initiates a follow-up survey, the system must pull existing subject data into the form to verify identity, pre-populate known variables, and subsequently append the new encounter to the longitudinal timeline.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utilizing unique distribution links embeds the participant ID directly into web-based surveys, allowing remote respondents to submit follow-up data that automatically binds to their central relational record.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Definition Standards: Mastering XLSForm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interoperability and to leverage the vast array of existing open-source data collection applications, a new M&amp;E platform should strictly adhere to the XLSForm standard.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XLSForm is a widely adopted standard that allows researchers to author complex surveys using spreadsheet software in a human-readable format.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compiler then translates this spreadsheet into an ODK XForm (an XML-based format) that compliant mobile and web clients can render consistently across different hardware profiles.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structure of an XLSForm requires three mandatory columns in the survey worksheet: the type column specifies the expected data input, the name column defines the unique machine-readable variable, and the label column dictates the user-visible question text.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Supporting XLSForm entails building a parser capable of interpreting highly complex survey logic. The most critical component is the relevant column, which dictates skip logic.</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Skip logic allows the form engine to evaluate preceding responses and dynamically render or hide subsequent questions.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requires the platform's client-side application to maintain an Abstract Syntax Tree (AST) that constantly evaluates boolean expressions, such as ${age} &gt;= 18 and ${status} = 'active' or combinations using not() operators.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XLSForm 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Purpose in M&amp;E Data Collection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select_one_from_file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cascading selections referencing massive external CSV datasets (e.g., administrative boundaries) loaded entirely into the local device memory.</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geoshape / geotrace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spatial analysis by capturing continuous polygons or lines, critical for defining agricultural boundaries and infrastructural routing.</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Executes background mathematical and logical operations to derive variables in real-time without user input, reducing downstream data processing.</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repeat_group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for capturing one-to-many relationships within a single submission, such as listing demographic details for all children residing within a single surveyed household.</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Accesses the native device camera to scan and decode barcodes or QR codes, rapidly linking physical commodities to digital records.</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standard supports critical metadata extraction seamlessly. By utilizing types such as start, end, and deviceid, the form automatically captures the exact timestamp of survey initiation and completion, as well as the unique hardware identifier of the enumerator's device.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audit type introduces background telemetry, silently logging the enumerator's navigation path through the form, which is vital for post-hoc data quality assurance and detecting falsified rapid submissions.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OpenRosa API and Communication Protocols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form is designed and executed on a mobile client, the data must be transmitted to the central server. To integrate smoothly into the broader humanitarian technology ecosystem, the platform's ingestion layer must implement the OpenRosa 1.0 API standards, which dictate the strict communication protocols between servers (like ODK Central) and survey clients (like Enketo or ODK Collect).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OpenRosa Form Submission API requires handling HTTP POST requests formatted as multipart MIME envelopes.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Because field devices often operate on severely restricted networks, the server must support HTTP 1.1 chunked transfer encoding.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server advertises its maximum accepted payload size via the X-OpenRosa-Accept-Content-Length header in its responses.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a submission containing large media files (such as high-resolution images or audio recordings) exceeds this threshold, the client splits the payload into multiple sequential POST requests.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platform's backend must gracefully reassemble these payloads and maintain state, ensuring that the primary XML instance and its associated media attachments are linked successfully within the database without corruption.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OpenRosa specification mandates specific HTTP headers for every request. Clients expect the server to return an X-OpenRosa-Version header set to exactly 1.0, which acts as a handshake confirming that the endpoint is a compliant M&amp;E server rather than a generic proxy or captive portal.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standard also dictates that a server should support HTTP HEAD requests as a preflight check, returning a 204 No Content status code, allowing the mobile client to verify server availability and payload capacity before initiating a costly and bandwidth-heavy data transfer over a cellular network.</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Offline-First Engineering and Synchronization Protocols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international development, uninterrupted internet connectivity is the exception, not the rule. Consequently, the platform's mobile client cannot function as a thin wrapper around web views; it must be an engineered offline-first application.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An offline-first architecture treats local device storage as the primary source of truth, with network synchronization acting as an asynchronous background process.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Paradigms: Document Stores vs. Embedded Relational Models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the local and remote database engines dictates the complexity of the entire synchronization mechanism. Developers typically evaluate two distinct architectural pathways for mobile M&amp;E applications: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approach involves utilizing the CouchDB and PouchDB stack.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architecture is engineered explicitly for master-master replication in disconnected environments.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PouchDB runs natively within the browser or the mobile JavaScript runtime, providing a NoSQL document store that perfectly mirrors the CouchDB instance running on the cloud server.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primary advantage of this stack is the built-in replication protocol, which synchronizes documents via a highly optimized _changes feed.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approach excels in scenarios requiring complex, bidirectional synchronization where multiple enumerators might need to query and update the same entity dataset while completely offline.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Integrating this with modern, lightweight frontend frameworks like Svelte and fast build tooling like Vite creates highly responsive web applications that masquerade effectively as native software.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approach utilizes an embedded relational database, such as SQLite, combined with custom synchronization logic.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While SQLite is serverless, fast, and extremely reliable for local querying, it lacks a native synchronization protocol.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Developers often circumvent the rigidity of SQL schemas in dynamic mobile environments by implementing an Entity-Attribute-Value (EAV) model within SQLite.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model abstracts the schema, allowing complex data hierarchies to be stored without requiring constant database migrations when survey definitions change.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the developer assumes the immense burden of manually constructing the synchronization engine, managing the transmission queue, and writing the conflict resolution algorithms.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 Conflict Resolution Strategies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two field workers operate offline simultaneously, update the exact same participant record, and subsequently reconnect to the network, a synchronization conflict inevitably occurs.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platform must implement deterministic algorithms to resolve these collisions gracefully without destroying valuable field data.</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strategies exist for handling these distributed system conflicts: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Last-Write-Wins (LWW):</w:t>
      </w:r>
      <w:r w:rsidDel="00000000" w:rsidR="00000000" w:rsidRPr="00000000">
        <w:rPr>
          <w:rFonts w:ascii="Google Sans" w:cs="Google Sans" w:eastAsia="Google Sans" w:hAnsi="Google Sans"/>
          <w:color w:val="1f1f1f"/>
          <w:rtl w:val="0"/>
        </w:rPr>
        <w:t xml:space="preserve"> This simplistic approach relies on vector clocks or device system timestamps to accept the most chronologically recent modification, discarding previous updates.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computationally inexpensive, LWW poses a massive risk in M&amp;E contexts; it can overwrite valuable data if the older modification contained distinct, non-overlapping field updates that merely occurred earlier in the day.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Merging and CRDTs:</w:t>
      </w:r>
      <w:r w:rsidDel="00000000" w:rsidR="00000000" w:rsidRPr="00000000">
        <w:rPr>
          <w:rFonts w:ascii="Google Sans" w:cs="Google Sans" w:eastAsia="Google Sans" w:hAnsi="Google Sans"/>
          <w:color w:val="1f1f1f"/>
          <w:rtl w:val="0"/>
        </w:rPr>
        <w:t xml:space="preserve"> Conflict-free Replicated Data Types (CRDTs) offer a mathematically sound approach to merging distributed updates without requiring user intervention.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an application employs CRDTs, concurrent updates to different fields within the exact same JSON document are merged seamlessly based on mathematical proofs, making them highly desirable for complex longitudinal tracking applications.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Manual Resolution via Branching:</w:t>
      </w:r>
      <w:r w:rsidDel="00000000" w:rsidR="00000000" w:rsidRPr="00000000">
        <w:rPr>
          <w:rFonts w:ascii="Google Sans" w:cs="Google Sans" w:eastAsia="Google Sans" w:hAnsi="Google Sans"/>
          <w:color w:val="1f1f1f"/>
          <w:rtl w:val="0"/>
        </w:rPr>
        <w:t xml:space="preserve"> In high-stakes environments, such as medical supply chain tracking or patient health records, automatic merging may be deemed too risky. The system should instead store conflicted revisions as separate branches within the document history. These conflicts are then flagged in a dedicated administrative user interface, forcing a human supervisor to review the divergent data points and execute a manual merge.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Synchronization queues must also utilize exponential backoff algorithms when network requests fail, ensuring that brief periods of unstable 3G connectivity are utilized efficiently without overwhelming the server with simultaneous retry requests.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Observability, Quality Control, and APM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large-scale data collection campaigns, human error, enumerator fatigue, and falsification are chronic threats to data integrity. Transitioning from reactive data cleaning to proactive data observability is a critical architectural requirement for a modern M&amp;E platform. This requires implementing observability at two distinct layers: Application Performance Monitoring (APM) for the infrastructure, and Data Quality Monitoring for the payloads.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Observability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high availability across global deployments, the platform's backend must utilize end-to-end monitoring tools.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Platforms like Uptrace, Datadog, and New Relic provide full-stack observability by correlating frontend user telemetry with backend database performance metrics.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utilizing open standards like OpenTelemetry, developers can inject distributed tracing into the OpenRosa ingestion endpoints, allowing them to follow a specific XML payload as it traverses the load balancers, parsing engines, and database writing layers.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holistic visibility is paramount for identifying memory leaks during massive data ingestion events and ensuring that background synchronization queues are not stalling.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Data Quality Assessment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Drawing inspiration from enterprise data observability platforms like Monte Carlo, DQLabs, and Talend, the M&amp;E software should implement continuous data quality monitoring pipelines.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traditional environments, data quality is assessed weeks after the campaign concludes. A modern platform must evaluate specific data dimensions at the exact moment of ingestion.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Quality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M&amp;E Operational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Freshness (Timeliness)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Assessing whether field teams are uploading data consistently or hoarding submissions on local devices.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timestamp analysis comparing the XLSForm end metadata against the server receipt timestamp.</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Ensuring demographic or programmatic data matches historical baseline records.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Cross-referencing incoming participant IDs against the central relational database to detect impossible state changes (e.g., age decreasing).</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Uniqueness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Preventing duplicate enrollments that inflate programmatic impact metrics.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Hashing primary identifying fields and running deduplication algorithms across the incoming JSON payload.</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Completeness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Tracking the ratio of missing data or "refused to answer" responses.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Scanning the payload for null values or empty strings associated with non-mandatory but highly desirable survey fields.</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data quality checks must operate autonomously. If a payload fails a critical quality threshold, the system should place the record into a quarantine queue and trigger a real-time alert to the designated field supervisor, enabling them to contact the enumerator while they are still physically present in the target community.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Capabilities in Modern M&amp;E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M&amp;E tools is undergoing a dramatic transformation driven by the integration of Artificial Intelligence. In the context of 2025 and 2026, AI is no longer a peripheral feature; it is central to how unstructured data is processed and how anomalies are detected at scale.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AI-Powered Anomaly Detection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data validation relies on static constraints defined by the researcher (e.g., "Age must be less than 120"). AI-powered anomaly detection transcends this by utilizing machine learning models trained on historical survey submissions to establish dynamic baselines of normal enumerator behavior.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enumerator begins submitting forms from the field, these algorithms evaluate the metadata and response distributions in real-time.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system analyzes: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 Anomalies:</w:t>
      </w:r>
      <w:r w:rsidDel="00000000" w:rsidR="00000000" w:rsidRPr="00000000">
        <w:rPr>
          <w:rFonts w:ascii="Google Sans" w:cs="Google Sans" w:eastAsia="Google Sans" w:hAnsi="Google Sans"/>
          <w:color w:val="1f1f1f"/>
          <w:rtl w:val="0"/>
        </w:rPr>
        <w:t xml:space="preserve"> Identifying submissions that defy logical timeframes, such as completing a comprehensive 40-minute household assessment in 4 minutes, or submitting clusters of data at 3:00 AM local time.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Geospatial Anomalies:</w:t>
      </w:r>
      <w:r w:rsidDel="00000000" w:rsidR="00000000" w:rsidRPr="00000000">
        <w:rPr>
          <w:rFonts w:ascii="Google Sans" w:cs="Google Sans" w:eastAsia="Google Sans" w:hAnsi="Google Sans"/>
          <w:color w:val="1f1f1f"/>
          <w:rtl w:val="0"/>
        </w:rPr>
        <w:t xml:space="preserve"> Detecting GPS coordinates that cluster impossibly close together, suggesting an enumerator is falsifying data from a single location rather than walking the assigned route.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Statistical Anomalies:</w:t>
      </w:r>
      <w:r w:rsidDel="00000000" w:rsidR="00000000" w:rsidRPr="00000000">
        <w:rPr>
          <w:rFonts w:ascii="Google Sans" w:cs="Google Sans" w:eastAsia="Google Sans" w:hAnsi="Google Sans"/>
          <w:color w:val="1f1f1f"/>
          <w:rtl w:val="0"/>
        </w:rPr>
        <w:t xml:space="preserve"> Highlighting responses that exhibit near-zero variance (e.g., selecting "C" for every multiple-choice question in a matrix) or fall outside expected standard deviations for continuous variables.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dynamically adjusting its understanding of what constitutes "normal" behavior based on the specific context of the project, AI significantly reduces the false-positive rates that plague static alert systems.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Intelligence and Qualitative Analysis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quantitative tracking is foundational, capturing the nuanced narratives behind the numbers requires extensive qualitative data, such as open-ended text responses and audio transcripts.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this unstructured data was exported to specialized desktop tools like NVivo for laborious manual thematic coding.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modern M&amp;E platform should embed Document Intelligence and Large Language Models (LLMs) directly into the analytical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can ingest evaluation reports, long-form interview transcripts, and open-ended survey text, automatically extracting structured themes, performing multi-language sentiment analysis, and extracting keywords.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unifies the qualitative and quantitative pipelines, allowing analysts to instantly correlate thematic text extraction with numerical outcome drops.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integrating LLMs introduces new requirements for AI observability.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If the platform utilizes generative AI to summarize findings or suggest insights, developers must implement robust distributed tracing using specialized tools like Maxim AI or Langfuse.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tools monitor the AI agents in production, detecting hallucinations, evaluating prompt quality drift, and tracking token latency to ensure the AI's conclusions remain empirically grounded in the raw M&amp;E data.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Indicator Tracking and Results Frameworks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characteristic that separates true M&amp;E software from dressed-up survey tools is the native integration of an indicator tracking engine strictly aligned with formal Results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Results Framework is a logical model that maps the causal chain of an intervention from baseline inputs through to long-term impact.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hierarchy typically progresses through distinct operational phases: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Inputs &amp; Activities:</w:t>
      </w:r>
      <w:r w:rsidDel="00000000" w:rsidR="00000000" w:rsidRPr="00000000">
        <w:rPr>
          <w:rFonts w:ascii="Google Sans" w:cs="Google Sans" w:eastAsia="Google Sans" w:hAnsi="Google Sans"/>
          <w:color w:val="1f1f1f"/>
          <w:rtl w:val="0"/>
        </w:rPr>
        <w:t xml:space="preserve"> The planned interventions and resources expended (e.g., conducting an agricultural training seminar).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Outputs:</w:t>
      </w:r>
      <w:r w:rsidDel="00000000" w:rsidR="00000000" w:rsidRPr="00000000">
        <w:rPr>
          <w:rFonts w:ascii="Google Sans" w:cs="Google Sans" w:eastAsia="Google Sans" w:hAnsi="Google Sans"/>
          <w:color w:val="1f1f1f"/>
          <w:rtl w:val="0"/>
        </w:rPr>
        <w:t xml:space="preserve"> The immediate, tangible deliverables verifying the activity occurred (e.g., number of farmers trained).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Outcomes:</w:t>
      </w:r>
      <w:r w:rsidDel="00000000" w:rsidR="00000000" w:rsidRPr="00000000">
        <w:rPr>
          <w:rFonts w:ascii="Google Sans" w:cs="Google Sans" w:eastAsia="Google Sans" w:hAnsi="Google Sans"/>
          <w:color w:val="1f1f1f"/>
          <w:rtl w:val="0"/>
        </w:rPr>
        <w:t xml:space="preserve"> The short- to medium-term behavioral or systemic changes resulting from the outputs (e.g., adoption of new farming techniques).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The long-term, overarching societal change the program seeks to achieve (e.g., sustainable economic self-sufficiency).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 must provide a dedicated module to construct this hierarchy digitally, allowing organizations to abandon static spreadsheets.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Users must be able to define Specific, Measurable, Achievable, Relevant, and Time-bound (SMART) indicators for every node within the logical framework.</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Indicator Calculation Engines and Tracking Tables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framework is defined, the system must transition from theoretical mapping to automated data synthesis. The core analytical output is the Indicator Tracking Table (ITT), which juxtaposes baseline values, temporal targets, and actual achievements to continually compute variance.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Indicator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 of 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Year-End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Actual Achievement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Variance /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Student Enrollment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Percentage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School Enrollment Records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Literacy Improvement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Percentage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Literacy Assessment </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this programmatically, the platform must abstract indicator calculations into a highly flexible formula engine, akin to the systems utilized by ServiceNow's Performance Analytics or ActivityInfo's calculated fields.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An indicator is rarely a raw data point; it is a mathematical derivation.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platform must automatically aggregate the numerator (e.g., enrolled children) and the denominator (e.g., eligible children) dynamically across thousands of raw survey records.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calculation engine must support deep disaggregation, allowing analysts to slice indicator data automatically by demographic or geographic variables (e.g., gender, age cohort, district) without requiring the manual creation of separate, redundant indicator formulas for each population subset.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By integrating cross-form computations, the system can join variables from completely disparate datasets onto the persistent participant ID, calculating complex variance metrics in real-time and driving adaptive management.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Interoperability: DHIS2 and IATI Standards Integration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M&amp;E systems rarely exist in isolation; they must function seamlessly as nodes within broader national and international data ecosystems. Providing a standard REST API is insufficient for the global development sector; the platform must natively support specific domain standards to ensure rapid procurement and deployment by major NGOs and government ministries.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DHIS2 Integration (DXF2 and ADX)</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District Health Information Software 2 (DHIS2) is the undisputed global standard for national health management information systems, utilized by dozens of ministries of health worldwide.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To be viable, an M&amp;E data collection platform must possess native capabilities to push and pull data to DHIS2 instances securely.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DHIS2 utilizes two primary data exchange formats that developers must implement:</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DXF2 (DHIS2 Exchange Format):</w:t>
      </w:r>
      <w:r w:rsidDel="00000000" w:rsidR="00000000" w:rsidRPr="00000000">
        <w:rPr>
          <w:rFonts w:ascii="Google Sans" w:cs="Google Sans" w:eastAsia="Google Sans" w:hAnsi="Google Sans"/>
          <w:color w:val="1f1f1f"/>
          <w:rtl w:val="0"/>
        </w:rPr>
        <w:t xml:space="preserve"> This is the native XML and JSON payload structure used for exchanging deep metadata, individual tracker records, and complex programmatic events.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Sending data to the /api/dataValueSets endpoint requires strict adherence to DHIS2's internal UID schema.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Developers must implement mapping interfaces that allow users to map their local form variables to DHIS2 identifier schemes, utilizing parameters such as orgUnitIdScheme and dataElementIdScheme to ensure the receiving server correctly interprets the data payload.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ADX (Aggregate Data Exchange):</w:t>
      </w:r>
      <w:r w:rsidDel="00000000" w:rsidR="00000000" w:rsidRPr="00000000">
        <w:rPr>
          <w:rFonts w:ascii="Google Sans" w:cs="Google Sans" w:eastAsia="Google Sans" w:hAnsi="Google Sans"/>
          <w:color w:val="1f1f1f"/>
          <w:rtl w:val="0"/>
        </w:rPr>
        <w:t xml:space="preserve"> Developed by the Integrating the Healthcare Enterprise (IHE) initiative, ADX is an international XML standard optimized specifically for routine aggregate reporting.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Supporting ADX enables the platform to compile thousands of individual mobile submissions into summarized periodic reports and inject them directly into national government databases with high efficiency, bypassing the complexity of individual event tracking when only summaries are required by the state.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IATI Publishing Standard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transparency and donor compliance, the platform should support the International Aid Transparency Initiative (IATI) standard.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IATI standard relies on a heavily governed XML schema that defines how organizations report financial flows, project activities, and outcome data to the global community.</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automated IATI reporting, the platform should include internal mapping tools that translate relational database fields (e.g., project budgets, administrative locations, and indicator variance results) into the highly nested structure of the IATI XML schema. Incorporating established libraries, such as the IATI Python library, can drastically accelerate the transformation of internal JSON payloads into compliant XML, allowing organizations to automate their mandatory quarterly donor reporting workflows.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Furthermore, the system must safely handle XML namespaces, allowing developers to utilize the legacy-data element or custom prefixes (e.g., acme:risk-level) to include proprietary data points without breaking strict schema validation for external data consumers.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Encryption, and Regulatory Compliance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M&amp;E platforms handle highly sensitive information—ranging from refugee health statuses to the precise geographical coordinates of vulnerable populations—the security architecture must vastly exceed standard commercial protections. Out-of-the-box compliance with rigorous frameworks like the General Data Protection Regulation (GDPR) and the Health Insurance Portability and Accountability Act (HIPAA) is strictly mandatory to pass enterprise procurement reviews.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Architecture and Data at Rest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Relying solely on disk-level encryption (encrypting the entire server drive) or standard Transport Layer Security (TLS) for data in transit is considered insufficient for high-risk demographic data.</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If an attacker or a malicious internal actor bypasses the application layer and gains direct access to the database instance, disk-level encryption provides zero protection while the server is powered on and the drive is mounted.</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stringent security, the platform must implement Record-Level Encryption.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Every individual database record containing Personally Identifiable Information (PII) must be encrypted with a unique, securely stored cryptographic key, preferably utilizing AES 256-bit encryption standards.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If a database breach occurs, the attacker cannot decrypt the entire payload without acquiring thousands of individual keys, neutralizing the threat of mass data exfiltration.</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data collected on mobile devices in the field should be encrypted instantly using a public key embedded directly within the XLSForm definition.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corresponding private key required to decrypt the payload remains securely stored on an air-gapped server or dedicated hardware security module (HSM).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asymmetric architecture ensures that even if a tablet is stolen from an enumerator, or the intermediate synchronization server is compromised, the intercepted data remains mathematically undecipherable.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Pseudonymization and Role-Based Access Control</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comply with the GDPR principles of data minimization and purpose limitation, the architecture must support automated pseudonymization.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 system should automatically bifurcate incoming data: storing randomly generated identifiers alongside highly encrypted PII in one highly secure vault, while storing the analytical survey data (the answers to the questions) paired only with the pseudonym in the primary querying database.</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Complementing this is the necessity for comprehensive Role-Based Access Control (RBAC).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platform must restrict user access not merely at the broad module level, but granularly at the row and column level. For example, a data analyst should have unfettered access to the aggregated impact indicators and pseudonymized demographics required to run statistical models, but be cryptographically barred from accessing the PII mapping vault that reveals participant identities.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Finally, detailed, immutable audit logs tracking every read, write, modification, and export action are mandatory to fulfill HIPAA and GDPR compliance auditing requirements, ensuring total transparency regarding who accessed specific patient or participant records.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Experience (UX) Design for Field Operations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critical architectural pillar is the User Experience (UX) of the mobile data collection application itself. In the context of field data collection, UX is not merely about aesthetic design; it is a primary mechanical driver of data quality and operational efficiency. Field workers operate under extreme cognitive load, often working in harsh weather conditions, facing severe screen glare, and dealing with constant device battery anxiety.</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If the application is cumbersome, the quality of the submitted data degrades exponentially.</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Load Reduction and Interface Constraints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minimize errors of omission and commission, the application interface must employ "chunking" methodologies.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Rather than presenting a continuous, endlessly scrolling list of questions, related questions should be grouped logically, displaying only one topic or a single question per screen.</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This paginated approach prevents enumerators from being overwhelmed and ensures they do not accidentally skip fields.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skip logic evaluated by the AST engine must be executed instantaneously on the client side, bypassing irrelevant questions seamlessly without introducing visual latency or loading spinners.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Questions must be tightly validated at the exact moment of entry. For example, if an enumerator attempts to input an age of "150," the application must instantly flag the constraint violation with a clear, localized error message, absolutely preventing the error from being saved to the local database or persisting into the synchronized cloud architecture.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Intelligence and Real-Time Operational Coordination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M&amp;E platforms must be inherently "location smart" to ensure operational efficiency and verify the integrity of the data collection process.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Rather than relying strictly on paper lists of assignments or disjointed navigation apps, field teams should be able to view their assigned survey targets—whether they are specific households, health clinics, or agricultural water points—overlaid directly on an interactive, offline-capable map within the application itself.</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must leverage the device's native GPS hardware to provide routing, contextual environmental awareness, and immediate verification of the enumerator's location prior to form initiation.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maintaining an asynchronous, low-bandwidth telemetry link when cellular connectivity is sporadically available, supervisors stationed at headquarters can monitor team movements and overall submission rates on a real-time dashboard.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real-time visibility allows project managers to instantly react to unforeseen situations—such as a washed-out road or an uncooperative community—by pushing alternative routing or updated survey parameters directly to the devices, ensuring the M&amp;E campaign remains adaptive, secure, and rigorously accurate.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these advanced technical capabilities—from identity-first database architectures and mathematical conflict resolution to AI-powered data observability and rigorous cryptographic security—developers can architect a platform that fundamentally redefines the efficacy of monitoring and evaluation operations worldwide.</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Powered Monitoring and Evaluation Tools - Sopact Sense, accessed March 20, 2026, </w:t>
      </w:r>
      <w:hyperlink r:id="rId6">
        <w:r w:rsidDel="00000000" w:rsidR="00000000" w:rsidRPr="00000000">
          <w:rPr>
            <w:rFonts w:ascii="Google Sans" w:cs="Google Sans" w:eastAsia="Google Sans" w:hAnsi="Google Sans"/>
            <w:color w:val="0000ee"/>
            <w:sz w:val="24"/>
            <w:szCs w:val="24"/>
            <w:u w:val="single"/>
            <w:rtl w:val="0"/>
          </w:rPr>
          <w:t xml:space="preserve">https://www.sopact.com/use-case/monitoring-and-evaluation-tools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And Evaluation (M&amp;E) Platforms - EvalCommunity,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https://www.evalcommunity.com/career-development/me-platforms/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SurveyCTO vs. Other Platforms,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https://www.surveycto.com/resources/surveycto-vs-others/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Mobile Apps for Field Data Collection - EvalCommunity Academy,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https://academy.evalcommunity.com/the-best-mobile-apps-for-field-data-collection/</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Data Collection Applications - Arqaam,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https://www.arqaam.org/resources/mobile-data-collection-applications/</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Apps for Data Collection in Research - Teamscope,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https://www.teamscopeapp.com/mobile-data-collection-guide/7-mobile-data-collection-apps-for-field-research</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Longitudinal Data: The Complete Guide to Tracking Change - Sopact,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https://www.sopact.com/use-case/longitudinal-data</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for a project level M&amp;E database - ActivityInfo,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https://www.activityinfo.org/blog/posts/2022-10-05-complete-guide-for-project-level-monitoring-evaluation-database.html</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Longitudinal Implementation Strategy Tracking System,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https://hivimpsci.northwestern.edu/longitudinal-implementation-strategy-tracking-system/</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Entities - ODK Docs,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https://docs.getodk.org/entities-intro/</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Management Resources - CommCare Help Site - Confluence,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https://confluence.dimagi.com/display/commcarepublic/Case+Management</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OpenRosa - Enketo,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https://enketo.org/openrosa/</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XLSForm Docs,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https://xlsform.org/</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XLSForm Design for KoboToolbox: Complete Tutorial | Skip Logic, Repeats &amp; More,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https://www.youtube.com/watch?v=ydgZuqGy430</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XLSForm - ODK Docs,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https://docs.getodk.org/xlsform/</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skip logic in XLSForm - KoboToolbox documentation,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https://support.kobotoolbox.org/skip_logic_xls.html</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5.6.3 Skip logic - - GitLab - CartONG,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https://cartong.pages.gitlab.cartong.org/learning-corner/en/5_survey_design_mdc/5_6_form/5_6_3_skip_logic</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 any kind of data, anywhere - DHIS2,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https://dhis2.org/features/collect/</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OpenRosa Endpoints - ODK Docs,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https://docs.getodk.org/central-api-openrosa-endpoints/</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OpenRosa Protocol - ODK Docs,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https://docs.getodk.org/openrosa/</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Submission API - ODK Docs,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https://docs.getodk.org/openrosa-form-submission/</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App Development Guide for Frontend &amp; SaaS Teams - Medium,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https://medium.com/@hashbyt/the-ultimate-guide-to-offline-first-app-development-cfa7e9c36a52</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Mobile Apps: Build Reliable Sync, Conflict Resolution, and Local-First Data,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https://books.google.com/books/about/Offline_First_Mobile_Apps.html?id=rvXf0QEACAAJ</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Database Comparison - Hacker News,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https://news.ycombinator.com/item?id=28995268</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with CouchDB and PouchDB in 2025 - Neighbourhoodie Software,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https://neighbourhood.ie/blog/2025/03/26/offline-first-with-couchdb-and-pouchdb-in-2025</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database is best for mobile app development? - Tencent Cloud,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https://www.tencentcloud.com/techpedia/135344</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approach on handling large dataset for offline-first Mobile Apps (PouchDB),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https://stackoverflow.com/questions/39909401/best-approach-on-handling-large-dataset-for-offline-first-mobile-apps-pouchdb</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offline synchronization and conflict resolution mechanisms for intelligent databases? - Tencent Cloud,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https://www.tencentcloud.com/techpedia/142345</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End-to-End Monitoring Tools in 2025 - Uptrace,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https://uptrace.dev/tools/end-to-end-monitoring-tools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Website Monitoring Tools 2025: Complete Comparison and Buyer's Guide - Odown,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https://odown.com/blog/best-website-monitoring-tools-2025-comparison-buyers-guide/</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Data Quality Monitoring Tools You Should Know in 2025,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https://www.fanruan.com/en/blog/top-10-data-quality-monitoring-tools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Data Quality Assessment Tools Of August 2025,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https://www.montecarlodata.com/blog-best-quality-assessment-tools/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Data + AI Observations for Fall 2025 | Towards Data Science,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https://towardsdatascience.com/10-data-ai-observations-to-watch-in-fall-2025/</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Tools for Monitoring and Evaluation in 2025 - EvalCommunity Academy,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https://academy.evalcommunity.com/top-ai-tools-for-monitoring-and-evaluation-in-2025/</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Anomaly Detection: Benefits, Techniques, and Challenges - Plixer,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https://www.plixer.com/blog/ai-powered-anomaly-detection/</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Anomaly Detection in User Access Patterns - Enhancing Security and Efficiency in Hybrid Environments | Clutch Events,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https://www.clutchevents.co/resources/ai-powered-anomaly-detection-in-user-access-patterns---enhancing-security-and-efficiency-in-hybrid-environments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Anomaly Detection in Smart Water Metering Systems Using Ensemble Learning,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https://www.mdpi.com/2073-4441/17/13/1933</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Field Data Collection: Best Practices - GIS Cloud,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https://www.giscloud.com/blog/field-data-collection-best-practices/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Methods of Monitoring and Evaluation for Development - Insight7 - Call Analytics &amp; AI Coaching for Customer Teams, accessed March 20, 2026, </w:t>
      </w:r>
      <w:hyperlink r:id="rId44">
        <w:r w:rsidDel="00000000" w:rsidR="00000000" w:rsidRPr="00000000">
          <w:rPr>
            <w:rFonts w:ascii="Google Sans" w:cs="Google Sans" w:eastAsia="Google Sans" w:hAnsi="Google Sans"/>
            <w:color w:val="0000ee"/>
            <w:sz w:val="24"/>
            <w:szCs w:val="24"/>
            <w:u w:val="single"/>
            <w:rtl w:val="0"/>
          </w:rPr>
          <w:t xml:space="preserve">https://insight7.io/methods-of-monitoring-and-evaluation-for-development/</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Tools for Monitoring AI Applications in 2025 - Maxim AI, accessed March 20, 2026, </w:t>
      </w:r>
      <w:hyperlink r:id="rId45">
        <w:r w:rsidDel="00000000" w:rsidR="00000000" w:rsidRPr="00000000">
          <w:rPr>
            <w:rFonts w:ascii="Google Sans" w:cs="Google Sans" w:eastAsia="Google Sans" w:hAnsi="Google Sans"/>
            <w:color w:val="0000ee"/>
            <w:sz w:val="24"/>
            <w:szCs w:val="24"/>
            <w:u w:val="single"/>
            <w:rtl w:val="0"/>
          </w:rPr>
          <w:t xml:space="preserve">https://www.getmaxim.ai/articles/top-5-tools-for-monitoring-ai-applications-in-2025/</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Framework: Guide to Results-Based M&amp;E for Impact - Sopact, accessed March 20, 2026, </w:t>
      </w:r>
      <w:hyperlink r:id="rId46">
        <w:r w:rsidDel="00000000" w:rsidR="00000000" w:rsidRPr="00000000">
          <w:rPr>
            <w:rFonts w:ascii="Google Sans" w:cs="Google Sans" w:eastAsia="Google Sans" w:hAnsi="Google Sans"/>
            <w:color w:val="0000ee"/>
            <w:sz w:val="24"/>
            <w:szCs w:val="24"/>
            <w:u w:val="single"/>
            <w:rtl w:val="0"/>
          </w:rPr>
          <w:t xml:space="preserve">https://www.sopact.com/use-case/results-framework</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Monitoring and Evaluation Tips Building a Results Framework, accessed March 20, 2026, </w:t>
      </w:r>
      <w:hyperlink r:id="rId47">
        <w:r w:rsidDel="00000000" w:rsidR="00000000" w:rsidRPr="00000000">
          <w:rPr>
            <w:rFonts w:ascii="Google Sans" w:cs="Google Sans" w:eastAsia="Google Sans" w:hAnsi="Google Sans"/>
            <w:color w:val="0000ee"/>
            <w:sz w:val="24"/>
            <w:szCs w:val="24"/>
            <w:u w:val="single"/>
            <w:rtl w:val="0"/>
          </w:rPr>
          <w:t xml:space="preserve">https://www.ndi.org/sites/default/files/Performance%20Monitoring%20and%20Evaluation%20Tips%20Building%20a%20Results%20Framework.pdf</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Indicators: What they are and how to use them - tools4dev, accessed March 20, 2026, </w:t>
      </w:r>
      <w:hyperlink r:id="rId48">
        <w:r w:rsidDel="00000000" w:rsidR="00000000" w:rsidRPr="00000000">
          <w:rPr>
            <w:rFonts w:ascii="Google Sans" w:cs="Google Sans" w:eastAsia="Google Sans" w:hAnsi="Google Sans"/>
            <w:color w:val="0000ee"/>
            <w:sz w:val="24"/>
            <w:szCs w:val="24"/>
            <w:u w:val="single"/>
            <w:rtl w:val="0"/>
          </w:rPr>
          <w:t xml:space="preserve">https://tools4dev.org/blog/results-indicators-what-they-are-and-how-to-use-them/</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M&amp;E database template for indicator tracking - ActivityInfo, accessed March 20, 2026, </w:t>
      </w:r>
      <w:hyperlink r:id="rId49">
        <w:r w:rsidDel="00000000" w:rsidR="00000000" w:rsidRPr="00000000">
          <w:rPr>
            <w:rFonts w:ascii="Google Sans" w:cs="Google Sans" w:eastAsia="Google Sans" w:hAnsi="Google Sans"/>
            <w:color w:val="0000ee"/>
            <w:sz w:val="24"/>
            <w:szCs w:val="24"/>
            <w:u w:val="single"/>
            <w:rtl w:val="0"/>
          </w:rPr>
          <w:t xml:space="preserve">https://www.activityinfo.org/support/templates/global.html</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Indicators In Monitoring And Evaluation (M&amp;E) - EvalCommunity, accessed March 20, 2026, </w:t>
      </w:r>
      <w:hyperlink r:id="rId50">
        <w:r w:rsidDel="00000000" w:rsidR="00000000" w:rsidRPr="00000000">
          <w:rPr>
            <w:rFonts w:ascii="Google Sans" w:cs="Google Sans" w:eastAsia="Google Sans" w:hAnsi="Google Sans"/>
            <w:color w:val="0000ee"/>
            <w:sz w:val="24"/>
            <w:szCs w:val="24"/>
            <w:u w:val="single"/>
            <w:rtl w:val="0"/>
          </w:rPr>
          <w:t xml:space="preserve">https://www.evalcommunity.com/career-center/smart-indicators/</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guide to creating an Indicator Tracking Table (ITT) - ActivityInfo, accessed March 20, 2026, </w:t>
      </w:r>
      <w:hyperlink r:id="rId51">
        <w:r w:rsidDel="00000000" w:rsidR="00000000" w:rsidRPr="00000000">
          <w:rPr>
            <w:rFonts w:ascii="Google Sans" w:cs="Google Sans" w:eastAsia="Google Sans" w:hAnsi="Google Sans"/>
            <w:color w:val="0000ee"/>
            <w:sz w:val="24"/>
            <w:szCs w:val="24"/>
            <w:u w:val="single"/>
            <w:rtl w:val="0"/>
          </w:rPr>
          <w:t xml:space="preserve">https://www.activityinfo.org/blog/posts/2025-09-09-guide-to-creating-an-indicator-tracking-table.html</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automated indicator - ServiceNow, accessed March 20, 2026, </w:t>
      </w:r>
      <w:hyperlink r:id="rId52">
        <w:r w:rsidDel="00000000" w:rsidR="00000000" w:rsidRPr="00000000">
          <w:rPr>
            <w:rFonts w:ascii="Google Sans" w:cs="Google Sans" w:eastAsia="Google Sans" w:hAnsi="Google Sans"/>
            <w:color w:val="0000ee"/>
            <w:sz w:val="24"/>
            <w:szCs w:val="24"/>
            <w:u w:val="single"/>
            <w:rtl w:val="0"/>
          </w:rPr>
          <w:t xml:space="preserve">https://www.servicenow.com/docs/r/washingtondc/now-intelligence/performance-analytics/t_CreateAnAutomatedIndicator.html</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monitoring and evaluation data analysis by using an open-source programming language | Fouché, accessed March 20, 2026, </w:t>
      </w:r>
      <w:hyperlink r:id="rId53">
        <w:r w:rsidDel="00000000" w:rsidR="00000000" w:rsidRPr="00000000">
          <w:rPr>
            <w:rFonts w:ascii="Google Sans" w:cs="Google Sans" w:eastAsia="Google Sans" w:hAnsi="Google Sans"/>
            <w:color w:val="0000ee"/>
            <w:sz w:val="24"/>
            <w:szCs w:val="24"/>
            <w:u w:val="single"/>
            <w:rtl w:val="0"/>
          </w:rPr>
          <w:t xml:space="preserve">https://aejonline.org/index.php/aej/article/view/783/1582</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Output Indicators in M&amp;E Training Course - Datastat Training Institute, accessed March 20, 2026, </w:t>
      </w:r>
      <w:hyperlink r:id="rId54">
        <w:r w:rsidDel="00000000" w:rsidR="00000000" w:rsidRPr="00000000">
          <w:rPr>
            <w:rFonts w:ascii="Google Sans" w:cs="Google Sans" w:eastAsia="Google Sans" w:hAnsi="Google Sans"/>
            <w:color w:val="0000ee"/>
            <w:sz w:val="24"/>
            <w:szCs w:val="24"/>
            <w:u w:val="single"/>
            <w:rtl w:val="0"/>
          </w:rPr>
          <w:t xml:space="preserve">https://datastatresearch.com/courses/developing-output-indicators-in-m-e-training-course</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Data Toolkit - DHIS2, accessed March 20, 2026, </w:t>
      </w:r>
      <w:hyperlink r:id="rId55">
        <w:r w:rsidDel="00000000" w:rsidR="00000000" w:rsidRPr="00000000">
          <w:rPr>
            <w:rFonts w:ascii="Google Sans" w:cs="Google Sans" w:eastAsia="Google Sans" w:hAnsi="Google Sans"/>
            <w:color w:val="0000ee"/>
            <w:sz w:val="24"/>
            <w:szCs w:val="24"/>
            <w:u w:val="single"/>
            <w:rtl w:val="0"/>
          </w:rPr>
          <w:t xml:space="preserve">https://dhis2.org/health-data-toolkit/</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 DHIS2 functionality and integrate with other systems, accessed March 20, 2026, </w:t>
      </w:r>
      <w:hyperlink r:id="rId56">
        <w:r w:rsidDel="00000000" w:rsidR="00000000" w:rsidRPr="00000000">
          <w:rPr>
            <w:rFonts w:ascii="Google Sans" w:cs="Google Sans" w:eastAsia="Google Sans" w:hAnsi="Google Sans"/>
            <w:color w:val="0000ee"/>
            <w:sz w:val="24"/>
            <w:szCs w:val="24"/>
            <w:u w:val="single"/>
            <w:rtl w:val="0"/>
          </w:rPr>
          <w:t xml:space="preserve">https://dhis2.org/features/extend/</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data to DHIS2 instance from R - Support - Assistance technique, accessed March 20, 2026, </w:t>
      </w:r>
      <w:hyperlink r:id="rId57">
        <w:r w:rsidDel="00000000" w:rsidR="00000000" w:rsidRPr="00000000">
          <w:rPr>
            <w:rFonts w:ascii="Google Sans" w:cs="Google Sans" w:eastAsia="Google Sans" w:hAnsi="Google Sans"/>
            <w:color w:val="0000ee"/>
            <w:sz w:val="24"/>
            <w:szCs w:val="24"/>
            <w:u w:val="single"/>
            <w:rtl w:val="0"/>
          </w:rPr>
          <w:t xml:space="preserve">https://community.dhis2.org/t/send-data-to-dhis2-instance-from-r/52665</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Dhis2 Developer Manual | PDF | Web Server - Scribd, accessed March 20, 2026,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https://www.scribd.com/document/750440938/Dhis2-Developer-Manual</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dhis2-docs/src/developer/web-api/metadata.md at master - GitHub, accessed March 20, 2026, </w:t>
      </w:r>
      <w:hyperlink r:id="rId59">
        <w:r w:rsidDel="00000000" w:rsidR="00000000" w:rsidRPr="00000000">
          <w:rPr>
            <w:rFonts w:ascii="Google Sans" w:cs="Google Sans" w:eastAsia="Google Sans" w:hAnsi="Google Sans"/>
            <w:color w:val="0000ee"/>
            <w:sz w:val="24"/>
            <w:szCs w:val="24"/>
            <w:u w:val="single"/>
            <w:rtl w:val="0"/>
          </w:rPr>
          <w:t xml:space="preserve">https://github.com/dhis2/dhis2-docs/blob/master/src/developer/web-api/metadata.md</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new model objects to support ADX format - DHIS2 Integration - OpenMRS Talk, accessed March 20, 2026, </w:t>
      </w:r>
      <w:hyperlink r:id="rId60">
        <w:r w:rsidDel="00000000" w:rsidR="00000000" w:rsidRPr="00000000">
          <w:rPr>
            <w:rFonts w:ascii="Google Sans" w:cs="Google Sans" w:eastAsia="Google Sans" w:hAnsi="Google Sans"/>
            <w:color w:val="0000ee"/>
            <w:sz w:val="24"/>
            <w:szCs w:val="24"/>
            <w:u w:val="single"/>
            <w:rtl w:val="0"/>
          </w:rPr>
          <w:t xml:space="preserve">https://talk.openmrs.org/t/adding-new-model-objects-to-support-adx-format/2738</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XML Schema – Knowledge and References - Taylor &amp; Francis, accessed March 20, 2026, </w:t>
      </w:r>
      <w:hyperlink r:id="rId61">
        <w:r w:rsidDel="00000000" w:rsidR="00000000" w:rsidRPr="00000000">
          <w:rPr>
            <w:rFonts w:ascii="Google Sans" w:cs="Google Sans" w:eastAsia="Google Sans" w:hAnsi="Google Sans"/>
            <w:color w:val="0000ee"/>
            <w:sz w:val="24"/>
            <w:szCs w:val="24"/>
            <w:u w:val="single"/>
            <w:rtl w:val="0"/>
          </w:rPr>
          <w:t xml:space="preserve">https://taylorandfrancis.com/knowledge/Engineering_and_technology/Computer_science/XML_Schema/</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manage the standard - iatistandard.org, accessed March 20, 2026, </w:t>
      </w:r>
      <w:hyperlink r:id="rId62">
        <w:r w:rsidDel="00000000" w:rsidR="00000000" w:rsidRPr="00000000">
          <w:rPr>
            <w:rFonts w:ascii="Google Sans" w:cs="Google Sans" w:eastAsia="Google Sans" w:hAnsi="Google Sans"/>
            <w:color w:val="0000ee"/>
            <w:sz w:val="24"/>
            <w:szCs w:val="24"/>
            <w:u w:val="single"/>
            <w:rtl w:val="0"/>
          </w:rPr>
          <w:t xml:space="preserve">https://iatistandard.org/en/iati-standard/upgrades/how-we-manage-the-standard/</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XML Schema Part 1: Structures Second Edition - W3C, accessed March 20, 2026, </w:t>
      </w:r>
      <w:hyperlink r:id="rId63">
        <w:r w:rsidDel="00000000" w:rsidR="00000000" w:rsidRPr="00000000">
          <w:rPr>
            <w:rFonts w:ascii="Google Sans" w:cs="Google Sans" w:eastAsia="Google Sans" w:hAnsi="Google Sans"/>
            <w:color w:val="0000ee"/>
            <w:sz w:val="24"/>
            <w:szCs w:val="24"/>
            <w:u w:val="single"/>
            <w:rtl w:val="0"/>
          </w:rPr>
          <w:t xml:space="preserve">https://www.w3.org/TR/xmlschema-1/</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IATI Python Library, accessed March 20, 2026, </w:t>
      </w:r>
      <w:hyperlink r:id="rId64">
        <w:r w:rsidDel="00000000" w:rsidR="00000000" w:rsidRPr="00000000">
          <w:rPr>
            <w:rFonts w:ascii="Google Sans" w:cs="Google Sans" w:eastAsia="Google Sans" w:hAnsi="Google Sans"/>
            <w:color w:val="0000ee"/>
            <w:sz w:val="24"/>
            <w:szCs w:val="24"/>
            <w:u w:val="single"/>
            <w:rtl w:val="0"/>
          </w:rPr>
          <w:t xml:space="preserve">https://www.iaticonnect.org/discussion/introducing-iati-python-library</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Namespaces &amp; Extensions - Reference - IATI Standard 2.03 documentation, accessed March 20, 2026, </w:t>
      </w:r>
      <w:hyperlink r:id="rId65">
        <w:r w:rsidDel="00000000" w:rsidR="00000000" w:rsidRPr="00000000">
          <w:rPr>
            <w:rFonts w:ascii="Google Sans" w:cs="Google Sans" w:eastAsia="Google Sans" w:hAnsi="Google Sans"/>
            <w:color w:val="0000ee"/>
            <w:sz w:val="24"/>
            <w:szCs w:val="24"/>
            <w:u w:val="single"/>
            <w:rtl w:val="0"/>
          </w:rPr>
          <w:t xml:space="preserve">https://reference.codeforiati.org/namespaces-extensions/</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IATI Reference - iatistandard.org, accessed March 20, 2026, </w:t>
      </w:r>
      <w:hyperlink r:id="rId66">
        <w:r w:rsidDel="00000000" w:rsidR="00000000" w:rsidRPr="00000000">
          <w:rPr>
            <w:rFonts w:ascii="Google Sans" w:cs="Google Sans" w:eastAsia="Google Sans" w:hAnsi="Google Sans"/>
            <w:color w:val="0000ee"/>
            <w:sz w:val="24"/>
            <w:szCs w:val="24"/>
            <w:u w:val="single"/>
            <w:rtl w:val="0"/>
          </w:rPr>
          <w:t xml:space="preserve">https://iatistandard.org/en/guidance/standard-overview/iati-reference/</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encrypt health data for GDPR &amp; HIPAA compliance | Chino.io, accessed March 20, 2026, </w:t>
      </w:r>
      <w:hyperlink r:id="rId67">
        <w:r w:rsidDel="00000000" w:rsidR="00000000" w:rsidRPr="00000000">
          <w:rPr>
            <w:rFonts w:ascii="Google Sans" w:cs="Google Sans" w:eastAsia="Google Sans" w:hAnsi="Google Sans"/>
            <w:color w:val="0000ee"/>
            <w:sz w:val="24"/>
            <w:szCs w:val="24"/>
            <w:u w:val="single"/>
            <w:rtl w:val="0"/>
          </w:rPr>
          <w:t xml:space="preserve">https://www.chino.io/post/how-to-encrypt-health-data-for-gdpr-hipaa-compliance</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And Monitoring And Evaluation (M&amp;E) - EvalCommunity, accessed March 20, 2026, </w:t>
      </w:r>
      <w:hyperlink r:id="rId68">
        <w:r w:rsidDel="00000000" w:rsidR="00000000" w:rsidRPr="00000000">
          <w:rPr>
            <w:rFonts w:ascii="Google Sans" w:cs="Google Sans" w:eastAsia="Google Sans" w:hAnsi="Google Sans"/>
            <w:color w:val="0000ee"/>
            <w:sz w:val="24"/>
            <w:szCs w:val="24"/>
            <w:u w:val="single"/>
            <w:rtl w:val="0"/>
          </w:rPr>
          <w:t xml:space="preserve">https://www.evalcommunity.com/career-center/gdpr-and-monitoring-and-evaluation-me/</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and GDPR Compliance Explained for Clinic Software - Meddbase, accessed March 20, 2026, </w:t>
      </w:r>
      <w:hyperlink r:id="rId69">
        <w:r w:rsidDel="00000000" w:rsidR="00000000" w:rsidRPr="00000000">
          <w:rPr>
            <w:rFonts w:ascii="Google Sans" w:cs="Google Sans" w:eastAsia="Google Sans" w:hAnsi="Google Sans"/>
            <w:color w:val="0000ee"/>
            <w:sz w:val="24"/>
            <w:szCs w:val="24"/>
            <w:u w:val="single"/>
            <w:rtl w:val="0"/>
          </w:rPr>
          <w:t xml:space="preserve">https://www.meddbase.com/clinic-management-software-uk/compliance-security/hipaa-gdpr/</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Encryption Requirements - 2026 Update, accessed March 20, 2026, </w:t>
      </w:r>
      <w:hyperlink r:id="rId70">
        <w:r w:rsidDel="00000000" w:rsidR="00000000" w:rsidRPr="00000000">
          <w:rPr>
            <w:rFonts w:ascii="Google Sans" w:cs="Google Sans" w:eastAsia="Google Sans" w:hAnsi="Google Sans"/>
            <w:color w:val="0000ee"/>
            <w:sz w:val="24"/>
            <w:szCs w:val="24"/>
            <w:u w:val="single"/>
            <w:rtl w:val="0"/>
          </w:rPr>
          <w:t xml:space="preserve">https://www.hipaajournal.com/hipaa-encryption-requirements/</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Encryption - General Data Protection Regulation (GDPR), accessed March 20, 2026, </w:t>
      </w:r>
      <w:hyperlink r:id="rId71">
        <w:r w:rsidDel="00000000" w:rsidR="00000000" w:rsidRPr="00000000">
          <w:rPr>
            <w:rFonts w:ascii="Google Sans" w:cs="Google Sans" w:eastAsia="Google Sans" w:hAnsi="Google Sans"/>
            <w:color w:val="0000ee"/>
            <w:sz w:val="24"/>
            <w:szCs w:val="24"/>
            <w:u w:val="single"/>
            <w:rtl w:val="0"/>
          </w:rPr>
          <w:t xml:space="preserve">https://gdpr-info.eu/issues/encryption/</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creating mobile apps for data collection - Fulcrum, accessed March 20, 2026, </w:t>
      </w:r>
      <w:hyperlink r:id="rId72">
        <w:r w:rsidDel="00000000" w:rsidR="00000000" w:rsidRPr="00000000">
          <w:rPr>
            <w:rFonts w:ascii="Google Sans" w:cs="Google Sans" w:eastAsia="Google Sans" w:hAnsi="Google Sans"/>
            <w:color w:val="0000ee"/>
            <w:sz w:val="24"/>
            <w:szCs w:val="24"/>
            <w:u w:val="single"/>
            <w:rtl w:val="0"/>
          </w:rPr>
          <w:t xml:space="preserve">https://www.fulcrumapp.com/blog/best-practices-for-creating-mobile-apps-for-data-collection/</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Mobile Apps for Field Work: Key Considerations and Features - WizyVision, accessed March 20, 2026, </w:t>
      </w:r>
      <w:hyperlink r:id="rId73">
        <w:r w:rsidDel="00000000" w:rsidR="00000000" w:rsidRPr="00000000">
          <w:rPr>
            <w:rFonts w:ascii="Google Sans" w:cs="Google Sans" w:eastAsia="Google Sans" w:hAnsi="Google Sans"/>
            <w:color w:val="0000ee"/>
            <w:sz w:val="24"/>
            <w:szCs w:val="24"/>
            <w:u w:val="single"/>
            <w:rtl w:val="0"/>
          </w:rPr>
          <w:t xml:space="preserve">https://wizyvision.com/blog/how-to-design-mobile-apps</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Data-Driven Design for UX [2023] | Pragmatic Institute, accessed March 20, 2026, </w:t>
      </w:r>
      <w:hyperlink r:id="rId74">
        <w:r w:rsidDel="00000000" w:rsidR="00000000" w:rsidRPr="00000000">
          <w:rPr>
            <w:rFonts w:ascii="Google Sans" w:cs="Google Sans" w:eastAsia="Google Sans" w:hAnsi="Google Sans"/>
            <w:color w:val="0000ee"/>
            <w:sz w:val="24"/>
            <w:szCs w:val="24"/>
            <w:u w:val="single"/>
            <w:rtl w:val="0"/>
          </w:rPr>
          <w:t xml:space="preserve">https://www.pragmaticinstitute.com/resources/articles/design/best-practices-for-data-driven-design-for-ux-2023/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lixer.com/blog/ai-powered-anomaly-detection/" TargetMode="External"/><Relationship Id="rId42" Type="http://schemas.openxmlformats.org/officeDocument/2006/relationships/hyperlink" Target="https://www.mdpi.com/2073-4441/17/13/1933" TargetMode="External"/><Relationship Id="rId41" Type="http://schemas.openxmlformats.org/officeDocument/2006/relationships/hyperlink" Target="https://www.clutchevents.co/resources/ai-powered-anomaly-detection-in-user-access-patterns---enhancing-security-and-efficiency-in-hybrid-environments" TargetMode="External"/><Relationship Id="rId44" Type="http://schemas.openxmlformats.org/officeDocument/2006/relationships/hyperlink" Target="https://insight7.io/methods-of-monitoring-and-evaluation-for-development/" TargetMode="External"/><Relationship Id="rId43" Type="http://schemas.openxmlformats.org/officeDocument/2006/relationships/hyperlink" Target="https://www.giscloud.com/blog/field-data-collection-best-practices/" TargetMode="External"/><Relationship Id="rId46" Type="http://schemas.openxmlformats.org/officeDocument/2006/relationships/hyperlink" Target="https://www.sopact.com/use-case/results-framework" TargetMode="External"/><Relationship Id="rId45" Type="http://schemas.openxmlformats.org/officeDocument/2006/relationships/hyperlink" Target="https://www.getmaxim.ai/articles/top-5-tools-for-monitoring-ai-applications-in-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ademy.evalcommunity.com/the-best-mobile-apps-for-field-data-collection/" TargetMode="External"/><Relationship Id="rId48" Type="http://schemas.openxmlformats.org/officeDocument/2006/relationships/hyperlink" Target="https://tools4dev.org/blog/results-indicators-what-they-are-and-how-to-use-them/" TargetMode="External"/><Relationship Id="rId47" Type="http://schemas.openxmlformats.org/officeDocument/2006/relationships/hyperlink" Target="https://www.ndi.org/sites/default/files/Performance%20Monitoring%20and%20Evaluation%20Tips%20Building%20a%20Results%20Framework.pdf" TargetMode="External"/><Relationship Id="rId49" Type="http://schemas.openxmlformats.org/officeDocument/2006/relationships/hyperlink" Target="https://www.activityinfo.org/support/templates/global.html" TargetMode="External"/><Relationship Id="rId5" Type="http://schemas.openxmlformats.org/officeDocument/2006/relationships/styles" Target="styles.xml"/><Relationship Id="rId6" Type="http://schemas.openxmlformats.org/officeDocument/2006/relationships/hyperlink" Target="https://www.sopact.com/use-case/monitoring-and-evaluation-tools" TargetMode="External"/><Relationship Id="rId7" Type="http://schemas.openxmlformats.org/officeDocument/2006/relationships/hyperlink" Target="https://www.evalcommunity.com/career-development/me-platforms/" TargetMode="External"/><Relationship Id="rId8" Type="http://schemas.openxmlformats.org/officeDocument/2006/relationships/hyperlink" Target="https://www.surveycto.com/resources/surveycto-vs-others/" TargetMode="External"/><Relationship Id="rId73" Type="http://schemas.openxmlformats.org/officeDocument/2006/relationships/hyperlink" Target="https://wizyvision.com/blog/how-to-design-mobile-apps" TargetMode="External"/><Relationship Id="rId72" Type="http://schemas.openxmlformats.org/officeDocument/2006/relationships/hyperlink" Target="https://www.fulcrumapp.com/blog/best-practices-for-creating-mobile-apps-for-data-collection/" TargetMode="External"/><Relationship Id="rId31" Type="http://schemas.openxmlformats.org/officeDocument/2006/relationships/hyperlink" Target="https://www.tencentcloud.com/techpedia/135344" TargetMode="External"/><Relationship Id="rId30" Type="http://schemas.openxmlformats.org/officeDocument/2006/relationships/hyperlink" Target="https://neighbourhood.ie/blog/2025/03/26/offline-first-with-couchdb-and-pouchdb-in-2025" TargetMode="External"/><Relationship Id="rId74" Type="http://schemas.openxmlformats.org/officeDocument/2006/relationships/hyperlink" Target="https://www.pragmaticinstitute.com/resources/articles/design/best-practices-for-data-driven-design-for-ux-2023/" TargetMode="External"/><Relationship Id="rId33" Type="http://schemas.openxmlformats.org/officeDocument/2006/relationships/hyperlink" Target="https://www.tencentcloud.com/techpedia/142345" TargetMode="External"/><Relationship Id="rId32" Type="http://schemas.openxmlformats.org/officeDocument/2006/relationships/hyperlink" Target="https://stackoverflow.com/questions/39909401/best-approach-on-handling-large-dataset-for-offline-first-mobile-apps-pouchdb" TargetMode="External"/><Relationship Id="rId35" Type="http://schemas.openxmlformats.org/officeDocument/2006/relationships/hyperlink" Target="https://odown.com/blog/best-website-monitoring-tools-2025-comparison-buyers-guide/" TargetMode="External"/><Relationship Id="rId34" Type="http://schemas.openxmlformats.org/officeDocument/2006/relationships/hyperlink" Target="https://uptrace.dev/tools/end-to-end-monitoring-tools" TargetMode="External"/><Relationship Id="rId71" Type="http://schemas.openxmlformats.org/officeDocument/2006/relationships/hyperlink" Target="https://gdpr-info.eu/issues/encryption/" TargetMode="External"/><Relationship Id="rId70" Type="http://schemas.openxmlformats.org/officeDocument/2006/relationships/hyperlink" Target="https://www.hipaajournal.com/hipaa-encryption-requirements/" TargetMode="External"/><Relationship Id="rId37" Type="http://schemas.openxmlformats.org/officeDocument/2006/relationships/hyperlink" Target="https://www.montecarlodata.com/blog-best-quality-assessment-tools/" TargetMode="External"/><Relationship Id="rId36" Type="http://schemas.openxmlformats.org/officeDocument/2006/relationships/hyperlink" Target="https://www.fanruan.com/en/blog/top-10-data-quality-monitoring-tools" TargetMode="External"/><Relationship Id="rId39" Type="http://schemas.openxmlformats.org/officeDocument/2006/relationships/hyperlink" Target="https://academy.evalcommunity.com/top-ai-tools-for-monitoring-and-evaluation-in-2025/" TargetMode="External"/><Relationship Id="rId38" Type="http://schemas.openxmlformats.org/officeDocument/2006/relationships/hyperlink" Target="https://towardsdatascience.com/10-data-ai-observations-to-watch-in-fall-2025/" TargetMode="External"/><Relationship Id="rId62" Type="http://schemas.openxmlformats.org/officeDocument/2006/relationships/hyperlink" Target="https://iatistandard.org/en/iati-standard/upgrades/how-we-manage-the-standard/" TargetMode="External"/><Relationship Id="rId61" Type="http://schemas.openxmlformats.org/officeDocument/2006/relationships/hyperlink" Target="https://taylorandfrancis.com/knowledge/Engineering_and_technology/Computer_science/XML_Schema/" TargetMode="External"/><Relationship Id="rId20" Type="http://schemas.openxmlformats.org/officeDocument/2006/relationships/hyperlink" Target="https://docs.getodk.org/xlsform/" TargetMode="External"/><Relationship Id="rId64" Type="http://schemas.openxmlformats.org/officeDocument/2006/relationships/hyperlink" Target="https://www.iaticonnect.org/discussion/introducing-iati-python-library" TargetMode="External"/><Relationship Id="rId63" Type="http://schemas.openxmlformats.org/officeDocument/2006/relationships/hyperlink" Target="https://www.w3.org/TR/xmlschema-1/" TargetMode="External"/><Relationship Id="rId22" Type="http://schemas.openxmlformats.org/officeDocument/2006/relationships/hyperlink" Target="https://cartong.pages.gitlab.cartong.org/learning-corner/en/5_survey_design_mdc/5_6_form/5_6_3_skip_logic" TargetMode="External"/><Relationship Id="rId66" Type="http://schemas.openxmlformats.org/officeDocument/2006/relationships/hyperlink" Target="https://iatistandard.org/en/guidance/standard-overview/iati-reference/" TargetMode="External"/><Relationship Id="rId21" Type="http://schemas.openxmlformats.org/officeDocument/2006/relationships/hyperlink" Target="https://support.kobotoolbox.org/skip_logic_xls.html" TargetMode="External"/><Relationship Id="rId65" Type="http://schemas.openxmlformats.org/officeDocument/2006/relationships/hyperlink" Target="https://reference.codeforiati.org/namespaces-extensions/" TargetMode="External"/><Relationship Id="rId24" Type="http://schemas.openxmlformats.org/officeDocument/2006/relationships/hyperlink" Target="https://docs.getodk.org/central-api-openrosa-endpoints/" TargetMode="External"/><Relationship Id="rId68" Type="http://schemas.openxmlformats.org/officeDocument/2006/relationships/hyperlink" Target="https://www.evalcommunity.com/career-center/gdpr-and-monitoring-and-evaluation-me/" TargetMode="External"/><Relationship Id="rId23" Type="http://schemas.openxmlformats.org/officeDocument/2006/relationships/hyperlink" Target="https://dhis2.org/features/collect/" TargetMode="External"/><Relationship Id="rId67" Type="http://schemas.openxmlformats.org/officeDocument/2006/relationships/hyperlink" Target="https://www.chino.io/post/how-to-encrypt-health-data-for-gdpr-hipaa-compliance" TargetMode="External"/><Relationship Id="rId60" Type="http://schemas.openxmlformats.org/officeDocument/2006/relationships/hyperlink" Target="https://talk.openmrs.org/t/adding-new-model-objects-to-support-adx-format/2738" TargetMode="External"/><Relationship Id="rId26" Type="http://schemas.openxmlformats.org/officeDocument/2006/relationships/hyperlink" Target="https://docs.getodk.org/openrosa-form-submission/" TargetMode="External"/><Relationship Id="rId25" Type="http://schemas.openxmlformats.org/officeDocument/2006/relationships/hyperlink" Target="https://docs.getodk.org/openrosa/" TargetMode="External"/><Relationship Id="rId69" Type="http://schemas.openxmlformats.org/officeDocument/2006/relationships/hyperlink" Target="https://www.meddbase.com/clinic-management-software-uk/compliance-security/hipaa-gdpr/" TargetMode="External"/><Relationship Id="rId28" Type="http://schemas.openxmlformats.org/officeDocument/2006/relationships/hyperlink" Target="https://books.google.com/books/about/Offline_First_Mobile_Apps.html?id=rvXf0QEACAAJ" TargetMode="External"/><Relationship Id="rId27" Type="http://schemas.openxmlformats.org/officeDocument/2006/relationships/hyperlink" Target="https://medium.com/@hashbyt/the-ultimate-guide-to-offline-first-app-development-cfa7e9c36a52" TargetMode="External"/><Relationship Id="rId29" Type="http://schemas.openxmlformats.org/officeDocument/2006/relationships/hyperlink" Target="https://news.ycombinator.com/item?id=28995268" TargetMode="External"/><Relationship Id="rId51" Type="http://schemas.openxmlformats.org/officeDocument/2006/relationships/hyperlink" Target="https://www.activityinfo.org/blog/posts/2025-09-09-guide-to-creating-an-indicator-tracking-table.html" TargetMode="External"/><Relationship Id="rId50" Type="http://schemas.openxmlformats.org/officeDocument/2006/relationships/hyperlink" Target="https://www.evalcommunity.com/career-center/smart-indicators/" TargetMode="External"/><Relationship Id="rId53" Type="http://schemas.openxmlformats.org/officeDocument/2006/relationships/hyperlink" Target="https://aejonline.org/index.php/aej/article/view/783/1582" TargetMode="External"/><Relationship Id="rId52" Type="http://schemas.openxmlformats.org/officeDocument/2006/relationships/hyperlink" Target="https://www.servicenow.com/docs/r/washingtondc/now-intelligence/performance-analytics/t_CreateAnAutomatedIndicator.html" TargetMode="External"/><Relationship Id="rId11" Type="http://schemas.openxmlformats.org/officeDocument/2006/relationships/hyperlink" Target="https://www.teamscopeapp.com/mobile-data-collection-guide/7-mobile-data-collection-apps-for-field-research" TargetMode="External"/><Relationship Id="rId55" Type="http://schemas.openxmlformats.org/officeDocument/2006/relationships/hyperlink" Target="https://dhis2.org/health-data-toolkit/" TargetMode="External"/><Relationship Id="rId10" Type="http://schemas.openxmlformats.org/officeDocument/2006/relationships/hyperlink" Target="https://www.arqaam.org/resources/mobile-data-collection-applications/" TargetMode="External"/><Relationship Id="rId54" Type="http://schemas.openxmlformats.org/officeDocument/2006/relationships/hyperlink" Target="https://datastatresearch.com/courses/developing-output-indicators-in-m-e-training-course" TargetMode="External"/><Relationship Id="rId13" Type="http://schemas.openxmlformats.org/officeDocument/2006/relationships/hyperlink" Target="https://www.activityinfo.org/blog/posts/2022-10-05-complete-guide-for-project-level-monitoring-evaluation-database.html" TargetMode="External"/><Relationship Id="rId57" Type="http://schemas.openxmlformats.org/officeDocument/2006/relationships/hyperlink" Target="https://community.dhis2.org/t/send-data-to-dhis2-instance-from-r/52665" TargetMode="External"/><Relationship Id="rId12" Type="http://schemas.openxmlformats.org/officeDocument/2006/relationships/hyperlink" Target="https://www.sopact.com/use-case/longitudinal-data" TargetMode="External"/><Relationship Id="rId56" Type="http://schemas.openxmlformats.org/officeDocument/2006/relationships/hyperlink" Target="https://dhis2.org/features/extend/" TargetMode="External"/><Relationship Id="rId15" Type="http://schemas.openxmlformats.org/officeDocument/2006/relationships/hyperlink" Target="https://docs.getodk.org/entities-intro/" TargetMode="External"/><Relationship Id="rId59" Type="http://schemas.openxmlformats.org/officeDocument/2006/relationships/hyperlink" Target="https://github.com/dhis2/dhis2-docs/blob/master/src/developer/web-api/metadata.md" TargetMode="External"/><Relationship Id="rId14" Type="http://schemas.openxmlformats.org/officeDocument/2006/relationships/hyperlink" Target="https://hivimpsci.northwestern.edu/longitudinal-implementation-strategy-tracking-system/" TargetMode="External"/><Relationship Id="rId58" Type="http://schemas.openxmlformats.org/officeDocument/2006/relationships/hyperlink" Target="https://www.scribd.com/document/750440938/Dhis2-Developer-Manual" TargetMode="External"/><Relationship Id="rId17" Type="http://schemas.openxmlformats.org/officeDocument/2006/relationships/hyperlink" Target="https://enketo.org/openrosa/" TargetMode="External"/><Relationship Id="rId16" Type="http://schemas.openxmlformats.org/officeDocument/2006/relationships/hyperlink" Target="https://confluence.dimagi.com/display/commcarepublic/Case+Management" TargetMode="External"/><Relationship Id="rId19" Type="http://schemas.openxmlformats.org/officeDocument/2006/relationships/hyperlink" Target="https://www.youtube.com/watch?v=ydgZuqGy430" TargetMode="External"/><Relationship Id="rId18" Type="http://schemas.openxmlformats.org/officeDocument/2006/relationships/hyperlink" Target="https://xlsform.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