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p>
    <w:p w:rsidR="00000000" w:rsidDel="00000000" w:rsidP="00000000" w:rsidRDefault="00000000" w:rsidRPr="00000000" w14:paraId="0000000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controls assessment checklist, refer to the information provided in the </w:t>
      </w:r>
      <w:hyperlink r:id="rId6">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control, including the type and purpose, refer to the </w:t>
      </w:r>
      <w:hyperlink r:id="rId7">
        <w:r w:rsidDel="00000000" w:rsidR="00000000" w:rsidRPr="00000000">
          <w:rPr>
            <w:rFonts w:ascii="Google Sans" w:cs="Google Sans" w:eastAsia="Google Sans" w:hAnsi="Google Sans"/>
            <w:color w:val="1155cc"/>
            <w:sz w:val="24"/>
            <w:szCs w:val="24"/>
            <w:u w:val="single"/>
            <w:rtl w:val="0"/>
          </w:rPr>
          <w:t xml:space="preserve">control categories</w:t>
        </w:r>
      </w:hyperlink>
      <w:r w:rsidDel="00000000" w:rsidR="00000000" w:rsidRPr="00000000">
        <w:rPr>
          <w:rFonts w:ascii="Google Sans" w:cs="Google Sans" w:eastAsia="Google Sans" w:hAnsi="Google Sans"/>
          <w:sz w:val="24"/>
          <w:szCs w:val="24"/>
          <w:rtl w:val="0"/>
        </w:rPr>
        <w:t xml:space="preserve"> document.</w:t>
      </w:r>
    </w:p>
    <w:p w:rsidR="00000000" w:rsidDel="00000000" w:rsidP="00000000" w:rsidRDefault="00000000" w:rsidRPr="00000000" w14:paraId="00000004">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have this control in place? </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Least Privilege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r>
    </w:tbl>
    <w:p w:rsidR="00000000" w:rsidDel="00000000" w:rsidP="00000000" w:rsidRDefault="00000000" w:rsidRPr="00000000" w14:paraId="00000037">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complete the compliance checklist, refer to the information provided in the </w:t>
      </w:r>
      <w:hyperlink r:id="rId8">
        <w:r w:rsidDel="00000000" w:rsidR="00000000" w:rsidRPr="00000000">
          <w:rPr>
            <w:rFonts w:ascii="Google Sans" w:cs="Google Sans" w:eastAsia="Google Sans" w:hAnsi="Google Sans"/>
            <w:color w:val="1155cc"/>
            <w:sz w:val="24"/>
            <w:szCs w:val="24"/>
            <w:u w:val="single"/>
            <w:rtl w:val="0"/>
          </w:rPr>
          <w:t xml:space="preserve">scope, goals, and risk assessment report</w:t>
        </w:r>
      </w:hyperlink>
      <w:r w:rsidDel="00000000" w:rsidR="00000000" w:rsidRPr="00000000">
        <w:rPr>
          <w:rFonts w:ascii="Google Sans" w:cs="Google Sans" w:eastAsia="Google Sans" w:hAnsi="Google Sans"/>
          <w:sz w:val="24"/>
          <w:szCs w:val="24"/>
          <w:rtl w:val="0"/>
        </w:rPr>
        <w:t xml:space="preserve">. For more details about each compliance regulation, review the </w:t>
      </w:r>
      <w:hyperlink r:id="rId9">
        <w:r w:rsidDel="00000000" w:rsidR="00000000" w:rsidRPr="00000000">
          <w:rPr>
            <w:rFonts w:ascii="Google Sans" w:cs="Google Sans" w:eastAsia="Google Sans" w:hAnsi="Google Sans"/>
            <w:color w:val="1155cc"/>
            <w:sz w:val="24"/>
            <w:szCs w:val="24"/>
            <w:u w:val="single"/>
            <w:rtl w:val="0"/>
          </w:rPr>
          <w:t xml:space="preserve">controls, frameworks, and compliance</w:t>
        </w:r>
      </w:hyperlink>
      <w:r w:rsidDel="00000000" w:rsidR="00000000" w:rsidRPr="00000000">
        <w:rPr>
          <w:rFonts w:ascii="Google Sans" w:cs="Google Sans" w:eastAsia="Google Sans" w:hAnsi="Google Sans"/>
          <w:sz w:val="24"/>
          <w:szCs w:val="24"/>
          <w:rtl w:val="0"/>
        </w:rPr>
        <w:t xml:space="preserve"> reading.</w:t>
      </w:r>
    </w:p>
    <w:p w:rsidR="00000000" w:rsidDel="00000000" w:rsidP="00000000" w:rsidRDefault="00000000" w:rsidRPr="00000000" w14:paraId="0000003B">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C">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Then, 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p>
    <w:p w:rsidR="00000000" w:rsidDel="00000000" w:rsidP="00000000" w:rsidRDefault="00000000" w:rsidRPr="00000000" w14:paraId="0000003D">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3E">
      <w:pPr>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Compliance checklist</w:t>
      </w:r>
      <w:r w:rsidDel="00000000" w:rsidR="00000000" w:rsidRPr="00000000">
        <w:rPr>
          <w:rtl w:val="0"/>
        </w:rPr>
      </w:r>
    </w:p>
    <w:p w:rsidR="00000000" w:rsidDel="00000000" w:rsidP="00000000" w:rsidRDefault="00000000" w:rsidRPr="00000000" w14:paraId="0000003F">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0">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stored, accepted, processed, and transmitted internally, in a secure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r>
    </w:tbl>
    <w:p w:rsidR="00000000" w:rsidDel="00000000" w:rsidP="00000000" w:rsidRDefault="00000000" w:rsidRPr="00000000" w14:paraId="00000050">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1">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52">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7515"/>
        <w:tblGridChange w:id="0">
          <w:tblGrid>
            <w:gridCol w:w="900"/>
            <w:gridCol w:w="9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7515"/>
        <w:tblGridChange w:id="0">
          <w:tblGrid>
            <w:gridCol w:w="930"/>
            <w:gridCol w:w="91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r>
    </w:tbl>
    <w:p w:rsidR="00000000" w:rsidDel="00000000" w:rsidP="00000000" w:rsidRDefault="00000000" w:rsidRPr="00000000" w14:paraId="00000074">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5">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is </w:t>
      </w:r>
      <w:r w:rsidDel="00000000" w:rsidR="00000000" w:rsidRPr="00000000">
        <w:rPr>
          <w:rFonts w:ascii="Google Sans" w:cs="Google Sans" w:eastAsia="Google Sans" w:hAnsi="Google Sans"/>
          <w:i w:val="1"/>
          <w:iCs w:val="1"/>
          <w:sz w:val="24"/>
          <w:szCs w:val="24"/>
          <w:rtl w:val="0"/>
        </w:rPr>
        <w:t xml:space="preserve">optional</w:t>
      </w:r>
      <w:r w:rsidDel="00000000" w:rsidR="00000000" w:rsidRPr="00000000">
        <w:rPr>
          <w:rFonts w:ascii="Google Sans" w:cs="Google Sans" w:eastAsia="Google Sans" w:hAnsi="Google Sans"/>
          <w:sz w:val="24"/>
          <w:szCs w:val="24"/>
          <w:rtl w:val="0"/>
        </w:rPr>
        <w:t xml:space="preserve"> and can be used to provide a summary of recommendations to the IT manager regarding which controls and/or compliance best practices Botium Toys needs to implement, based on the risk posed if not implemented in a timely manner.</w:t>
      </w:r>
    </w:p>
    <w:p w:rsidR="00000000" w:rsidDel="00000000" w:rsidP="00000000" w:rsidRDefault="00000000" w:rsidRPr="00000000" w14:paraId="00000077">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(optional): </w:t>
      </w:r>
      <w:r w:rsidDel="00000000" w:rsidR="00000000" w:rsidRPr="00000000">
        <w:rPr>
          <w:rFonts w:ascii="Google Sans" w:cs="Google Sans" w:eastAsia="Google Sans" w:hAnsi="Google Sans"/>
          <w:sz w:val="24"/>
          <w:szCs w:val="24"/>
          <w:rtl w:val="0"/>
        </w:rPr>
        <w:t xml:space="preserve"> Multiple controls need to be implemented to improve Botium Toys’ security posture and better ensure the confidentiality of sensitive information, including: Least Privilege, disaster recovery plans, password policies, separation of duties, an IDS, ongoing legacy system management, encryption, and a password management system.</w:t>
      </w:r>
    </w:p>
    <w:p w:rsidR="00000000" w:rsidDel="00000000" w:rsidP="00000000" w:rsidRDefault="00000000" w:rsidRPr="00000000" w14:paraId="00000078">
      <w:pPr>
        <w:spacing w:after="240" w:before="240" w:line="360" w:lineRule="auto"/>
        <w:rPr/>
      </w:pPr>
      <w:r w:rsidDel="00000000" w:rsidR="00000000" w:rsidRPr="00000000">
        <w:rPr>
          <w:rFonts w:ascii="Google Sans" w:cs="Google Sans" w:eastAsia="Google Sans" w:hAnsi="Google Sans"/>
          <w:sz w:val="24"/>
          <w:szCs w:val="24"/>
          <w:rtl w:val="0"/>
        </w:rPr>
        <w:t xml:space="preserve"> To address gaps in compliance, Botium Toys needs to implement controls such as Least Privilege, separation of duties, and encryption. The company also needs to properly classify assets, to identify additional controls that may need to be implemented to improve their security posture and better protect sensitive information.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ursera.org/learn/foundations-of-cybersecurity/supplement/xu4pr/controls-frameworks-and-compliance" TargetMode="External"/><Relationship Id="rId5" Type="http://schemas.openxmlformats.org/officeDocument/2006/relationships/styles" Target="styles.xml"/><Relationship Id="rId6" Type="http://schemas.openxmlformats.org/officeDocument/2006/relationships/hyperlink" Target="https://docs.google.com/document/d/1s2u_RuhRAI40JSh-eZHvaFsV1ZMxcNSWXifHDTOsgFc/template/preview#heading=h.evidx83t54sc" TargetMode="External"/><Relationship Id="rId7" Type="http://schemas.openxmlformats.org/officeDocument/2006/relationships/hyperlink" Target="https://docs.google.com/document/d/1btezuy_bMKWoK8pd97ZuzdWB9y6au_zfkrpkfVf8ktI/template/preview" TargetMode="External"/><Relationship Id="rId8" Type="http://schemas.openxmlformats.org/officeDocument/2006/relationships/hyperlink" Target="https://docs.google.com/document/d/1s2u_RuhRAI40JSh-eZHvaFsV1ZMxcNSWXifHDTOsgFc/template/previe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