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848B13" w14:textId="77777777" w:rsidR="00A65E7C" w:rsidRDefault="000E3A70" w:rsidP="000E3A70">
      <w:pPr>
        <w:jc w:val="center"/>
      </w:pPr>
      <w:r>
        <w:t>Example of a Monitoring Analysis</w:t>
      </w:r>
    </w:p>
    <w:p w14:paraId="368A899F" w14:textId="538C15C9" w:rsidR="00E9758B" w:rsidRDefault="00E9758B" w:rsidP="00E9758B">
      <w:pPr>
        <w:jc w:val="center"/>
      </w:pPr>
      <w:r>
        <w:t>Quirk Watershed</w:t>
      </w:r>
    </w:p>
    <w:p w14:paraId="4A3AF9C0" w14:textId="7E2CE7FE" w:rsidR="00E9758B" w:rsidRDefault="00E9758B" w:rsidP="00E9758B">
      <w:pPr>
        <w:jc w:val="center"/>
      </w:pPr>
      <w:r>
        <w:t>2017-03-</w:t>
      </w:r>
      <w:r w:rsidR="00454114">
        <w:t>08</w:t>
      </w:r>
    </w:p>
    <w:p w14:paraId="402CB475" w14:textId="77777777" w:rsidR="00E9758B" w:rsidRDefault="00E9758B" w:rsidP="00E9758B">
      <w:pPr>
        <w:jc w:val="center"/>
      </w:pPr>
    </w:p>
    <w:p w14:paraId="39CCF212" w14:textId="066F7EA0" w:rsidR="00D3447D" w:rsidRDefault="00D3447D" w:rsidP="00E9758B">
      <w:pPr>
        <w:jc w:val="center"/>
      </w:pPr>
      <w:r>
        <w:t>Carl James Schwarz</w:t>
      </w:r>
    </w:p>
    <w:p w14:paraId="29399DCC" w14:textId="7130174C" w:rsidR="00E9758B" w:rsidRDefault="00E9758B" w:rsidP="00E9758B">
      <w:pPr>
        <w:jc w:val="center"/>
      </w:pPr>
      <w:r>
        <w:t>cschwarz@stat.sfu.ca</w:t>
      </w:r>
    </w:p>
    <w:p w14:paraId="226754E2" w14:textId="77777777" w:rsidR="00E9758B" w:rsidRDefault="00E9758B" w:rsidP="00E9758B">
      <w:pPr>
        <w:jc w:val="center"/>
      </w:pPr>
    </w:p>
    <w:p w14:paraId="7D55138E" w14:textId="77777777" w:rsidR="000E3A70" w:rsidRDefault="000E3A70" w:rsidP="000E3A70">
      <w:r>
        <w:t>I used the Quirk Creek watershed as an example of the type of analysis for</w:t>
      </w:r>
      <w:r w:rsidR="00D44331">
        <w:t xml:space="preserve"> </w:t>
      </w:r>
      <w:r>
        <w:t>seen for you projects.</w:t>
      </w:r>
    </w:p>
    <w:p w14:paraId="43DC1D8E" w14:textId="77777777" w:rsidR="000E3A70" w:rsidRDefault="000E3A70" w:rsidP="000E3A70"/>
    <w:p w14:paraId="6E66AADF" w14:textId="77777777" w:rsidR="000E3A70" w:rsidRDefault="000E3A70" w:rsidP="000E3A70">
      <w:r>
        <w:t>Data was collected on CPUE (fish/300m2)</w:t>
      </w:r>
      <w:r w:rsidR="00D44331">
        <w:rPr>
          <w:rStyle w:val="FootnoteReference"/>
        </w:rPr>
        <w:footnoteReference w:id="1"/>
      </w:r>
      <w:r>
        <w:t xml:space="preserve"> from 1995 to 2014 (except for a break in 2001) at two sites in the watershed (LW and UW) for three species (BKTR, CTTR, and BLTR).</w:t>
      </w:r>
    </w:p>
    <w:p w14:paraId="17C29941" w14:textId="77777777" w:rsidR="002A6461" w:rsidRDefault="002A6461" w:rsidP="000E3A70"/>
    <w:p w14:paraId="549AF665" w14:textId="7E699DA1" w:rsidR="002A6461" w:rsidRDefault="002A6461" w:rsidP="000E3A70">
      <w:r>
        <w:t>FSI thresholds were read off a graph provided in the conference call and are:</w:t>
      </w:r>
    </w:p>
    <w:p w14:paraId="1626E957" w14:textId="3818C2BB" w:rsidR="002A6461" w:rsidRPr="002A6461" w:rsidRDefault="002A6461" w:rsidP="002A6461">
      <w:pPr>
        <w:ind w:left="720"/>
        <w:rPr>
          <w:rFonts w:ascii="Courier" w:hAnsi="Courier"/>
        </w:rPr>
      </w:pPr>
      <w:r>
        <w:rPr>
          <w:rFonts w:ascii="Courier" w:hAnsi="Courier"/>
        </w:rPr>
        <w:t>FSI.cat,</w:t>
      </w:r>
      <w:r w:rsidRPr="002A6461">
        <w:rPr>
          <w:rFonts w:ascii="Courier" w:hAnsi="Courier"/>
        </w:rPr>
        <w:t>lower, upper</w:t>
      </w:r>
    </w:p>
    <w:p w14:paraId="6DD26E5E" w14:textId="19B0FF26" w:rsidR="002A6461" w:rsidRPr="002A6461" w:rsidRDefault="002A6461" w:rsidP="002A6461">
      <w:pPr>
        <w:ind w:left="720"/>
        <w:rPr>
          <w:rFonts w:ascii="Courier" w:hAnsi="Courier"/>
        </w:rPr>
      </w:pPr>
      <w:r>
        <w:rPr>
          <w:rFonts w:ascii="Courier" w:hAnsi="Courier"/>
        </w:rPr>
        <w:t xml:space="preserve">1, VHR,   0,  </w:t>
      </w:r>
      <w:r w:rsidRPr="002A6461">
        <w:rPr>
          <w:rFonts w:ascii="Courier" w:hAnsi="Courier"/>
        </w:rPr>
        <w:t>35</w:t>
      </w:r>
    </w:p>
    <w:p w14:paraId="3CE0FC18" w14:textId="77777777" w:rsidR="002A6461" w:rsidRPr="002A6461" w:rsidRDefault="002A6461" w:rsidP="002A6461">
      <w:pPr>
        <w:ind w:left="720"/>
        <w:rPr>
          <w:rFonts w:ascii="Courier" w:hAnsi="Courier"/>
        </w:rPr>
      </w:pPr>
      <w:r w:rsidRPr="002A6461">
        <w:rPr>
          <w:rFonts w:ascii="Courier" w:hAnsi="Courier"/>
        </w:rPr>
        <w:t>2,  HR,  35,  90</w:t>
      </w:r>
    </w:p>
    <w:p w14:paraId="1E33E695" w14:textId="77777777" w:rsidR="002A6461" w:rsidRPr="002A6461" w:rsidRDefault="002A6461" w:rsidP="002A6461">
      <w:pPr>
        <w:ind w:left="720"/>
        <w:rPr>
          <w:rFonts w:ascii="Courier" w:hAnsi="Courier"/>
        </w:rPr>
      </w:pPr>
      <w:r w:rsidRPr="002A6461">
        <w:rPr>
          <w:rFonts w:ascii="Courier" w:hAnsi="Courier"/>
        </w:rPr>
        <w:t>3,  MR,  90, 120</w:t>
      </w:r>
    </w:p>
    <w:p w14:paraId="4821AF01" w14:textId="77777777" w:rsidR="002A6461" w:rsidRPr="002A6461" w:rsidRDefault="002A6461" w:rsidP="002A6461">
      <w:pPr>
        <w:ind w:left="720"/>
        <w:rPr>
          <w:rFonts w:ascii="Courier" w:hAnsi="Courier"/>
        </w:rPr>
      </w:pPr>
      <w:r w:rsidRPr="002A6461">
        <w:rPr>
          <w:rFonts w:ascii="Courier" w:hAnsi="Courier"/>
        </w:rPr>
        <w:t>4,  LR, 120, 170</w:t>
      </w:r>
    </w:p>
    <w:p w14:paraId="57EB7162" w14:textId="475848CD" w:rsidR="002A6461" w:rsidRPr="002A6461" w:rsidRDefault="002A6461" w:rsidP="002A6461">
      <w:pPr>
        <w:ind w:left="720"/>
        <w:rPr>
          <w:rFonts w:ascii="Courier" w:hAnsi="Courier"/>
        </w:rPr>
      </w:pPr>
      <w:r>
        <w:rPr>
          <w:rFonts w:ascii="Courier" w:hAnsi="Courier"/>
        </w:rPr>
        <w:t>5, VLR, 170, 3000</w:t>
      </w:r>
    </w:p>
    <w:p w14:paraId="73B6287E" w14:textId="77777777" w:rsidR="000E3A70" w:rsidRDefault="000E3A70" w:rsidP="000E3A70"/>
    <w:p w14:paraId="59F84064" w14:textId="77777777" w:rsidR="008876A9" w:rsidRDefault="008876A9" w:rsidP="000E3A70">
      <w:r>
        <w:t>A plot of the raw data is:</w:t>
      </w:r>
    </w:p>
    <w:p w14:paraId="6BBD0A48" w14:textId="0C47A7A6" w:rsidR="00FC1AC0" w:rsidRDefault="00FC1AC0" w:rsidP="000E3A70">
      <w:r>
        <w:rPr>
          <w:noProof/>
        </w:rPr>
        <w:drawing>
          <wp:inline distT="0" distB="0" distL="0" distR="0" wp14:anchorId="33F753B0" wp14:editId="3A111E14">
            <wp:extent cx="5270500" cy="351345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raw-trend.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r>
        <w:t xml:space="preserve">Figure 1. Observed density in Quirk watershed. </w:t>
      </w:r>
      <w:r w:rsidR="000E3A70">
        <w:t xml:space="preserve"> </w:t>
      </w:r>
    </w:p>
    <w:p w14:paraId="15175ECD" w14:textId="77777777" w:rsidR="00FC1AC0" w:rsidRDefault="00FC1AC0" w:rsidP="000E3A70"/>
    <w:p w14:paraId="66BEDF0E" w14:textId="438014DF" w:rsidR="00FC1AC0" w:rsidRDefault="008876A9" w:rsidP="000E3A70">
      <w:r>
        <w:t>There is a variation between the sites, and some consistency in year effects. For example, in 2011 most densities appear to be elevated.</w:t>
      </w:r>
    </w:p>
    <w:p w14:paraId="3E9AB8C2" w14:textId="77777777" w:rsidR="008876A9" w:rsidRDefault="008876A9" w:rsidP="000E3A70"/>
    <w:p w14:paraId="5C6620D2" w14:textId="04F4D435" w:rsidR="008876A9" w:rsidRDefault="008876A9" w:rsidP="000E3A70">
      <w:r>
        <w:t>A plot of the standard deviation (between the sites in a year) vs. the mean of the two sites in a year shows a pattern where the standard deviation increases with the mean. This is quite common when measuring abundance and indicates that a log-normal distribution will be good description of the distribution of measured densities among sites within a year. One of the properties of the log-normal distribution is that large outliers are quite common. To account for the impact of these large outliers on the mean across the sites in a year, the MEDIAN is preferred measure of overall trend. The median is the point where 50% of the values (measurements at sites) are predicted to be above and 50% of the values  are predicted to be below. [With only two sites measured per year, the median is not well estimated!]. If the underlying distribution of readings follows a log-normal distribution, then the median can be estimated by the geometric mean of the raw observations.</w:t>
      </w:r>
    </w:p>
    <w:p w14:paraId="4B2FD46A" w14:textId="77777777" w:rsidR="008876A9" w:rsidRDefault="008876A9" w:rsidP="000E3A70"/>
    <w:p w14:paraId="3F7DA5BC" w14:textId="11A81725" w:rsidR="008876A9" w:rsidRDefault="008876A9" w:rsidP="008876A9">
      <w:pPr>
        <w:pStyle w:val="ListParagraph"/>
        <w:numPr>
          <w:ilvl w:val="0"/>
          <w:numId w:val="1"/>
        </w:numPr>
      </w:pPr>
      <w:r>
        <w:t>Probability that the watershed is in each FSI category based on individual years.</w:t>
      </w:r>
    </w:p>
    <w:p w14:paraId="7822747B" w14:textId="77777777" w:rsidR="00FC1AC0" w:rsidRDefault="00FC1AC0" w:rsidP="008876A9">
      <w:r>
        <w:t xml:space="preserve">From Figure 1, we see that the individual density measurements for BLTR are all close to zero and always within the first FSI category. The measurements for CTTR are more variable with the measurements at UP tending to be higher than the measurements at LW, but the median density between the two sites is mostly in the bottom FSI category except perhaps in 2011. </w:t>
      </w:r>
    </w:p>
    <w:p w14:paraId="6EB5DF2D" w14:textId="77777777" w:rsidR="00FC1AC0" w:rsidRDefault="00FC1AC0" w:rsidP="008876A9"/>
    <w:p w14:paraId="524BE4C7" w14:textId="4E3D12DE" w:rsidR="008876A9" w:rsidRDefault="00FC1AC0" w:rsidP="008876A9">
      <w:r>
        <w:t>It seems natural to ask – what is the “probability that the median density is in each category”. This cannot be answered with classical statistic (mean and confidence intervals) because the actual category membership is fixed (non probabilistic) in any one year</w:t>
      </w:r>
      <w:r w:rsidR="007160A1">
        <w:rPr>
          <w:rStyle w:val="FootnoteReference"/>
        </w:rPr>
        <w:footnoteReference w:id="2"/>
      </w:r>
      <w:r>
        <w:t>. A Bayesian analysis comes to the rescue. A Bayesian would change the question slightly to “what is the belief that the median density is in each category”. The change is crucial, because belief can be expressed in a probabilistic framework.</w:t>
      </w:r>
    </w:p>
    <w:p w14:paraId="17D831C7" w14:textId="77777777" w:rsidR="00A65E7C" w:rsidRDefault="00A65E7C" w:rsidP="008876A9"/>
    <w:p w14:paraId="0C5AADDC" w14:textId="77777777" w:rsidR="00034603" w:rsidRDefault="00034603" w:rsidP="008876A9">
      <w:r>
        <w:t>An intuitive explanation for the process is as follows. For each year, estimate the parameters that describe that year’s distribution of density across the sites. If a log-normal distribution is assumed, the parameters are the log(median density) and the standard deviation on the log-scale across ALL possible sites. These value are estimated based (on this case) the two observed sites. Estimate the sampling distribution for the log(median) for ALL sites based on these values. A sampling distribution gives the distribution of plausible values for the log(median) for ALL sites. [A confidence interval can be computed from this sampling distribution but is not used.]. A Bayesian then says that the sampling distribution is interpreted as your belief in the distribution of the log(median) for all sites. Consequently, compute what fraction of the sampling distribution lies between the FSI boundaries and that is your belief (probability) that the median density is in each category.</w:t>
      </w:r>
    </w:p>
    <w:p w14:paraId="78FD5A5D" w14:textId="77777777" w:rsidR="00034603" w:rsidRDefault="00034603" w:rsidP="008876A9"/>
    <w:p w14:paraId="6C4B47B7" w14:textId="77777777" w:rsidR="00C83293" w:rsidRDefault="00C83293" w:rsidP="008876A9">
      <w:r>
        <w:t xml:space="preserve">The actually fitting process cannot be done by hand and requires a method called MCMC to do the Bayesian analysis. As part of  the output from an MCMC analysis, are quantities such as the probability (belief) that the median is in each category. </w:t>
      </w:r>
    </w:p>
    <w:p w14:paraId="0C47479E" w14:textId="77777777" w:rsidR="00C83293" w:rsidRDefault="00C83293" w:rsidP="008876A9"/>
    <w:p w14:paraId="5E60DB62" w14:textId="77777777" w:rsidR="00C83293" w:rsidRDefault="00C83293" w:rsidP="008876A9">
      <w:r>
        <w:t>A program was written in BUGS – a standard language for Bayesian analysis and run using JAGS (a program to do Bayesian analysis) from R (an open source statistical software package). All of these programs are available free of charge and can run on a standard desktop computer in a few seconds.</w:t>
      </w:r>
    </w:p>
    <w:p w14:paraId="0C436C50" w14:textId="77777777" w:rsidR="00C83293" w:rsidRDefault="00C83293" w:rsidP="008876A9"/>
    <w:p w14:paraId="119EE01A" w14:textId="77777777" w:rsidR="00C83293" w:rsidRDefault="00C83293" w:rsidP="008876A9">
      <w:r>
        <w:t>The actual analysis needs to account for several sources of variation</w:t>
      </w:r>
    </w:p>
    <w:p w14:paraId="5F443720" w14:textId="5ED88254" w:rsidR="00A65E7C" w:rsidRDefault="00C83293" w:rsidP="008876A9">
      <w:r>
        <w:t xml:space="preserve">(a) </w:t>
      </w:r>
      <w:r w:rsidR="00556E32">
        <w:t xml:space="preserve">Site-specific effects. Notice in Figure 1, that the counts for site UP tend to larger than the counts for LW. This is due to site specific factors that are currently unknown and are called random effects. If the site-specific factors are thought </w:t>
      </w:r>
      <w:r w:rsidR="0052255D">
        <w:t>to be related to covar</w:t>
      </w:r>
      <w:r w:rsidR="00556E32">
        <w:t>iates of the site (e.g. water temperature), these can be included in the analysis.</w:t>
      </w:r>
      <w:r w:rsidR="00034603">
        <w:t xml:space="preserve"> </w:t>
      </w:r>
    </w:p>
    <w:p w14:paraId="248066A2" w14:textId="0347FEBE" w:rsidR="00556E32" w:rsidRDefault="00556E32" w:rsidP="008876A9">
      <w:r>
        <w:t xml:space="preserve">(b) </w:t>
      </w:r>
      <w:r w:rsidR="006E387D">
        <w:t>Year-specific factors Notice that in 2011, most counts took an upward tick. Again, the cause of these year-specific factors is unknown but if covariates are available (e.g. total precipitation), these can be included. We again assume that year-specific factors are random effects.</w:t>
      </w:r>
    </w:p>
    <w:p w14:paraId="015FB71B" w14:textId="505079B1" w:rsidR="006E387D" w:rsidRDefault="006E387D" w:rsidP="008876A9">
      <w:r>
        <w:t>(c) Noise (or residual variation). Notice that while the site UP tends to have higher densities than the site LW across years, that the difference is not consistent. We also assume that residual variation is random.</w:t>
      </w:r>
    </w:p>
    <w:p w14:paraId="7C046981" w14:textId="77777777" w:rsidR="006E387D" w:rsidRDefault="006E387D" w:rsidP="008876A9"/>
    <w:p w14:paraId="3A596793" w14:textId="61CC3850" w:rsidR="006E387D" w:rsidRDefault="0052255D" w:rsidP="008876A9">
      <w:r>
        <w:t>A model was fit allowing for all of these sources o</w:t>
      </w:r>
      <w:r w:rsidR="00214B40">
        <w:t>f variation and the results are shown in Figure 2.</w:t>
      </w:r>
    </w:p>
    <w:p w14:paraId="595CBD55" w14:textId="56B7906B" w:rsidR="0052255D" w:rsidRDefault="0052255D" w:rsidP="008876A9">
      <w:r>
        <w:rPr>
          <w:noProof/>
        </w:rPr>
        <w:drawing>
          <wp:inline distT="0" distB="0" distL="0" distR="0" wp14:anchorId="5B2C4657" wp14:editId="59C47E47">
            <wp:extent cx="5270500" cy="351345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osterior-simple.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622D59F5" w14:textId="00E108FD" w:rsidR="0052255D" w:rsidRDefault="0052255D" w:rsidP="008876A9">
      <w:r>
        <w:t xml:space="preserve">Figure 2. Estimated posterior (after the Bayesian analysis) plot of the fitted median (blue line) and belief about possible values (black dots) for each species in each year. </w:t>
      </w:r>
    </w:p>
    <w:p w14:paraId="330CC435" w14:textId="77777777" w:rsidR="0052255D" w:rsidRDefault="0052255D" w:rsidP="008876A9"/>
    <w:p w14:paraId="72993A5D" w14:textId="34D36D15" w:rsidR="00214B40" w:rsidRDefault="00214B40" w:rsidP="008876A9">
      <w:r>
        <w:t>Consider species BLTR. The fitted line (blue) never ventures outside of the lowest FSI category, but given the small sample sizes, it is very slightly possible that the median may fall in the next category (shown by a faint smudge in 2007).</w:t>
      </w:r>
    </w:p>
    <w:p w14:paraId="51293497" w14:textId="77777777" w:rsidR="00214B40" w:rsidRDefault="00214B40" w:rsidP="008876A9"/>
    <w:p w14:paraId="2E0C8B82" w14:textId="6D0D3C37" w:rsidR="00214B40" w:rsidRDefault="00214B40" w:rsidP="008876A9">
      <w:r>
        <w:t xml:space="preserve">Consider species CTTR. The fitted median is mostly above the cutoff for the first category, but the black smudges indicate a high belief that it could still b in the lowest category. If you look at Figure 1, you see that the two sites straddle the boundary between the first two FSI categories. In particular, in 2009 both sites had readings below the first threshold, but the fitted line (Figure 2) is above the threshold. What happens is that the model looks at the relationship between the two sites over all of the years. The gap between the two sites is often larger than observed in 2009. Consequently, the model believe that the closeness of the two sites in 2009 is due to random change and takes that into account when fitting the model. </w:t>
      </w:r>
    </w:p>
    <w:p w14:paraId="0437D5AF" w14:textId="77777777" w:rsidR="00214B40" w:rsidRDefault="00214B40" w:rsidP="008876A9"/>
    <w:p w14:paraId="2FCBF92D" w14:textId="3C2E5999" w:rsidR="00214B40" w:rsidRDefault="00214B40" w:rsidP="008876A9">
      <w:r>
        <w:t xml:space="preserve">This sharing of information is a prime reason why Bayesian models work well in these context when there are small sample sizes in all years. </w:t>
      </w:r>
    </w:p>
    <w:p w14:paraId="3F22FC1A" w14:textId="77777777" w:rsidR="00214B40" w:rsidRDefault="00214B40" w:rsidP="008876A9"/>
    <w:p w14:paraId="5930087D" w14:textId="1D0092C2" w:rsidR="00214B40" w:rsidRDefault="00214B40" w:rsidP="008876A9">
      <w:r>
        <w:t>The probability that the median is in each FSI category is shown in Figure 3.</w:t>
      </w:r>
    </w:p>
    <w:p w14:paraId="22C28F4F" w14:textId="424CFE20" w:rsidR="00214B40" w:rsidRDefault="00EB6929" w:rsidP="008876A9">
      <w:r>
        <w:rPr>
          <w:noProof/>
        </w:rPr>
        <w:drawing>
          <wp:inline distT="0" distB="0" distL="0" distR="0" wp14:anchorId="1EBDDEF4" wp14:editId="50247B36">
            <wp:extent cx="5270500" cy="35134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rob-cat-simple.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7B60F1CD" w14:textId="2FD38494" w:rsidR="00214B40" w:rsidRDefault="00EB6929" w:rsidP="008876A9">
      <w:r>
        <w:t>Figure 3. Posterior beliefs about belonging to each FSI category.</w:t>
      </w:r>
    </w:p>
    <w:p w14:paraId="2297ACF9" w14:textId="77777777" w:rsidR="00EB6929" w:rsidRDefault="00EB6929" w:rsidP="008876A9"/>
    <w:p w14:paraId="6091FD7A" w14:textId="6556B822" w:rsidR="00EB6929" w:rsidRDefault="00EB6929" w:rsidP="008876A9">
      <w:r>
        <w:t>For example, there is virtually a 100% belief that Species BLTR belongs to the VHR category in all years. For species CTTR, there is a high probability in most years, but in 2011, the counts were high enough that there was shift towards the second category. This a small belief that the median could be in the VLR category as a consequence of the very small sample sizes in each year that allow for the possibility that the observed data were so low in each year just by chance.</w:t>
      </w:r>
    </w:p>
    <w:p w14:paraId="69A12008" w14:textId="77777777" w:rsidR="00EB6929" w:rsidRDefault="00EB6929" w:rsidP="008876A9"/>
    <w:p w14:paraId="4AE2D967" w14:textId="77777777" w:rsidR="00EB6929" w:rsidRDefault="00EB6929" w:rsidP="008876A9"/>
    <w:p w14:paraId="7BBB1137" w14:textId="6CF87E46" w:rsidR="00EB6929" w:rsidRDefault="00FF0532" w:rsidP="008876A9">
      <w:r>
        <w:t>(b) Smoothing the above results.</w:t>
      </w:r>
    </w:p>
    <w:p w14:paraId="71DE01D0" w14:textId="727D77AD" w:rsidR="00FF0532" w:rsidRDefault="00FF0532" w:rsidP="008876A9">
      <w:r>
        <w:t>With very small sample sizes, the results can be quite variable from year to year as seen above. It is possible to “smooth” the data. I will demonstrate how to fit a linear trend line, but you could also easily fit a five-year running average with similar results.</w:t>
      </w:r>
    </w:p>
    <w:p w14:paraId="0008F3CC" w14:textId="77777777" w:rsidR="00FF0532" w:rsidRDefault="00FF0532" w:rsidP="008876A9"/>
    <w:p w14:paraId="52652C3F" w14:textId="079D0C33" w:rsidR="00FF0532" w:rsidRDefault="00FF0532" w:rsidP="008876A9">
      <w:r>
        <w:t>When every fitting trends over time, you need to be concerned about the year-specific effects (also known as process error). Year-specific effect force the point in year above or below the trend line en masse, which is a violation of the key assumption of a regression analysis. For example, regression analysis assumes that the data are always centered about the regression line as shown in Figure 4.</w:t>
      </w:r>
    </w:p>
    <w:p w14:paraId="26E3AE28" w14:textId="77777777" w:rsidR="00FF0532" w:rsidRDefault="00FF0532" w:rsidP="008876A9"/>
    <w:p w14:paraId="1C20A594" w14:textId="7F8F42C7" w:rsidR="00E959A7" w:rsidRDefault="00E959A7" w:rsidP="008876A9">
      <w:r>
        <w:rPr>
          <w:noProof/>
        </w:rPr>
        <w:drawing>
          <wp:inline distT="0" distB="0" distL="0" distR="0" wp14:anchorId="3FD7DB0B" wp14:editId="43506DC0">
            <wp:extent cx="4038600" cy="28448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2844800"/>
                    </a:xfrm>
                    <a:prstGeom prst="rect">
                      <a:avLst/>
                    </a:prstGeom>
                    <a:noFill/>
                    <a:ln>
                      <a:noFill/>
                    </a:ln>
                  </pic:spPr>
                </pic:pic>
              </a:graphicData>
            </a:graphic>
          </wp:inline>
        </w:drawing>
      </w:r>
    </w:p>
    <w:p w14:paraId="3601B8F1" w14:textId="3134A9DE" w:rsidR="00E959A7" w:rsidRDefault="00E959A7" w:rsidP="008876A9">
      <w:r>
        <w:t>Figure 4. The standard assumption of regression analysis where at each X value, the points are randomly scattered about the trend line.</w:t>
      </w:r>
    </w:p>
    <w:p w14:paraId="7B20B7B6" w14:textId="77777777" w:rsidR="00E959A7" w:rsidRDefault="00E959A7" w:rsidP="008876A9"/>
    <w:p w14:paraId="4C658117" w14:textId="77777777" w:rsidR="00E959A7" w:rsidRDefault="00E959A7" w:rsidP="008876A9">
      <w:r>
        <w:t>However, year specific-effects can push the set of points in a year higher or lower around the trend line as shown in Figure 5:</w:t>
      </w:r>
    </w:p>
    <w:p w14:paraId="338FCB98" w14:textId="77777777" w:rsidR="00E959A7" w:rsidRDefault="00E959A7" w:rsidP="008876A9"/>
    <w:p w14:paraId="0611D685" w14:textId="7246070F" w:rsidR="00E959A7" w:rsidRDefault="00E959A7" w:rsidP="008876A9">
      <w:r>
        <w:rPr>
          <w:noProof/>
        </w:rPr>
        <w:drawing>
          <wp:inline distT="0" distB="0" distL="0" distR="0" wp14:anchorId="215A889D" wp14:editId="64E77182">
            <wp:extent cx="5270500" cy="310083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100838"/>
                    </a:xfrm>
                    <a:prstGeom prst="rect">
                      <a:avLst/>
                    </a:prstGeom>
                    <a:noFill/>
                    <a:ln>
                      <a:noFill/>
                    </a:ln>
                  </pic:spPr>
                </pic:pic>
              </a:graphicData>
            </a:graphic>
          </wp:inline>
        </w:drawing>
      </w:r>
    </w:p>
    <w:p w14:paraId="1DFA7433" w14:textId="676C39D7" w:rsidR="00E959A7" w:rsidRDefault="00E959A7" w:rsidP="008876A9">
      <w:r>
        <w:t>Figure 5. Process error will tend to push all points above or below the underlying trend line.</w:t>
      </w:r>
    </w:p>
    <w:p w14:paraId="7DDECD05" w14:textId="77777777" w:rsidR="00E959A7" w:rsidRDefault="00E959A7" w:rsidP="008876A9"/>
    <w:p w14:paraId="3DF3E537" w14:textId="263010BA" w:rsidR="00E959A7" w:rsidRDefault="00E959A7" w:rsidP="008876A9">
      <w:r>
        <w:t>There is evidence of year-specific effects in this dataset. For example in Figure 1, all data points tended to be pushed up in 2011. The impact of year-specific effects (process error) are two fold. First, the individual data points become less and less important in determining the trend – only the variation in the AVERGE about the trend line is important. More importantly, to detect trends, the number of years of sampling then becomes the limiting factor as illustrated in Figure 6.</w:t>
      </w:r>
    </w:p>
    <w:p w14:paraId="670AD8E7" w14:textId="77777777" w:rsidR="00E959A7" w:rsidRDefault="00E959A7" w:rsidP="008876A9"/>
    <w:p w14:paraId="4B7E7ECF" w14:textId="77777777" w:rsidR="006737CF" w:rsidRDefault="006737CF" w:rsidP="006737CF">
      <w:r w:rsidRPr="00D560FB">
        <w:rPr>
          <w:noProof/>
        </w:rPr>
        <w:drawing>
          <wp:inline distT="0" distB="0" distL="0" distR="0" wp14:anchorId="59ED6611" wp14:editId="0371809B">
            <wp:extent cx="5270500" cy="5270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s-processerror.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345F7966" w14:textId="51AEF7F4" w:rsidR="006737CF" w:rsidRDefault="006737CF" w:rsidP="006737CF">
      <w:r>
        <w:t>Figure 6. Illustrating the impact of year-specific factors on estimating a trend.</w:t>
      </w:r>
    </w:p>
    <w:p w14:paraId="4DC115A5" w14:textId="77777777" w:rsidR="006737CF" w:rsidRDefault="006737CF" w:rsidP="006737CF"/>
    <w:p w14:paraId="036841BF" w14:textId="77777777" w:rsidR="006737CF" w:rsidRPr="00D560FB" w:rsidRDefault="006737CF" w:rsidP="006737CF"/>
    <w:p w14:paraId="4ED3B73F" w14:textId="5AF40025" w:rsidR="006737CF" w:rsidRDefault="006737CF" w:rsidP="006737CF">
      <w:r w:rsidRPr="0000793F">
        <w:t xml:space="preserve">In the top panel, there are no year-specific effects (no process error) and the </w:t>
      </w:r>
      <w:r>
        <w:t>response</w:t>
      </w:r>
      <w:r w:rsidRPr="0000793F">
        <w:t xml:space="preserve"> changes over time based on the underlying trend line shown as a dashed line. Only sampling variation is present so 95% of the confidence intervals about the observed </w:t>
      </w:r>
      <w:r>
        <w:t>mean response</w:t>
      </w:r>
      <w:r w:rsidRPr="0000793F">
        <w:t xml:space="preserve"> each year will overlap with the underlying trend line. The fitted line will be close to the true underlying trend line (solid line).</w:t>
      </w:r>
      <w:r>
        <w:t xml:space="preserve"> </w:t>
      </w:r>
      <w:r w:rsidRPr="0000793F">
        <w:t>The uncertainty is small about the overall trend, and there is clear evidence that the trend is different from a 0 trend (which is shown by the horizontal line). In the bottom panel, the year-specific effects (process error) add extra varia</w:t>
      </w:r>
      <w:r>
        <w:t>tion to the underlying response</w:t>
      </w:r>
      <w:r w:rsidRPr="0000793F">
        <w:t xml:space="preserve"> each year due to effects such as weather, food etc. Now, the 95% conf</w:t>
      </w:r>
      <w:r>
        <w:t>idence intervals for mean response</w:t>
      </w:r>
      <w:r w:rsidRPr="0000793F">
        <w:t xml:space="preserve"> still provide valid esti</w:t>
      </w:r>
      <w:r>
        <w:t>mates for the yearly mean response</w:t>
      </w:r>
      <w:r w:rsidRPr="0000793F">
        <w:t xml:space="preserve"> values, but now may not overlap the true underling trend (in dashed). The fitted line will still be unbiased for the true trend (solid line), but the extra variation makes the uncertainty in the fitted line much larger and now there is no evidence that the trend line differs from 0.</w:t>
      </w:r>
    </w:p>
    <w:p w14:paraId="2B29C2E1" w14:textId="77777777" w:rsidR="006737CF" w:rsidRPr="00D560FB" w:rsidRDefault="006737CF" w:rsidP="006737CF"/>
    <w:p w14:paraId="1CFE7E3F" w14:textId="002A745E" w:rsidR="00E959A7" w:rsidRDefault="006737CF" w:rsidP="006737CF">
      <w:r w:rsidRPr="0000793F">
        <w:t>If there is substantial year-specific effects (process error), then sampling more sites in</w:t>
      </w:r>
      <w:r>
        <w:t xml:space="preserve"> a</w:t>
      </w:r>
      <w:r w:rsidRPr="00D560FB">
        <w:t xml:space="preserve"> year will NOT be helpful. Sampling more sites in a year will shrink the size of the confidence intervals in the bottom panel above, but has NO impact on the process error and so the variation around the fitted line will only be reduced slightly. In cases of substantial process error, the limiting factor for detecting trends is likely to be the total years of sampling and not the number of sites/year th</w:t>
      </w:r>
      <w:r>
        <w:t>at are sampled.</w:t>
      </w:r>
    </w:p>
    <w:p w14:paraId="3BA6918C" w14:textId="77777777" w:rsidR="006737CF" w:rsidRDefault="006737CF" w:rsidP="006737CF"/>
    <w:p w14:paraId="77BED8B7" w14:textId="519B8032" w:rsidR="006737CF" w:rsidRDefault="006737CF" w:rsidP="006737CF">
      <w:r>
        <w:t>A second model was fit that allowed for a linear trend over time to smooth the results from the previous section. Process error was allowed for. The results are shown in Figure 7.</w:t>
      </w:r>
    </w:p>
    <w:p w14:paraId="15BB6843" w14:textId="77777777" w:rsidR="006737CF" w:rsidRDefault="006737CF" w:rsidP="006737CF"/>
    <w:p w14:paraId="033D9E13" w14:textId="50A114D0" w:rsidR="00A91CA4" w:rsidRDefault="008D4799" w:rsidP="006737CF">
      <w:r>
        <w:rPr>
          <w:noProof/>
        </w:rPr>
        <w:drawing>
          <wp:inline distT="0" distB="0" distL="0" distR="0" wp14:anchorId="4EA85DC8" wp14:editId="2DC959C4">
            <wp:extent cx="5270500" cy="3513455"/>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ost-trend.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6DE5FD77" w14:textId="24CBE864" w:rsidR="00A91CA4" w:rsidRDefault="008D4799" w:rsidP="006737CF">
      <w:r>
        <w:t>Figure 7. Posterior plot after model fitting with linear trend. The blue line is the fitted linear trend. The back line is the observed median with process error. The black dots ae the beliefs that the median on the underlying trend lies in the various FSI categories.</w:t>
      </w:r>
    </w:p>
    <w:p w14:paraId="0258D40F" w14:textId="77777777" w:rsidR="008D4799" w:rsidRDefault="008D4799" w:rsidP="006737CF"/>
    <w:p w14:paraId="59B6D646" w14:textId="5BCA70A4" w:rsidR="008D4799" w:rsidRDefault="008D4799" w:rsidP="006737CF">
      <w:r>
        <w:t xml:space="preserve">Here the trend line “smooths” the individual medians (the black line) and so now the beliefs in the various FSI categories (see next plot) is much smoother and less subject to random year-specific effects. We now see that the population status may be changing slowly. </w:t>
      </w:r>
      <w:r w:rsidR="00053014">
        <w:t xml:space="preserve">Notice that the log-normal distribution treats the large values for species BKTR in the late 1990s as mostly outliers. </w:t>
      </w:r>
      <w:r>
        <w:t>While I fit a linear trend here, you could also fit a running 5-year</w:t>
      </w:r>
      <w:r w:rsidR="004E628C">
        <w:t xml:space="preserve"> average or similar non-paramet</w:t>
      </w:r>
      <w:bookmarkStart w:id="0" w:name="_GoBack"/>
      <w:bookmarkEnd w:id="0"/>
      <w:r>
        <w:t>ric curves.</w:t>
      </w:r>
    </w:p>
    <w:p w14:paraId="043AD960" w14:textId="77777777" w:rsidR="008D4799" w:rsidRDefault="008D4799" w:rsidP="006737CF"/>
    <w:p w14:paraId="5E8D75AC" w14:textId="2148692C" w:rsidR="00A91CA4" w:rsidRDefault="008D4799" w:rsidP="006737CF">
      <w:r>
        <w:t>The beliefs tha</w:t>
      </w:r>
      <w:r w:rsidR="00053014">
        <w:t xml:space="preserve">t the system is in each category is shown in Figure 8. </w:t>
      </w:r>
    </w:p>
    <w:p w14:paraId="02661536" w14:textId="40AD18FC" w:rsidR="00053014" w:rsidRDefault="00053014" w:rsidP="006737CF">
      <w:r>
        <w:rPr>
          <w:noProof/>
        </w:rPr>
        <w:drawing>
          <wp:inline distT="0" distB="0" distL="0" distR="0" wp14:anchorId="4BA45888" wp14:editId="42366720">
            <wp:extent cx="5270500" cy="351345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rob-cat-trend.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73E81FD2" w14:textId="1C7EF61B" w:rsidR="00A91CA4" w:rsidRDefault="00053014" w:rsidP="006737CF">
      <w:r>
        <w:t>Figure 8. Posterior probability of belonging to each FSI category after a trendline is fit.</w:t>
      </w:r>
    </w:p>
    <w:p w14:paraId="2877F1AB" w14:textId="77777777" w:rsidR="00053014" w:rsidRDefault="00053014" w:rsidP="006737CF"/>
    <w:p w14:paraId="4DB41A23" w14:textId="115B90A0" w:rsidR="00053014" w:rsidRDefault="00053014" w:rsidP="006737CF">
      <w:r>
        <w:t>From Figure 8, you can see that the posterior probability of belonging to VHR is increasing for species BKTR and decreasing for species CTTR as expected given the trend line in Figure 7.</w:t>
      </w:r>
    </w:p>
    <w:p w14:paraId="2B19C16A" w14:textId="77777777" w:rsidR="00A91CA4" w:rsidRDefault="00A91CA4" w:rsidP="006737CF"/>
    <w:p w14:paraId="161DB862" w14:textId="4C3D9200" w:rsidR="00A91CA4" w:rsidRDefault="00A91CA4" w:rsidP="006737CF">
      <w:r>
        <w:t xml:space="preserve">The estimated trend line (on the logarithmic scale) is shown in </w:t>
      </w:r>
      <w:r w:rsidR="00742DFB">
        <w:t>the following table.</w:t>
      </w:r>
    </w:p>
    <w:p w14:paraId="2C6C4089" w14:textId="77777777" w:rsidR="00742DFB" w:rsidRPr="00742DFB" w:rsidRDefault="00742DFB" w:rsidP="00742DFB">
      <w:pPr>
        <w:rPr>
          <w:rFonts w:ascii="Courier" w:hAnsi="Courier"/>
        </w:rPr>
      </w:pPr>
      <w:r w:rsidRPr="00742DFB">
        <w:rPr>
          <w:rFonts w:ascii="Courier" w:hAnsi="Courier"/>
        </w:rPr>
        <w:t xml:space="preserve">  Species.num Species slope   sd p.slope.lt.0</w:t>
      </w:r>
    </w:p>
    <w:p w14:paraId="4FF48343" w14:textId="77777777" w:rsidR="00742DFB" w:rsidRPr="00742DFB" w:rsidRDefault="00742DFB" w:rsidP="00742DFB">
      <w:pPr>
        <w:rPr>
          <w:rFonts w:ascii="Courier" w:hAnsi="Courier"/>
        </w:rPr>
      </w:pPr>
      <w:r w:rsidRPr="00742DFB">
        <w:rPr>
          <w:rFonts w:ascii="Courier" w:hAnsi="Courier"/>
        </w:rPr>
        <w:t>1           1    BKTR -0.06 0.03         0.96</w:t>
      </w:r>
    </w:p>
    <w:p w14:paraId="725C83B8" w14:textId="77777777" w:rsidR="00742DFB" w:rsidRPr="00742DFB" w:rsidRDefault="00742DFB" w:rsidP="00742DFB">
      <w:pPr>
        <w:rPr>
          <w:rFonts w:ascii="Courier" w:hAnsi="Courier"/>
        </w:rPr>
      </w:pPr>
      <w:r w:rsidRPr="00742DFB">
        <w:rPr>
          <w:rFonts w:ascii="Courier" w:hAnsi="Courier"/>
        </w:rPr>
        <w:t>2           2    BLTR  0.00 0.07         0.49</w:t>
      </w:r>
    </w:p>
    <w:p w14:paraId="7C5364FF" w14:textId="791D4A9C" w:rsidR="00A91CA4" w:rsidRDefault="00742DFB" w:rsidP="00742DFB">
      <w:pPr>
        <w:rPr>
          <w:rFonts w:ascii="Courier" w:hAnsi="Courier"/>
        </w:rPr>
      </w:pPr>
      <w:r w:rsidRPr="00742DFB">
        <w:rPr>
          <w:rFonts w:ascii="Courier" w:hAnsi="Courier"/>
        </w:rPr>
        <w:t xml:space="preserve">3           3    CTTR  0.06 0.04         0.05 </w:t>
      </w:r>
    </w:p>
    <w:p w14:paraId="1DD66EE4" w14:textId="77777777" w:rsidR="0091776F" w:rsidRDefault="00742DFB" w:rsidP="00742DFB">
      <w:r>
        <w:t xml:space="preserve">The interpretation of the slope and standard deviation are similar to classical regression. For example for species BKTR, the estimated slope (on the log-scale) is </w:t>
      </w:r>
      <w:r w:rsidR="0091776F">
        <w:t xml:space="preserve">(negative) </w:t>
      </w:r>
      <w:r>
        <w:t>0.06.(SD .04).</w:t>
      </w:r>
      <w:r w:rsidR="00D82FF7">
        <w:t xml:space="preserve"> Because you analyzed data on the logarithmic scale, </w:t>
      </w:r>
      <w:r w:rsidR="0091776F">
        <w:t>this corresponds to an estimated 6% decline/year. The interpretation of the last column is different from the traditional p-value. In a Bayesian context, it is your belief that the trend line is negative. In this case, you have 96% belief that the trend line is negative.</w:t>
      </w:r>
    </w:p>
    <w:p w14:paraId="41A2239B" w14:textId="77777777" w:rsidR="0091776F" w:rsidRDefault="0091776F" w:rsidP="00742DFB"/>
    <w:p w14:paraId="043CDB09" w14:textId="1D57575A" w:rsidR="0091776F" w:rsidRDefault="0091776F" w:rsidP="00742DFB">
      <w:r>
        <w:t>Similarly for species CTTR, the estimated change is an increase of 6%/year and you have a 5% (95%)  belief that the slope is negative (positive), respectively.</w:t>
      </w:r>
    </w:p>
    <w:p w14:paraId="2D34CC88" w14:textId="77777777" w:rsidR="0091776F" w:rsidRDefault="0091776F" w:rsidP="00742DFB"/>
    <w:p w14:paraId="7116E14A" w14:textId="7CEA99F5" w:rsidR="00742DFB" w:rsidRDefault="0091776F" w:rsidP="00742DFB">
      <w:r>
        <w:t>For species BLTR, the estimated slope is close of 0, and the belief that the slope if negative (positive) is 49% (51%) respectively. There is no evidence of a change</w:t>
      </w:r>
      <w:r w:rsidR="007372E5">
        <w:t xml:space="preserve"> in median density over time. Figure 8 shows that this population has a high posterior probability of being in the VHR category.</w:t>
      </w:r>
    </w:p>
    <w:p w14:paraId="4F214550" w14:textId="77777777" w:rsidR="007372E5" w:rsidRDefault="007372E5" w:rsidP="00742DFB"/>
    <w:p w14:paraId="4A6CEAE6" w14:textId="77777777" w:rsidR="007372E5" w:rsidRDefault="007372E5" w:rsidP="00742DFB"/>
    <w:p w14:paraId="4F7C556B" w14:textId="3D628148" w:rsidR="007372E5" w:rsidRDefault="000C5478" w:rsidP="00742DFB">
      <w:r>
        <w:t>(c) Sample size requirements</w:t>
      </w:r>
    </w:p>
    <w:p w14:paraId="11EF7594" w14:textId="77777777" w:rsidR="00DA479E" w:rsidRDefault="000C5478" w:rsidP="00742DFB">
      <w:r>
        <w:t xml:space="preserve">The trend model provides estimates of the site effects standard deviation (the site-to-site variation), the year effects standard deviation (the year-to-year specific factor variation, a.k.a. the process error), and the residual standard deviation (noise). These are needed to determine how many sites and years are needed to be sampled to detect a specific trend. This in turn </w:t>
      </w:r>
      <w:r w:rsidR="00DA479E">
        <w:t>can be used to estimate</w:t>
      </w:r>
      <w:r>
        <w:t xml:space="preserve"> how many years are needed to increase the probability of </w:t>
      </w:r>
      <w:r w:rsidR="00DA479E">
        <w:t>moving from one category to another category (not demonstrated here).</w:t>
      </w:r>
    </w:p>
    <w:p w14:paraId="2435D41A" w14:textId="77777777" w:rsidR="00DA479E" w:rsidRDefault="00DA479E" w:rsidP="00742DFB"/>
    <w:p w14:paraId="6D9768AC" w14:textId="77777777" w:rsidR="00DA479E" w:rsidRDefault="00DA479E" w:rsidP="00742DFB">
      <w:r>
        <w:t>The estimated standard deviations are:</w:t>
      </w:r>
    </w:p>
    <w:p w14:paraId="0F35657A" w14:textId="77777777" w:rsidR="00DA479E" w:rsidRPr="00DA479E" w:rsidRDefault="00DA479E" w:rsidP="00DA479E">
      <w:pPr>
        <w:rPr>
          <w:rFonts w:ascii="Courier" w:hAnsi="Courier"/>
        </w:rPr>
      </w:pPr>
      <w:r w:rsidRPr="00DA479E">
        <w:rPr>
          <w:rFonts w:ascii="Courier" w:hAnsi="Courier"/>
        </w:rPr>
        <w:t xml:space="preserve">  Species.num   SDresid    SDsite    SDyear Species</w:t>
      </w:r>
    </w:p>
    <w:p w14:paraId="0E82C500" w14:textId="77777777" w:rsidR="00DA479E" w:rsidRPr="00DA479E" w:rsidRDefault="00DA479E" w:rsidP="00DA479E">
      <w:pPr>
        <w:rPr>
          <w:rFonts w:ascii="Courier" w:hAnsi="Courier"/>
        </w:rPr>
      </w:pPr>
      <w:r w:rsidRPr="00DA479E">
        <w:rPr>
          <w:rFonts w:ascii="Courier" w:hAnsi="Courier"/>
        </w:rPr>
        <w:t>1           1 0.4422217 0.9831795 0.5958415    BKTR</w:t>
      </w:r>
    </w:p>
    <w:p w14:paraId="49CC5602" w14:textId="77777777" w:rsidR="00DA479E" w:rsidRPr="00DA479E" w:rsidRDefault="00DA479E" w:rsidP="00DA479E">
      <w:pPr>
        <w:rPr>
          <w:rFonts w:ascii="Courier" w:hAnsi="Courier"/>
        </w:rPr>
      </w:pPr>
      <w:r w:rsidRPr="00DA479E">
        <w:rPr>
          <w:rFonts w:ascii="Courier" w:hAnsi="Courier"/>
        </w:rPr>
        <w:t>2           2 1.4248202 0.9117626 1.1082715    BLTR</w:t>
      </w:r>
    </w:p>
    <w:p w14:paraId="3F0C6FBB" w14:textId="77777777" w:rsidR="00DA479E" w:rsidRPr="00DA479E" w:rsidRDefault="00DA479E" w:rsidP="00DA479E">
      <w:pPr>
        <w:rPr>
          <w:rFonts w:ascii="Courier" w:hAnsi="Courier"/>
        </w:rPr>
      </w:pPr>
      <w:r w:rsidRPr="00DA479E">
        <w:rPr>
          <w:rFonts w:ascii="Courier" w:hAnsi="Courier"/>
        </w:rPr>
        <w:t>3           3 0.4456816 0.6423131 0.8153628    CTTR</w:t>
      </w:r>
    </w:p>
    <w:p w14:paraId="3C9DF940" w14:textId="162FED2D" w:rsidR="00DA479E" w:rsidRDefault="00DA479E" w:rsidP="00742DFB">
      <w:r>
        <w:t>We notice that for all species, the year-effect standard deviation (SDyear column) is the same order of magnitude as the residual standard deviation column (SDresid). This implies that we are in the situation of Figure 5 where year-to-year specific effects push the observed values up or down from the trend line en masse and the limiting factor is the number of years of sampling and not the number of sites sampled in each year.</w:t>
      </w:r>
    </w:p>
    <w:p w14:paraId="0DC69432" w14:textId="77777777" w:rsidR="00DA479E" w:rsidRDefault="00DA479E" w:rsidP="00742DFB"/>
    <w:p w14:paraId="47AA94DD" w14:textId="03E17ABF" w:rsidR="00DA479E" w:rsidRDefault="001C6E80" w:rsidP="00742DFB">
      <w:r>
        <w:t xml:space="preserve">Figure 9 illustrates power computations to detect a 5% (increase/decrease) per year using the variance components from the above table with different number of sites sampled per year. </w:t>
      </w:r>
    </w:p>
    <w:p w14:paraId="7C2E9EB7" w14:textId="77777777" w:rsidR="001C6E80" w:rsidRDefault="001C6E80" w:rsidP="00742DFB"/>
    <w:p w14:paraId="238BCE90" w14:textId="288E4FFE" w:rsidR="001C6E80" w:rsidRDefault="001C6E80" w:rsidP="00742DFB">
      <w:r>
        <w:rPr>
          <w:noProof/>
        </w:rPr>
        <w:drawing>
          <wp:inline distT="0" distB="0" distL="0" distR="0" wp14:anchorId="769F8D99" wp14:editId="0A3EFB11">
            <wp:extent cx="5270500" cy="52705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power-trend.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5270500"/>
                    </a:xfrm>
                    <a:prstGeom prst="rect">
                      <a:avLst/>
                    </a:prstGeom>
                  </pic:spPr>
                </pic:pic>
              </a:graphicData>
            </a:graphic>
          </wp:inline>
        </w:drawing>
      </w:r>
    </w:p>
    <w:p w14:paraId="45803C5C" w14:textId="6958D5DD" w:rsidR="001C6E80" w:rsidRDefault="001C6E80" w:rsidP="00742DFB">
      <w:r>
        <w:t xml:space="preserve">Figure 9. Estimated power to detect a 5% trend with different number of years and sites sampled per year. </w:t>
      </w:r>
    </w:p>
    <w:p w14:paraId="63986B4A" w14:textId="77777777" w:rsidR="001C6E80" w:rsidRDefault="001C6E80" w:rsidP="00742DFB"/>
    <w:p w14:paraId="10117347" w14:textId="32E2768C" w:rsidR="001C6E80" w:rsidRDefault="001C6E80" w:rsidP="00742DFB">
      <w:r>
        <w:t>The power essentially depends only on the number of years sampling and not the number of sites/years. The key issue is again the size of the process error (year-specific effects). This variation CANNOT be controlled by experimenter as it</w:t>
      </w:r>
      <w:r w:rsidR="00D90A88">
        <w:t xml:space="preserve"> typically results from external forces such as weather. It would be possible to adjust for these effects if suitable covariates were available, but some caution is needed. For example, suppose that process error is related to climate change and closely related to mean winter temperature. If you include mean winter temperature in the model, you essentially have removed the effect of climate change (!) which likely is not what you want.</w:t>
      </w:r>
    </w:p>
    <w:p w14:paraId="7FEF4552" w14:textId="77777777" w:rsidR="003F2FB8" w:rsidRDefault="003F2FB8" w:rsidP="00742DFB"/>
    <w:p w14:paraId="19435440" w14:textId="3F1121AE" w:rsidR="003F2FB8" w:rsidRDefault="003F2FB8" w:rsidP="00742DFB">
      <w:r>
        <w:t>Given that the number of years of monitoring is the prime drive for power, it is possible to adjust the sampling plan by monitoring sites every 2</w:t>
      </w:r>
      <w:r w:rsidRPr="003F2FB8">
        <w:rPr>
          <w:vertAlign w:val="superscript"/>
        </w:rPr>
        <w:t>nd</w:t>
      </w:r>
      <w:r>
        <w:t xml:space="preserve"> year. For example, one set of sites is measured on years 1, 3, 5, 7 and the other set of sites is measured on years 2, 4, 6, 8. The power is not greatly impacted.</w:t>
      </w:r>
    </w:p>
    <w:p w14:paraId="0014A3F4" w14:textId="77777777" w:rsidR="00D90A88" w:rsidRDefault="00D90A88" w:rsidP="00742DFB"/>
    <w:p w14:paraId="34EAA776" w14:textId="187A99CA" w:rsidR="00D90A88" w:rsidRDefault="003F2FB8" w:rsidP="00742DFB">
      <w:r>
        <w:t>This power analysis can then be embedded into the FSI framework by projecting forward in time and computing the posterior probabilities of belonging to the category. This has not been illustrated in this brief report.</w:t>
      </w:r>
    </w:p>
    <w:p w14:paraId="19A98C5D" w14:textId="77777777" w:rsidR="003F2FB8" w:rsidRDefault="003F2FB8" w:rsidP="00742DFB"/>
    <w:p w14:paraId="326A913B" w14:textId="5C750D0A" w:rsidR="003F2FB8" w:rsidRDefault="003F2FB8" w:rsidP="00742DFB">
      <w:r>
        <w:t>In this particular example, the very small sample sizes (i.e. only 2 sites measured each year) has a great impact on the analysis, but Bayesian methods are able to compensate by “sharing information” across years. There appears to be very large year-specific effects which limit the ability to detect trends over short time horizons.</w:t>
      </w:r>
    </w:p>
    <w:p w14:paraId="11A5F35A" w14:textId="77777777" w:rsidR="003F2FB8" w:rsidRDefault="003F2FB8" w:rsidP="00742DFB"/>
    <w:p w14:paraId="02D9EB20" w14:textId="77777777" w:rsidR="003F2FB8" w:rsidRDefault="003F2FB8" w:rsidP="00742DFB"/>
    <w:p w14:paraId="7D1DEBE2" w14:textId="77777777" w:rsidR="003F2FB8" w:rsidRDefault="003F2FB8" w:rsidP="00742DFB"/>
    <w:p w14:paraId="136FEB56" w14:textId="77777777" w:rsidR="00DA479E" w:rsidRDefault="00DA479E" w:rsidP="00742DFB"/>
    <w:p w14:paraId="47A408F9" w14:textId="77777777" w:rsidR="00DA479E" w:rsidRDefault="00DA479E" w:rsidP="00742DFB"/>
    <w:p w14:paraId="7AF92447" w14:textId="77777777" w:rsidR="00DA479E" w:rsidRDefault="00DA479E" w:rsidP="00742DFB"/>
    <w:p w14:paraId="42F1A03E" w14:textId="77777777" w:rsidR="00DA479E" w:rsidRDefault="00DA479E" w:rsidP="00742DFB"/>
    <w:p w14:paraId="372263FC" w14:textId="6497877E" w:rsidR="000C5478" w:rsidRPr="00742DFB" w:rsidRDefault="000C5478" w:rsidP="00742DFB">
      <w:r>
        <w:t xml:space="preserve"> </w:t>
      </w:r>
    </w:p>
    <w:sectPr w:rsidR="000C5478" w:rsidRPr="00742DFB" w:rsidSect="004721CB">
      <w:footerReference w:type="even" r:id="rId17"/>
      <w:footerReference w:type="default" r:id="rId18"/>
      <w:pgSz w:w="11900" w:h="16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759021" w14:textId="77777777" w:rsidR="001C6E80" w:rsidRDefault="001C6E80" w:rsidP="00D44331">
      <w:r>
        <w:separator/>
      </w:r>
    </w:p>
  </w:endnote>
  <w:endnote w:type="continuationSeparator" w:id="0">
    <w:p w14:paraId="4A671F1C" w14:textId="77777777" w:rsidR="001C6E80" w:rsidRDefault="001C6E80" w:rsidP="00D443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FADD5" w14:textId="77777777" w:rsidR="001C6E80" w:rsidRDefault="001C6E80" w:rsidP="000C54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48CA8F" w14:textId="77777777" w:rsidR="001C6E80" w:rsidRDefault="001C6E80" w:rsidP="007372E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38477F" w14:textId="77777777" w:rsidR="001C6E80" w:rsidRDefault="001C6E80" w:rsidP="000C547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E628C">
      <w:rPr>
        <w:rStyle w:val="PageNumber"/>
        <w:noProof/>
      </w:rPr>
      <w:t>1</w:t>
    </w:r>
    <w:r>
      <w:rPr>
        <w:rStyle w:val="PageNumber"/>
      </w:rPr>
      <w:fldChar w:fldCharType="end"/>
    </w:r>
  </w:p>
  <w:p w14:paraId="408B5492" w14:textId="77777777" w:rsidR="001C6E80" w:rsidRDefault="001C6E80" w:rsidP="007372E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49905" w14:textId="77777777" w:rsidR="001C6E80" w:rsidRDefault="001C6E80" w:rsidP="00D44331">
      <w:r>
        <w:separator/>
      </w:r>
    </w:p>
  </w:footnote>
  <w:footnote w:type="continuationSeparator" w:id="0">
    <w:p w14:paraId="1B51C33F" w14:textId="77777777" w:rsidR="001C6E80" w:rsidRDefault="001C6E80" w:rsidP="00D44331">
      <w:r>
        <w:continuationSeparator/>
      </w:r>
    </w:p>
  </w:footnote>
  <w:footnote w:id="1">
    <w:p w14:paraId="79FECAF0" w14:textId="77777777" w:rsidR="001C6E80" w:rsidRDefault="001C6E80">
      <w:pPr>
        <w:pStyle w:val="FootnoteText"/>
      </w:pPr>
      <w:r>
        <w:rPr>
          <w:rStyle w:val="FootnoteReference"/>
        </w:rPr>
        <w:footnoteRef/>
      </w:r>
      <w:r>
        <w:t xml:space="preserve"> Actual data as per 100m2, but FSI thresholds were in per 300m2 so all the values in the dataset were multiplied by 3.</w:t>
      </w:r>
    </w:p>
  </w:footnote>
  <w:footnote w:id="2">
    <w:p w14:paraId="1809AAE3" w14:textId="1C658880" w:rsidR="001C6E80" w:rsidRDefault="001C6E80">
      <w:pPr>
        <w:pStyle w:val="FootnoteText"/>
      </w:pPr>
      <w:r>
        <w:rPr>
          <w:rStyle w:val="FootnoteReference"/>
        </w:rPr>
        <w:footnoteRef/>
      </w:r>
      <w:r>
        <w:t xml:space="preserve"> This is analogous to asking “What is the probability that a woman is pregnant.” The pregnancy status is a fixed, non probabilistic value. However, what is your belief that a woman is pregnant is a sensible statement as a probability.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8B46B9"/>
    <w:multiLevelType w:val="hybridMultilevel"/>
    <w:tmpl w:val="EF38EC2E"/>
    <w:lvl w:ilvl="0" w:tplc="7CF64C6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A70"/>
    <w:rsid w:val="00034603"/>
    <w:rsid w:val="00053014"/>
    <w:rsid w:val="000C5478"/>
    <w:rsid w:val="000E3A70"/>
    <w:rsid w:val="001C6E80"/>
    <w:rsid w:val="00214B40"/>
    <w:rsid w:val="002A6461"/>
    <w:rsid w:val="003F2FB8"/>
    <w:rsid w:val="00411A41"/>
    <w:rsid w:val="00454114"/>
    <w:rsid w:val="004721CB"/>
    <w:rsid w:val="004E628C"/>
    <w:rsid w:val="0052255D"/>
    <w:rsid w:val="00556E32"/>
    <w:rsid w:val="005B5D63"/>
    <w:rsid w:val="006737CF"/>
    <w:rsid w:val="006E387D"/>
    <w:rsid w:val="00702992"/>
    <w:rsid w:val="007160A1"/>
    <w:rsid w:val="007372E5"/>
    <w:rsid w:val="00742DFB"/>
    <w:rsid w:val="0080554F"/>
    <w:rsid w:val="008876A9"/>
    <w:rsid w:val="008D4799"/>
    <w:rsid w:val="0091776F"/>
    <w:rsid w:val="00A65E7C"/>
    <w:rsid w:val="00A91CA4"/>
    <w:rsid w:val="00C83293"/>
    <w:rsid w:val="00D3447D"/>
    <w:rsid w:val="00D44331"/>
    <w:rsid w:val="00D82FF7"/>
    <w:rsid w:val="00D90A88"/>
    <w:rsid w:val="00DA479E"/>
    <w:rsid w:val="00E959A7"/>
    <w:rsid w:val="00E9758B"/>
    <w:rsid w:val="00EB6929"/>
    <w:rsid w:val="00F15F3B"/>
    <w:rsid w:val="00FC1AC0"/>
    <w:rsid w:val="00FF05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3591B7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44331"/>
  </w:style>
  <w:style w:type="character" w:customStyle="1" w:styleId="FootnoteTextChar">
    <w:name w:val="Footnote Text Char"/>
    <w:basedOn w:val="DefaultParagraphFont"/>
    <w:link w:val="FootnoteText"/>
    <w:uiPriority w:val="99"/>
    <w:rsid w:val="00D44331"/>
    <w:rPr>
      <w:sz w:val="24"/>
      <w:szCs w:val="24"/>
      <w:lang w:eastAsia="en-US"/>
    </w:rPr>
  </w:style>
  <w:style w:type="character" w:styleId="FootnoteReference">
    <w:name w:val="footnote reference"/>
    <w:basedOn w:val="DefaultParagraphFont"/>
    <w:uiPriority w:val="99"/>
    <w:unhideWhenUsed/>
    <w:rsid w:val="00D44331"/>
    <w:rPr>
      <w:vertAlign w:val="superscript"/>
    </w:rPr>
  </w:style>
  <w:style w:type="paragraph" w:styleId="BalloonText">
    <w:name w:val="Balloon Text"/>
    <w:basedOn w:val="Normal"/>
    <w:link w:val="BalloonTextChar"/>
    <w:uiPriority w:val="99"/>
    <w:semiHidden/>
    <w:unhideWhenUsed/>
    <w:rsid w:val="008876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76A9"/>
    <w:rPr>
      <w:rFonts w:ascii="Lucida Grande" w:hAnsi="Lucida Grande" w:cs="Lucida Grande"/>
      <w:sz w:val="18"/>
      <w:szCs w:val="18"/>
      <w:lang w:eastAsia="en-US"/>
    </w:rPr>
  </w:style>
  <w:style w:type="paragraph" w:styleId="ListParagraph">
    <w:name w:val="List Paragraph"/>
    <w:basedOn w:val="Normal"/>
    <w:uiPriority w:val="34"/>
    <w:qFormat/>
    <w:rsid w:val="008876A9"/>
    <w:pPr>
      <w:ind w:left="720"/>
      <w:contextualSpacing/>
    </w:pPr>
  </w:style>
  <w:style w:type="paragraph" w:styleId="Footer">
    <w:name w:val="footer"/>
    <w:basedOn w:val="Normal"/>
    <w:link w:val="FooterChar"/>
    <w:uiPriority w:val="99"/>
    <w:unhideWhenUsed/>
    <w:rsid w:val="007372E5"/>
    <w:pPr>
      <w:tabs>
        <w:tab w:val="center" w:pos="4320"/>
        <w:tab w:val="right" w:pos="8640"/>
      </w:tabs>
    </w:pPr>
  </w:style>
  <w:style w:type="character" w:customStyle="1" w:styleId="FooterChar">
    <w:name w:val="Footer Char"/>
    <w:basedOn w:val="DefaultParagraphFont"/>
    <w:link w:val="Footer"/>
    <w:uiPriority w:val="99"/>
    <w:rsid w:val="007372E5"/>
    <w:rPr>
      <w:sz w:val="24"/>
      <w:szCs w:val="24"/>
      <w:lang w:eastAsia="en-US"/>
    </w:rPr>
  </w:style>
  <w:style w:type="character" w:styleId="PageNumber">
    <w:name w:val="page number"/>
    <w:basedOn w:val="DefaultParagraphFont"/>
    <w:uiPriority w:val="99"/>
    <w:semiHidden/>
    <w:unhideWhenUsed/>
    <w:rsid w:val="007372E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44331"/>
  </w:style>
  <w:style w:type="character" w:customStyle="1" w:styleId="FootnoteTextChar">
    <w:name w:val="Footnote Text Char"/>
    <w:basedOn w:val="DefaultParagraphFont"/>
    <w:link w:val="FootnoteText"/>
    <w:uiPriority w:val="99"/>
    <w:rsid w:val="00D44331"/>
    <w:rPr>
      <w:sz w:val="24"/>
      <w:szCs w:val="24"/>
      <w:lang w:eastAsia="en-US"/>
    </w:rPr>
  </w:style>
  <w:style w:type="character" w:styleId="FootnoteReference">
    <w:name w:val="footnote reference"/>
    <w:basedOn w:val="DefaultParagraphFont"/>
    <w:uiPriority w:val="99"/>
    <w:unhideWhenUsed/>
    <w:rsid w:val="00D44331"/>
    <w:rPr>
      <w:vertAlign w:val="superscript"/>
    </w:rPr>
  </w:style>
  <w:style w:type="paragraph" w:styleId="BalloonText">
    <w:name w:val="Balloon Text"/>
    <w:basedOn w:val="Normal"/>
    <w:link w:val="BalloonTextChar"/>
    <w:uiPriority w:val="99"/>
    <w:semiHidden/>
    <w:unhideWhenUsed/>
    <w:rsid w:val="008876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876A9"/>
    <w:rPr>
      <w:rFonts w:ascii="Lucida Grande" w:hAnsi="Lucida Grande" w:cs="Lucida Grande"/>
      <w:sz w:val="18"/>
      <w:szCs w:val="18"/>
      <w:lang w:eastAsia="en-US"/>
    </w:rPr>
  </w:style>
  <w:style w:type="paragraph" w:styleId="ListParagraph">
    <w:name w:val="List Paragraph"/>
    <w:basedOn w:val="Normal"/>
    <w:uiPriority w:val="34"/>
    <w:qFormat/>
    <w:rsid w:val="008876A9"/>
    <w:pPr>
      <w:ind w:left="720"/>
      <w:contextualSpacing/>
    </w:pPr>
  </w:style>
  <w:style w:type="paragraph" w:styleId="Footer">
    <w:name w:val="footer"/>
    <w:basedOn w:val="Normal"/>
    <w:link w:val="FooterChar"/>
    <w:uiPriority w:val="99"/>
    <w:unhideWhenUsed/>
    <w:rsid w:val="007372E5"/>
    <w:pPr>
      <w:tabs>
        <w:tab w:val="center" w:pos="4320"/>
        <w:tab w:val="right" w:pos="8640"/>
      </w:tabs>
    </w:pPr>
  </w:style>
  <w:style w:type="character" w:customStyle="1" w:styleId="FooterChar">
    <w:name w:val="Footer Char"/>
    <w:basedOn w:val="DefaultParagraphFont"/>
    <w:link w:val="Footer"/>
    <w:uiPriority w:val="99"/>
    <w:rsid w:val="007372E5"/>
    <w:rPr>
      <w:sz w:val="24"/>
      <w:szCs w:val="24"/>
      <w:lang w:eastAsia="en-US"/>
    </w:rPr>
  </w:style>
  <w:style w:type="character" w:styleId="PageNumber">
    <w:name w:val="page number"/>
    <w:basedOn w:val="DefaultParagraphFont"/>
    <w:uiPriority w:val="99"/>
    <w:semiHidden/>
    <w:unhideWhenUsed/>
    <w:rsid w:val="00737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11</Pages>
  <Words>2406</Words>
  <Characters>13718</Characters>
  <Application>Microsoft Macintosh Word</Application>
  <DocSecurity>0</DocSecurity>
  <Lines>114</Lines>
  <Paragraphs>32</Paragraphs>
  <ScaleCrop>false</ScaleCrop>
  <Company>Simon Fraser University</Company>
  <LinksUpToDate>false</LinksUpToDate>
  <CharactersWithSpaces>16092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25</cp:revision>
  <dcterms:created xsi:type="dcterms:W3CDTF">2017-03-09T00:20:00Z</dcterms:created>
  <dcterms:modified xsi:type="dcterms:W3CDTF">2017-03-23T21:46:00Z</dcterms:modified>
</cp:coreProperties>
</file>