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68" w:rsidRDefault="00F75D07">
      <w:r w:rsidRPr="00306906">
        <w:rPr>
          <w:noProof/>
          <w:lang w:eastAsia="en-CA"/>
        </w:rPr>
        <w:drawing>
          <wp:inline distT="0" distB="0" distL="0" distR="0" wp14:anchorId="09F09726" wp14:editId="6DE33F14">
            <wp:extent cx="5943600" cy="459266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 Area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07" w:rsidRDefault="00F75D07">
      <w:r w:rsidRPr="00306906">
        <w:t>Upper Ghost River watershed, showing sampling sites fo</w:t>
      </w:r>
      <w:bookmarkStart w:id="0" w:name="_GoBack"/>
      <w:bookmarkEnd w:id="0"/>
      <w:r w:rsidRPr="00306906">
        <w:t>r 2016</w:t>
      </w:r>
    </w:p>
    <w:sectPr w:rsidR="00F7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07"/>
    <w:rsid w:val="007C0984"/>
    <w:rsid w:val="00E23604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sara.bumstead</dc:creator>
  <cp:lastModifiedBy>sara.bumstead</cp:lastModifiedBy>
  <cp:revision>1</cp:revision>
  <dcterms:created xsi:type="dcterms:W3CDTF">2017-02-10T17:19:00Z</dcterms:created>
  <dcterms:modified xsi:type="dcterms:W3CDTF">2017-02-10T17:20:00Z</dcterms:modified>
</cp:coreProperties>
</file>