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0C513E">
      <w:pPr>
        <w:pStyle w:val="Title"/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6C6A0B">
        <w:t>I2C transactions with the VFAT2 hybrids.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r>
        <w:t xml:space="preserve">OptoHybrid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345BCA">
              <w:t xml:space="preserve"> - 151</w:t>
            </w:r>
          </w:p>
        </w:tc>
        <w:tc>
          <w:tcPr>
            <w:tcW w:w="1414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Y (8 bit address) on VFAT2 X (5 bit chip identifier)</w:t>
            </w:r>
          </w:p>
        </w:tc>
      </w:tr>
    </w:tbl>
    <w:p w:rsidR="00C355F1" w:rsidRDefault="00C355F1" w:rsidP="000C513E"/>
    <w:p w:rsidR="000C513E" w:rsidRDefault="000C513E" w:rsidP="000C513E">
      <w:r>
        <w:br w:type="page"/>
      </w:r>
    </w:p>
    <w:p w:rsidR="00603975" w:rsidRDefault="00A360F7" w:rsidP="00FA30BC">
      <w:pPr>
        <w:pStyle w:val="Title"/>
        <w:jc w:val="both"/>
      </w:pPr>
      <w:r>
        <w:lastRenderedPageBreak/>
        <w:t>Threshold</w:t>
      </w:r>
      <w:r w:rsidR="00B31DC5">
        <w:t xml:space="preserve"> &amp; Latency</w:t>
      </w:r>
      <w:r>
        <w:t xml:space="preserve"> Scan</w:t>
      </w:r>
      <w:r w:rsidR="000F1FC6">
        <w:t>s</w:t>
      </w:r>
    </w:p>
    <w:p w:rsidR="00A360F7" w:rsidRDefault="00A360F7" w:rsidP="00FA30BC">
      <w:pPr>
        <w:jc w:val="both"/>
      </w:pPr>
      <w:r>
        <w:t>T</w:t>
      </w:r>
      <w:r w:rsidR="00882049">
        <w:t>his module performs a threshold/</w:t>
      </w:r>
      <w:r w:rsidR="0011224C">
        <w:t xml:space="preserve">latency </w:t>
      </w:r>
      <w:r>
        <w:t>scan on a</w:t>
      </w:r>
      <w:r w:rsidR="00F17217">
        <w:t xml:space="preserve"> single</w:t>
      </w:r>
      <w:r>
        <w:t xml:space="preserve"> VFAT2 by varying its threshold</w:t>
      </w:r>
      <w:r w:rsidR="00710C98">
        <w:t>/latenc</w:t>
      </w:r>
      <w:r w:rsidR="005D1100">
        <w:t>y</w:t>
      </w:r>
      <w:r>
        <w:t xml:space="preserve">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="009A0A59">
        <w:rPr>
          <w:rFonts w:ascii="Courier New" w:hAnsi="Courier New" w:cs="Courier New"/>
          <w:i/>
          <w:color w:val="4F81BD" w:themeColor="accent1"/>
        </w:rPr>
        <w:t>step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>events where the SBits</w:t>
      </w:r>
      <w:r w:rsidR="00973784">
        <w:t>/strips</w:t>
      </w:r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r>
        <w:t xml:space="preserve">OptoHybrid Wishbone address: </w:t>
      </w:r>
      <w:r w:rsidR="001A3278">
        <w:t xml:space="preserve">0b </w:t>
      </w:r>
      <w:r>
        <w:t>0001 0000 0000 000</w:t>
      </w:r>
      <w:r w:rsidR="00CD0B65">
        <w:t>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threshol</w:t>
            </w:r>
            <w:r w:rsidR="0061775F">
              <w:t xml:space="preserve">d scan on the VFAT2 addressed using the X </w:t>
            </w:r>
            <w:r w:rsidR="00333D61">
              <w:t>parameter (ID of the VFAT2 encoded on 5 bits)</w:t>
            </w:r>
            <w:r w:rsidR="007E58EF">
              <w:t>.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2C12E8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C12E8" w:rsidRDefault="002C12E8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2C12E8" w:rsidRDefault="002C12E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2C12E8" w:rsidRDefault="00E743B2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Pr="00A3126B">
              <w:rPr>
                <w:rFonts w:ascii="Courier New" w:hAnsi="Courier New" w:cs="Courier New"/>
              </w:rPr>
              <w:t>- 2</w:t>
            </w:r>
            <w:r>
              <w:rPr>
                <w:rFonts w:ascii="Courier New" w:hAnsi="Courier New" w:cs="Courier New"/>
              </w:rPr>
              <w:t xml:space="preserve"> bits  - {0, 1, 2}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= threshold scan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= threshold scan by channel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2 = latency scan</w:t>
            </w:r>
          </w:p>
        </w:tc>
      </w:tr>
      <w:tr w:rsidR="006527CE" w:rsidTr="00AF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7633A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9A0A59">
              <w:rPr>
                <w:rFonts w:ascii="Courier New" w:hAnsi="Courier New" w:cs="Courier New"/>
                <w:i/>
              </w:rPr>
              <w:t>tep</w:t>
            </w:r>
            <w:r w:rsidR="00BA51B7">
              <w:rPr>
                <w:rFonts w:ascii="Courier New" w:hAnsi="Courier New" w:cs="Courier New"/>
                <w:i/>
              </w:rPr>
              <w:t xml:space="preserve">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 w:rsidR="002F3EE9">
              <w:rPr>
                <w:rFonts w:ascii="Courier New" w:hAnsi="Courier New" w:cs="Courier New"/>
                <w:i/>
              </w:rPr>
              <w:t xml:space="preserve"> </w:t>
            </w:r>
            <w:r w:rsidR="00BA51B7">
              <w:rPr>
                <w:rFonts w:ascii="Courier New" w:hAnsi="Courier New" w:cs="Courier New"/>
                <w:i/>
              </w:rPr>
              <w:t xml:space="preserve">- </w:t>
            </w:r>
            <w:r w:rsidR="00BA51B7" w:rsidRPr="00F23A66">
              <w:rPr>
                <w:rFonts w:ascii="Courier New" w:hAnsi="Courier New" w:cs="Courier New"/>
              </w:rPr>
              <w:t xml:space="preserve">8 bits </w:t>
            </w:r>
            <w:r w:rsidR="00BA51B7">
              <w:rPr>
                <w:rFonts w:ascii="Courier New" w:hAnsi="Courier New" w:cs="Courier New"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</w:t>
            </w:r>
            <w:r w:rsidR="009829D4">
              <w:rPr>
                <w:rFonts w:ascii="Courier New" w:hAnsi="Courier New" w:cs="Courier New"/>
                <w:i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9829D4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829D4" w:rsidRDefault="009829D4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9829D4" w:rsidRDefault="009829D4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6A2F" w:rsidRDefault="009829D4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channel </w:t>
            </w:r>
            <w:r w:rsidRPr="009829D4">
              <w:rPr>
                <w:rFonts w:ascii="Courier New" w:hAnsi="Courier New" w:cs="Courier New"/>
              </w:rPr>
              <w:t>– 8 bits  - [0x0, 0xFF]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</w:p>
          <w:p w:rsidR="00A611FE" w:rsidRPr="00303A07" w:rsidRDefault="00A611F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303A07">
              <w:rPr>
                <w:rFonts w:cs="Courier New"/>
              </w:rPr>
              <w:t>Only used for a threshold scan by channel</w:t>
            </w:r>
          </w:p>
        </w:tc>
      </w:tr>
      <w:tr w:rsidR="006527CE" w:rsidTr="00F7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7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BA51B7" w:rsidRDefault="009E62D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MSBits hold the threshold/latency </w:t>
            </w:r>
            <w:bookmarkStart w:id="0" w:name="_GoBack"/>
            <w:bookmarkEnd w:id="0"/>
            <w:r w:rsidR="00BA51B7">
              <w:t>value of the point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LSBits hold the number of events that have fired </w:t>
            </w:r>
          </w:p>
          <w:p w:rsidR="00BA51B7" w:rsidRPr="00873C8F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425F5B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25F5B" w:rsidRPr="00425F5B" w:rsidRDefault="00425F5B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9829D4" w:rsidP="00FA30BC">
            <w:pPr>
              <w:jc w:val="both"/>
            </w:pPr>
            <w:r>
              <w:t>8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A85A48" w:rsidRDefault="00A85A48" w:rsidP="00FA30BC">
      <w:pPr>
        <w:jc w:val="both"/>
      </w:pPr>
      <w:r>
        <w:t xml:space="preserve">One Scan module is present per sector on the GEB (6 sectors of 4 VFAT2s). This means that 6 scans can be operated in parallel. The configuration registers ARE NOT shared between sectors </w:t>
      </w:r>
      <w:r w:rsidR="0079157D">
        <w:t>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is in another sector.</w:t>
      </w:r>
    </w:p>
    <w:p w:rsidR="002E4B8A" w:rsidRDefault="002E4B8A" w:rsidP="00FA30BC">
      <w:pPr>
        <w:jc w:val="both"/>
      </w:pPr>
      <w:r>
        <w:t xml:space="preserve">Note that the module will store the value of the </w:t>
      </w:r>
      <w:r w:rsidR="00CC7AE3">
        <w:t>register</w:t>
      </w:r>
      <w:r>
        <w:t xml:space="preserve"> before the scan and </w:t>
      </w:r>
      <w:r w:rsidR="00C36CDF">
        <w:t>reapply</w:t>
      </w:r>
      <w:r>
        <w:t xml:space="preserve"> the latter after the end of the operation.</w:t>
      </w:r>
      <w:r w:rsidR="006426A1">
        <w:t xml:space="preserve"> </w:t>
      </w:r>
    </w:p>
    <w:p w:rsidR="00AB7B84" w:rsidRDefault="00AB7B84" w:rsidP="000D46E8">
      <w:pPr>
        <w:pStyle w:val="Heading1"/>
      </w:pPr>
    </w:p>
    <w:p w:rsidR="00AB7B84" w:rsidRDefault="00AB7B84" w:rsidP="000D46E8">
      <w:pPr>
        <w:pStyle w:val="Heading1"/>
      </w:pPr>
    </w:p>
    <w:p w:rsidR="000700B6" w:rsidRDefault="00931A71" w:rsidP="000D46E8">
      <w:pPr>
        <w:pStyle w:val="Heading1"/>
      </w:pPr>
      <w:r>
        <w:lastRenderedPageBreak/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t xml:space="preserve">A local error occurs if one of the I2C operations used to change the </w:t>
      </w:r>
      <w:r w:rsidR="00AB7B84">
        <w:t>value</w:t>
      </w:r>
      <w:r>
        <w:t xml:space="preserve"> did not succeed. In that case, the value of the 24 LSBits</w:t>
      </w:r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AC4DC6" w:rsidRDefault="00D43FB0" w:rsidP="00AC4DC6">
      <w:pPr>
        <w:pStyle w:val="Title"/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r w:rsidR="00646F04" w:rsidRPr="005719EB">
        <w:rPr>
          <w:rFonts w:ascii="Courier New" w:hAnsi="Courier New" w:cs="Courier New"/>
          <w:i/>
          <w:color w:val="4F81BD" w:themeColor="accent1"/>
        </w:rPr>
        <w:t>mode</w:t>
      </w:r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r>
        <w:t xml:space="preserve">OptoHybrid Wishbone address: 0b </w:t>
      </w:r>
      <w:r w:rsidR="00FC02E5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55F6F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Calpulse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calpulse_sequence</w:t>
            </w:r>
            <w:r w:rsidR="001A30B8">
              <w:rPr>
                <w:rFonts w:ascii="Courier New" w:hAnsi="Courier New" w:cs="Courier New"/>
                <w:i/>
              </w:rPr>
              <w:t xml:space="preserve"> 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resync_sequence</w:t>
            </w:r>
            <w:r w:rsidR="001A30B8">
              <w:rPr>
                <w:rFonts w:ascii="Courier New" w:hAnsi="Courier New" w:cs="Courier New"/>
                <w:i/>
              </w:rPr>
              <w:t xml:space="preserve">   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r w:rsidR="006819FD">
        <w:t xml:space="preserve">Calpulse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C5" w:rsidRDefault="008C58C5" w:rsidP="007647CC">
      <w:pPr>
        <w:spacing w:after="0" w:line="240" w:lineRule="auto"/>
      </w:pPr>
      <w:r>
        <w:separator/>
      </w:r>
    </w:p>
  </w:endnote>
  <w:endnote w:type="continuationSeparator" w:id="0">
    <w:p w:rsidR="008C58C5" w:rsidRDefault="008C58C5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2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C5" w:rsidRDefault="008C58C5" w:rsidP="007647CC">
      <w:pPr>
        <w:spacing w:after="0" w:line="240" w:lineRule="auto"/>
      </w:pPr>
      <w:r>
        <w:separator/>
      </w:r>
    </w:p>
  </w:footnote>
  <w:footnote w:type="continuationSeparator" w:id="0">
    <w:p w:rsidR="008C58C5" w:rsidRDefault="008C58C5" w:rsidP="0076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6A4A"/>
    <w:rsid w:val="000668D4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1FC6"/>
    <w:rsid w:val="000F7F7E"/>
    <w:rsid w:val="00101AEC"/>
    <w:rsid w:val="00103A4D"/>
    <w:rsid w:val="001110C7"/>
    <w:rsid w:val="0011224C"/>
    <w:rsid w:val="0011376E"/>
    <w:rsid w:val="001201DD"/>
    <w:rsid w:val="001228EC"/>
    <w:rsid w:val="001347D2"/>
    <w:rsid w:val="00141993"/>
    <w:rsid w:val="0014552A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37B3"/>
    <w:rsid w:val="001C70C8"/>
    <w:rsid w:val="001D1328"/>
    <w:rsid w:val="001D2E78"/>
    <w:rsid w:val="001F47FE"/>
    <w:rsid w:val="00206070"/>
    <w:rsid w:val="00227A6C"/>
    <w:rsid w:val="00234B57"/>
    <w:rsid w:val="00235FC4"/>
    <w:rsid w:val="002508D4"/>
    <w:rsid w:val="00253319"/>
    <w:rsid w:val="002551A0"/>
    <w:rsid w:val="002700A6"/>
    <w:rsid w:val="00276CF8"/>
    <w:rsid w:val="00284FE7"/>
    <w:rsid w:val="00287A32"/>
    <w:rsid w:val="00290A9E"/>
    <w:rsid w:val="002A5C91"/>
    <w:rsid w:val="002C12E8"/>
    <w:rsid w:val="002E4B8A"/>
    <w:rsid w:val="002F18F1"/>
    <w:rsid w:val="002F3EE9"/>
    <w:rsid w:val="00302116"/>
    <w:rsid w:val="0030226C"/>
    <w:rsid w:val="00303A07"/>
    <w:rsid w:val="003229A0"/>
    <w:rsid w:val="00323B47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60668"/>
    <w:rsid w:val="00482738"/>
    <w:rsid w:val="004918B8"/>
    <w:rsid w:val="004A2DFE"/>
    <w:rsid w:val="004A30B3"/>
    <w:rsid w:val="004A34CB"/>
    <w:rsid w:val="004A581C"/>
    <w:rsid w:val="004B00FC"/>
    <w:rsid w:val="004B3E26"/>
    <w:rsid w:val="004C6B2A"/>
    <w:rsid w:val="004D7933"/>
    <w:rsid w:val="004E598D"/>
    <w:rsid w:val="00502086"/>
    <w:rsid w:val="00523692"/>
    <w:rsid w:val="00526E4C"/>
    <w:rsid w:val="00544B0E"/>
    <w:rsid w:val="00564B26"/>
    <w:rsid w:val="005702CC"/>
    <w:rsid w:val="005719EB"/>
    <w:rsid w:val="005954F7"/>
    <w:rsid w:val="005B6730"/>
    <w:rsid w:val="005D1100"/>
    <w:rsid w:val="005E3426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F2747"/>
    <w:rsid w:val="00710C98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11BCB"/>
    <w:rsid w:val="00824FD9"/>
    <w:rsid w:val="008450FF"/>
    <w:rsid w:val="00870172"/>
    <w:rsid w:val="00873C8F"/>
    <w:rsid w:val="00882049"/>
    <w:rsid w:val="008A03F0"/>
    <w:rsid w:val="008A3CE1"/>
    <w:rsid w:val="008A76B7"/>
    <w:rsid w:val="008B5D44"/>
    <w:rsid w:val="008C0BFB"/>
    <w:rsid w:val="008C2828"/>
    <w:rsid w:val="008C58C5"/>
    <w:rsid w:val="008D5367"/>
    <w:rsid w:val="00901DEA"/>
    <w:rsid w:val="009255AA"/>
    <w:rsid w:val="009301FE"/>
    <w:rsid w:val="00931A71"/>
    <w:rsid w:val="00937A58"/>
    <w:rsid w:val="00940581"/>
    <w:rsid w:val="009647DE"/>
    <w:rsid w:val="00964A01"/>
    <w:rsid w:val="00966A68"/>
    <w:rsid w:val="00973784"/>
    <w:rsid w:val="009829D4"/>
    <w:rsid w:val="009A0A59"/>
    <w:rsid w:val="009A2C60"/>
    <w:rsid w:val="009A7044"/>
    <w:rsid w:val="009E62D7"/>
    <w:rsid w:val="00A3126B"/>
    <w:rsid w:val="00A31620"/>
    <w:rsid w:val="00A360F7"/>
    <w:rsid w:val="00A36808"/>
    <w:rsid w:val="00A458C6"/>
    <w:rsid w:val="00A45C6D"/>
    <w:rsid w:val="00A611FE"/>
    <w:rsid w:val="00A61AEE"/>
    <w:rsid w:val="00A73197"/>
    <w:rsid w:val="00A85A48"/>
    <w:rsid w:val="00A865BE"/>
    <w:rsid w:val="00A9195E"/>
    <w:rsid w:val="00A937EA"/>
    <w:rsid w:val="00AB7B84"/>
    <w:rsid w:val="00AC4DC6"/>
    <w:rsid w:val="00AC6461"/>
    <w:rsid w:val="00AC6A2F"/>
    <w:rsid w:val="00AC7E77"/>
    <w:rsid w:val="00AE3C7F"/>
    <w:rsid w:val="00B03497"/>
    <w:rsid w:val="00B15C0E"/>
    <w:rsid w:val="00B31DC5"/>
    <w:rsid w:val="00B33BE9"/>
    <w:rsid w:val="00B34D83"/>
    <w:rsid w:val="00B40B57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355F1"/>
    <w:rsid w:val="00C36CDF"/>
    <w:rsid w:val="00C36FFD"/>
    <w:rsid w:val="00C4560E"/>
    <w:rsid w:val="00C57370"/>
    <w:rsid w:val="00C93619"/>
    <w:rsid w:val="00C943B7"/>
    <w:rsid w:val="00CA2898"/>
    <w:rsid w:val="00CC01B9"/>
    <w:rsid w:val="00CC1844"/>
    <w:rsid w:val="00CC7AE3"/>
    <w:rsid w:val="00CD0B65"/>
    <w:rsid w:val="00CD4D36"/>
    <w:rsid w:val="00CD76BF"/>
    <w:rsid w:val="00CE6B19"/>
    <w:rsid w:val="00CF67C0"/>
    <w:rsid w:val="00D20B54"/>
    <w:rsid w:val="00D2313F"/>
    <w:rsid w:val="00D2602A"/>
    <w:rsid w:val="00D43FB0"/>
    <w:rsid w:val="00D44AB4"/>
    <w:rsid w:val="00D55F6F"/>
    <w:rsid w:val="00D57487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205B"/>
    <w:rsid w:val="00DE66F6"/>
    <w:rsid w:val="00E11014"/>
    <w:rsid w:val="00E14624"/>
    <w:rsid w:val="00E51A2C"/>
    <w:rsid w:val="00E71F3A"/>
    <w:rsid w:val="00E743B2"/>
    <w:rsid w:val="00E81421"/>
    <w:rsid w:val="00E90E99"/>
    <w:rsid w:val="00EA5D3A"/>
    <w:rsid w:val="00EB78A3"/>
    <w:rsid w:val="00EC6147"/>
    <w:rsid w:val="00ED5FC1"/>
    <w:rsid w:val="00EE24CC"/>
    <w:rsid w:val="00F17217"/>
    <w:rsid w:val="00F23A66"/>
    <w:rsid w:val="00F527FC"/>
    <w:rsid w:val="00F66450"/>
    <w:rsid w:val="00F918C1"/>
    <w:rsid w:val="00FA30BC"/>
    <w:rsid w:val="00FC02E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300</cp:revision>
  <cp:lastPrinted>2015-08-12T13:15:00Z</cp:lastPrinted>
  <dcterms:created xsi:type="dcterms:W3CDTF">2015-08-11T12:26:00Z</dcterms:created>
  <dcterms:modified xsi:type="dcterms:W3CDTF">2015-08-13T08:34:00Z</dcterms:modified>
</cp:coreProperties>
</file>