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100" w:line="240" w:lineRule="auto"/>
        <w:rPr>
          <w:b w:val="1"/>
          <w:bCs w:val="1"/>
          <w:color w:val="1b1c1d"/>
          <w:sz w:val="20"/>
          <w:szCs w:val="20"/>
          <w:highlight w:val="yellow"/>
        </w:rPr>
      </w:pPr>
      <w:r w:rsidDel="00000000" w:rsidR="00000000" w:rsidRPr="00000000">
        <w:rPr>
          <w:b w:val="1"/>
          <w:bCs w:val="1"/>
          <w:color w:val="1b1c1d"/>
          <w:sz w:val="20"/>
          <w:szCs w:val="20"/>
          <w:highlight w:val="yellow"/>
          <w:rtl w:val="0"/>
        </w:rPr>
        <w:t xml:space="preserve">Need to add in the Vision section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100" w:line="240" w:lineRule="auto"/>
        <w:rPr>
          <w:b w:val="1"/>
          <w:bCs w:val="1"/>
          <w:color w:val="1b1c1d"/>
          <w:sz w:val="20"/>
          <w:szCs w:val="20"/>
          <w:highlight w:val="yellow"/>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00" w:line="240" w:lineRule="auto"/>
        <w:rPr>
          <w:b w:val="1"/>
          <w:bCs w:val="1"/>
          <w:color w:val="1b1c1d"/>
          <w:sz w:val="20"/>
          <w:szCs w:val="20"/>
          <w:highlight w:val="yellow"/>
        </w:rPr>
      </w:pPr>
      <w:r w:rsidDel="00000000" w:rsidR="00000000" w:rsidRPr="00000000">
        <w:rPr>
          <w:b w:val="1"/>
          <w:bCs w:val="1"/>
          <w:color w:val="1b1c1d"/>
          <w:sz w:val="20"/>
          <w:szCs w:val="20"/>
          <w:highlight w:val="yellow"/>
          <w:rtl w:val="0"/>
        </w:rPr>
        <w:t xml:space="preserve">Why is this important?</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00" w:line="240" w:lineRule="auto"/>
        <w:rPr>
          <w:b w:val="1"/>
          <w:bCs w:val="1"/>
          <w:color w:val="1b1c1d"/>
          <w:sz w:val="20"/>
          <w:szCs w:val="20"/>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00" w:line="240" w:lineRule="auto"/>
        <w:rPr>
          <w:color w:val="1b1c1d"/>
          <w:sz w:val="20"/>
          <w:szCs w:val="20"/>
        </w:rPr>
      </w:pPr>
      <w:r w:rsidDel="00000000" w:rsidR="00000000" w:rsidRPr="00000000">
        <w:rPr>
          <w:color w:val="1b1c1d"/>
          <w:sz w:val="20"/>
          <w:szCs w:val="20"/>
          <w:rtl w:val="0"/>
        </w:rPr>
        <w:t xml:space="preserve">Our collective ability to weave Artificial Intelligence into our daily work is amongst the single greatest opportunities we have to elevate our customer and employee experiences. It’s how we’ll unlock the next wave of inspiration, innovation and efficiency.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00" w:line="240" w:lineRule="auto"/>
        <w:rPr>
          <w:color w:val="1b1c1d"/>
          <w:sz w:val="20"/>
          <w:szCs w:val="20"/>
        </w:rPr>
      </w:pPr>
      <w:r w:rsidDel="00000000" w:rsidR="00000000" w:rsidRPr="00000000">
        <w:rPr>
          <w:color w:val="1b1c1d"/>
          <w:sz w:val="20"/>
          <w:szCs w:val="20"/>
          <w:rtl w:val="0"/>
        </w:rPr>
        <w:t xml:space="preserve">That is why we are creating a dedicated space on the CXO Portal for all of us. Our goal is to build a dynamic community of practice (not just a static repository of links); a space to empower, educate, and inspire one another.</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00" w:line="240" w:lineRule="auto"/>
        <w:rPr>
          <w:color w:val="1b1c1d"/>
          <w:sz w:val="20"/>
          <w:szCs w:val="20"/>
        </w:rPr>
      </w:pPr>
      <w:r w:rsidDel="00000000" w:rsidR="00000000" w:rsidRPr="00000000">
        <w:rPr>
          <w:color w:val="1b1c1d"/>
          <w:sz w:val="20"/>
          <w:szCs w:val="20"/>
          <w:rtl w:val="0"/>
        </w:rPr>
        <w:t xml:space="preserve">Built across 3 primary pillars, this material will include:</w:t>
      </w:r>
    </w:p>
    <w:tbl>
      <w:tblPr>
        <w:tblStyle w:val="Table1"/>
        <w:tblW w:w="9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80.9999999999995"/>
        <w:gridCol w:w="6429.000000000001"/>
        <w:tblGridChange w:id="0">
          <w:tblGrid>
            <w:gridCol w:w="3080.9999999999995"/>
            <w:gridCol w:w="6429.000000000001"/>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8">
            <w:pPr>
              <w:widowControl w:val="0"/>
              <w:spacing w:after="100" w:line="240" w:lineRule="auto"/>
              <w:rPr>
                <w:b w:val="1"/>
                <w:bCs w:val="1"/>
                <w:color w:val="1b1c1d"/>
                <w:sz w:val="20"/>
                <w:szCs w:val="20"/>
              </w:rPr>
            </w:pPr>
            <w:r w:rsidDel="00000000" w:rsidR="00000000" w:rsidRPr="00000000">
              <w:rPr>
                <w:b w:val="1"/>
                <w:bCs w:val="1"/>
                <w:color w:val="1b1c1d"/>
                <w:sz w:val="20"/>
                <w:szCs w:val="20"/>
                <w:rtl w:val="0"/>
              </w:rPr>
              <w:t xml:space="preserve">Pillar &amp; Objective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09">
            <w:pPr>
              <w:widowControl w:val="0"/>
              <w:spacing w:after="100" w:line="240" w:lineRule="auto"/>
              <w:rPr>
                <w:b w:val="1"/>
                <w:bCs w:val="1"/>
                <w:color w:val="1b1c1d"/>
                <w:sz w:val="20"/>
                <w:szCs w:val="20"/>
              </w:rPr>
            </w:pPr>
            <w:r w:rsidDel="00000000" w:rsidR="00000000" w:rsidRPr="00000000">
              <w:rPr>
                <w:b w:val="1"/>
                <w:bCs w:val="1"/>
                <w:color w:val="1b1c1d"/>
                <w:sz w:val="20"/>
                <w:szCs w:val="20"/>
                <w:rtl w:val="0"/>
              </w:rPr>
              <w:t xml:space="preserve">Key Initiatives</w:t>
            </w:r>
          </w:p>
        </w:tc>
      </w:tr>
      <w:tr>
        <w:trPr>
          <w:cantSplit w:val="0"/>
          <w:trHeight w:val="488.9252929687498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numPr>
                <w:ilvl w:val="0"/>
                <w:numId w:val="1"/>
              </w:numPr>
              <w:spacing w:after="100" w:line="240" w:lineRule="auto"/>
              <w:ind w:left="270"/>
              <w:rPr>
                <w:b w:val="1"/>
                <w:bCs w:val="1"/>
                <w:color w:val="1b1c1d"/>
                <w:sz w:val="20"/>
                <w:szCs w:val="20"/>
              </w:rPr>
            </w:pPr>
            <w:r w:rsidDel="00000000" w:rsidR="00000000" w:rsidRPr="00000000">
              <w:rPr>
                <w:b w:val="1"/>
                <w:bCs w:val="1"/>
                <w:color w:val="1b1c1d"/>
                <w:sz w:val="20"/>
                <w:szCs w:val="20"/>
                <w:rtl w:val="0"/>
              </w:rPr>
              <w:t xml:space="preserve">Inspiration, Enablement &amp; Discovery</w:t>
            </w:r>
          </w:p>
          <w:p w:rsidR="00000000" w:rsidDel="00000000" w:rsidP="00000000" w:rsidRDefault="00000000" w:rsidRPr="00000000" w14:paraId="0000000B">
            <w:pPr>
              <w:widowControl w:val="0"/>
              <w:spacing w:after="100" w:line="240" w:lineRule="auto"/>
              <w:ind w:left="270" w:firstLine="0"/>
              <w:rPr>
                <w:b w:val="1"/>
                <w:bCs w:val="1"/>
                <w:color w:val="1b1c1d"/>
                <w:sz w:val="20"/>
                <w:szCs w:val="20"/>
              </w:rPr>
            </w:pPr>
            <w:r w:rsidDel="00000000" w:rsidR="00000000" w:rsidRPr="00000000">
              <w:rPr>
                <w:color w:val="1b1c1d"/>
                <w:sz w:val="20"/>
                <w:szCs w:val="20"/>
                <w:rtl w:val="0"/>
              </w:rPr>
              <w:t xml:space="preserve">Providing a single source of truth for our approved AI tools and the foundational knowledge needed to use them effectively.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numPr>
                <w:ilvl w:val="0"/>
                <w:numId w:val="3"/>
              </w:numPr>
              <w:spacing w:after="100" w:line="240" w:lineRule="auto"/>
              <w:ind w:left="270"/>
              <w:rPr>
                <w:color w:val="1b1c1d"/>
                <w:sz w:val="20"/>
                <w:szCs w:val="20"/>
              </w:rPr>
            </w:pPr>
            <w:r w:rsidDel="00000000" w:rsidR="00000000" w:rsidRPr="00000000">
              <w:rPr>
                <w:color w:val="1b1c1d"/>
                <w:sz w:val="20"/>
                <w:szCs w:val="20"/>
                <w:rtl w:val="0"/>
              </w:rPr>
              <w:t xml:space="preserve">Messaging from Brian and his leadership team encouraging engagement and adoption of our AI tools. </w:t>
            </w:r>
            <w:r w:rsidDel="00000000" w:rsidR="00000000" w:rsidRPr="00000000">
              <w:rPr>
                <w:color w:val="38761d"/>
                <w:sz w:val="20"/>
                <w:szCs w:val="20"/>
                <w:rtl w:val="0"/>
              </w:rPr>
              <w:t xml:space="preserve">This messaging will also convey leader expectations and guidance for setting the tone locally across every CXO team</w:t>
            </w:r>
            <w:r w:rsidDel="00000000" w:rsidR="00000000" w:rsidRPr="00000000">
              <w:rPr>
                <w:rtl w:val="0"/>
              </w:rPr>
            </w:r>
          </w:p>
          <w:p w:rsidR="00000000" w:rsidDel="00000000" w:rsidP="00000000" w:rsidRDefault="00000000" w:rsidRPr="00000000" w14:paraId="0000000D">
            <w:pPr>
              <w:widowControl w:val="0"/>
              <w:numPr>
                <w:ilvl w:val="0"/>
                <w:numId w:val="3"/>
              </w:numPr>
              <w:spacing w:after="100" w:line="240" w:lineRule="auto"/>
              <w:ind w:left="270"/>
              <w:rPr>
                <w:color w:val="1b1c1d"/>
                <w:sz w:val="20"/>
                <w:szCs w:val="20"/>
              </w:rPr>
            </w:pPr>
            <w:r w:rsidDel="00000000" w:rsidR="00000000" w:rsidRPr="00000000">
              <w:rPr>
                <w:color w:val="1b1c1d"/>
                <w:sz w:val="20"/>
                <w:szCs w:val="20"/>
                <w:rtl w:val="0"/>
              </w:rPr>
              <w:t xml:space="preserve">AI Tool Catalog: A simple directory of available tools (Gemini, ConvoIQ, etc.), their primary uses, and access links. Job-family specific AI tools will be included here too</w:t>
            </w:r>
          </w:p>
          <w:p w:rsidR="00000000" w:rsidDel="00000000" w:rsidP="00000000" w:rsidRDefault="00000000" w:rsidRPr="00000000" w14:paraId="0000000E">
            <w:pPr>
              <w:widowControl w:val="0"/>
              <w:numPr>
                <w:ilvl w:val="0"/>
                <w:numId w:val="3"/>
              </w:numPr>
              <w:spacing w:after="100" w:line="240" w:lineRule="auto"/>
              <w:ind w:left="270"/>
              <w:rPr>
                <w:color w:val="1b1c1d"/>
                <w:sz w:val="20"/>
                <w:szCs w:val="20"/>
              </w:rPr>
            </w:pPr>
            <w:r w:rsidDel="00000000" w:rsidR="00000000" w:rsidRPr="00000000">
              <w:rPr>
                <w:color w:val="1b1c1d"/>
                <w:sz w:val="20"/>
                <w:szCs w:val="20"/>
                <w:rtl w:val="0"/>
              </w:rPr>
              <w:t xml:space="preserve">Learning Center: Curated, easy-to-access training modules and reference tools, referencing existing resources, training replays and tools wherever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numPr>
                <w:ilvl w:val="0"/>
                <w:numId w:val="1"/>
              </w:numPr>
              <w:spacing w:after="100" w:line="240" w:lineRule="auto"/>
              <w:ind w:left="270"/>
              <w:rPr>
                <w:b w:val="1"/>
                <w:bCs w:val="1"/>
                <w:color w:val="1b1c1d"/>
                <w:sz w:val="20"/>
                <w:szCs w:val="20"/>
              </w:rPr>
            </w:pPr>
            <w:r w:rsidDel="00000000" w:rsidR="00000000" w:rsidRPr="00000000">
              <w:rPr>
                <w:b w:val="1"/>
                <w:bCs w:val="1"/>
                <w:color w:val="1b1c1d"/>
                <w:sz w:val="20"/>
                <w:szCs w:val="20"/>
                <w:rtl w:val="0"/>
              </w:rPr>
              <w:t xml:space="preserve">Inspiration &amp; Application</w:t>
            </w:r>
          </w:p>
          <w:p w:rsidR="00000000" w:rsidDel="00000000" w:rsidP="00000000" w:rsidRDefault="00000000" w:rsidRPr="00000000" w14:paraId="00000010">
            <w:pPr>
              <w:widowControl w:val="0"/>
              <w:spacing w:after="100" w:line="240" w:lineRule="auto"/>
              <w:ind w:left="270" w:firstLine="0"/>
              <w:rPr>
                <w:b w:val="1"/>
                <w:bCs w:val="1"/>
                <w:color w:val="1b1c1d"/>
                <w:sz w:val="20"/>
                <w:szCs w:val="20"/>
              </w:rPr>
            </w:pPr>
            <w:r w:rsidDel="00000000" w:rsidR="00000000" w:rsidRPr="00000000">
              <w:rPr>
                <w:color w:val="1b1c1d"/>
                <w:sz w:val="20"/>
                <w:szCs w:val="20"/>
                <w:rtl w:val="0"/>
              </w:rPr>
              <w:t xml:space="preserve">Make AI’s value tangible and relatable by showcasing real-world applications and successes from within our own team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numPr>
                <w:ilvl w:val="0"/>
                <w:numId w:val="3"/>
              </w:numPr>
              <w:spacing w:after="100" w:line="240" w:lineRule="auto"/>
              <w:ind w:left="270"/>
              <w:rPr>
                <w:color w:val="1b1c1d"/>
                <w:sz w:val="20"/>
                <w:szCs w:val="20"/>
              </w:rPr>
            </w:pPr>
            <w:r w:rsidDel="00000000" w:rsidR="00000000" w:rsidRPr="00000000">
              <w:rPr>
                <w:color w:val="1b1c1d"/>
                <w:sz w:val="20"/>
                <w:szCs w:val="20"/>
                <w:rtl w:val="0"/>
              </w:rPr>
              <w:t xml:space="preserve">Showcasing Success: Putting CXO faces (team members) to best practice use cases to demonstrate practical value across roles (Design, Product, Experience Management, CXO Strategy, Experience Insights etc.).</w:t>
            </w:r>
          </w:p>
          <w:p w:rsidR="00000000" w:rsidDel="00000000" w:rsidP="00000000" w:rsidRDefault="00000000" w:rsidRPr="00000000" w14:paraId="00000012">
            <w:pPr>
              <w:widowControl w:val="0"/>
              <w:numPr>
                <w:ilvl w:val="0"/>
                <w:numId w:val="3"/>
              </w:numPr>
              <w:spacing w:after="100" w:line="240" w:lineRule="auto"/>
              <w:ind w:left="270"/>
              <w:rPr>
                <w:color w:val="1b1c1d"/>
                <w:sz w:val="20"/>
                <w:szCs w:val="20"/>
              </w:rPr>
            </w:pPr>
            <w:r w:rsidDel="00000000" w:rsidR="00000000" w:rsidRPr="00000000">
              <w:rPr>
                <w:color w:val="1b1c1d"/>
                <w:sz w:val="20"/>
                <w:szCs w:val="20"/>
                <w:rtl w:val="0"/>
              </w:rPr>
              <w:t xml:space="preserve">Role-Based Playbooks: Actionable examples tailored to specific job functions.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numPr>
                <w:ilvl w:val="0"/>
                <w:numId w:val="1"/>
              </w:numPr>
              <w:spacing w:after="100" w:line="240" w:lineRule="auto"/>
              <w:ind w:left="270"/>
              <w:rPr>
                <w:b w:val="1"/>
                <w:bCs w:val="1"/>
                <w:color w:val="1b1c1d"/>
                <w:sz w:val="20"/>
                <w:szCs w:val="20"/>
              </w:rPr>
            </w:pPr>
            <w:r w:rsidDel="00000000" w:rsidR="00000000" w:rsidRPr="00000000">
              <w:rPr>
                <w:b w:val="1"/>
                <w:bCs w:val="1"/>
                <w:color w:val="1b1c1d"/>
                <w:sz w:val="20"/>
                <w:szCs w:val="20"/>
                <w:rtl w:val="0"/>
              </w:rPr>
              <w:t xml:space="preserve">Community &amp; Collaboration</w:t>
            </w:r>
          </w:p>
          <w:p w:rsidR="00000000" w:rsidDel="00000000" w:rsidP="00000000" w:rsidRDefault="00000000" w:rsidRPr="00000000" w14:paraId="00000014">
            <w:pPr>
              <w:widowControl w:val="0"/>
              <w:spacing w:after="100" w:line="240" w:lineRule="auto"/>
              <w:ind w:left="270" w:firstLine="0"/>
              <w:rPr>
                <w:color w:val="1b1c1d"/>
                <w:sz w:val="20"/>
                <w:szCs w:val="20"/>
              </w:rPr>
            </w:pPr>
            <w:r w:rsidDel="00000000" w:rsidR="00000000" w:rsidRPr="00000000">
              <w:rPr>
                <w:color w:val="1b1c1d"/>
                <w:sz w:val="20"/>
                <w:szCs w:val="20"/>
                <w:rtl w:val="0"/>
              </w:rPr>
              <w:t xml:space="preserve">Foster a vibrant, peer-to-peer culture of shared learning, continuous improvement, and collective problem-solving.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numPr>
                <w:ilvl w:val="0"/>
                <w:numId w:val="3"/>
              </w:numPr>
              <w:spacing w:after="100" w:line="240" w:lineRule="auto"/>
              <w:ind w:left="270"/>
              <w:rPr>
                <w:color w:val="1b1c1d"/>
                <w:sz w:val="20"/>
                <w:szCs w:val="20"/>
              </w:rPr>
            </w:pPr>
            <w:r w:rsidDel="00000000" w:rsidR="00000000" w:rsidRPr="00000000">
              <w:rPr>
                <w:color w:val="1b1c1d"/>
                <w:sz w:val="20"/>
                <w:szCs w:val="20"/>
                <w:rtl w:val="0"/>
              </w:rPr>
              <w:t xml:space="preserve">Best Practice Exchange: A community-fed library for sharing "Gemini Gems," custom prompts, and other community authored tips. </w:t>
            </w:r>
          </w:p>
          <w:p w:rsidR="00000000" w:rsidDel="00000000" w:rsidP="00000000" w:rsidRDefault="00000000" w:rsidRPr="00000000" w14:paraId="00000016">
            <w:pPr>
              <w:widowControl w:val="0"/>
              <w:numPr>
                <w:ilvl w:val="0"/>
                <w:numId w:val="3"/>
              </w:numPr>
              <w:spacing w:after="100" w:line="240" w:lineRule="auto"/>
              <w:ind w:left="270"/>
              <w:rPr>
                <w:color w:val="1b1c1d"/>
                <w:sz w:val="20"/>
                <w:szCs w:val="20"/>
              </w:rPr>
            </w:pPr>
            <w:r w:rsidDel="00000000" w:rsidR="00000000" w:rsidRPr="00000000">
              <w:rPr>
                <w:color w:val="1b1c1d"/>
                <w:sz w:val="20"/>
                <w:szCs w:val="20"/>
                <w:rtl w:val="0"/>
              </w:rPr>
              <w:t xml:space="preserve">Community Channels: Promotion and integration of Slack channels, regular "Lunch &amp; Learns," and forums to scale our knowledge together.</w:t>
            </w:r>
          </w:p>
          <w:p w:rsidR="00000000" w:rsidDel="00000000" w:rsidP="00000000" w:rsidRDefault="00000000" w:rsidRPr="00000000" w14:paraId="00000017">
            <w:pPr>
              <w:widowControl w:val="0"/>
              <w:numPr>
                <w:ilvl w:val="0"/>
                <w:numId w:val="3"/>
              </w:numPr>
              <w:spacing w:after="100" w:line="240" w:lineRule="auto"/>
              <w:ind w:left="270"/>
              <w:rPr>
                <w:color w:val="38761d"/>
                <w:sz w:val="20"/>
                <w:szCs w:val="20"/>
              </w:rPr>
            </w:pPr>
            <w:r w:rsidDel="00000000" w:rsidR="00000000" w:rsidRPr="00000000">
              <w:rPr>
                <w:color w:val="38761d"/>
                <w:sz w:val="20"/>
                <w:szCs w:val="20"/>
                <w:rtl w:val="0"/>
              </w:rPr>
              <w:t xml:space="preserve">Gamification &amp; Contests: Implement friendly team competition, such as monthly usage contests recognized by Brian, or AVP-level head-to-head friendly competitions, to drive a positive, engaging tone. </w:t>
            </w:r>
          </w:p>
        </w:tc>
      </w:tr>
    </w:tbl>
    <w:p w:rsidR="00000000" w:rsidDel="00000000" w:rsidP="00000000" w:rsidRDefault="00000000" w:rsidRPr="00000000" w14:paraId="00000018">
      <w:pPr>
        <w:spacing w:after="100" w:line="240" w:lineRule="auto"/>
        <w:rPr>
          <w:sz w:val="20"/>
          <w:szCs w:val="20"/>
        </w:rPr>
      </w:pPr>
      <w:r w:rsidDel="00000000" w:rsidR="00000000" w:rsidRPr="00000000">
        <w:rPr>
          <w:rtl w:val="0"/>
        </w:rPr>
      </w:r>
    </w:p>
    <w:p w:rsidR="00000000" w:rsidDel="00000000" w:rsidP="00000000" w:rsidRDefault="00000000" w:rsidRPr="00000000" w14:paraId="00000019">
      <w:pPr>
        <w:numPr>
          <w:ilvl w:val="0"/>
          <w:numId w:val="2"/>
        </w:numPr>
        <w:spacing w:after="0" w:afterAutospacing="0" w:line="240" w:lineRule="auto"/>
        <w:ind w:left="270"/>
        <w:rPr>
          <w:color w:val="38761d"/>
          <w:sz w:val="20"/>
          <w:szCs w:val="20"/>
        </w:rPr>
      </w:pPr>
      <w:r w:rsidDel="00000000" w:rsidR="00000000" w:rsidRPr="00000000">
        <w:rPr>
          <w:color w:val="38761d"/>
          <w:sz w:val="20"/>
          <w:szCs w:val="20"/>
          <w:rtl w:val="0"/>
        </w:rPr>
        <w:t xml:space="preserve">We will start with an "encourage vs. require" approach for adoption. Our focus will be on driving excitement and, where possible, incorporating gamification, fun, and friendly team competition to accelerate usage. Key to our success is balancing structure (leader toolkits and messaging) with effective engagement strategies. </w:t>
      </w:r>
    </w:p>
    <w:p w:rsidR="00000000" w:rsidDel="00000000" w:rsidP="00000000" w:rsidRDefault="00000000" w:rsidRPr="00000000" w14:paraId="0000001A">
      <w:pPr>
        <w:numPr>
          <w:ilvl w:val="0"/>
          <w:numId w:val="2"/>
        </w:numPr>
        <w:spacing w:after="0" w:afterAutospacing="0" w:line="240" w:lineRule="auto"/>
        <w:ind w:left="270"/>
        <w:rPr>
          <w:color w:val="38761d"/>
          <w:sz w:val="20"/>
          <w:szCs w:val="20"/>
        </w:rPr>
      </w:pPr>
      <w:r w:rsidDel="00000000" w:rsidR="00000000" w:rsidRPr="00000000">
        <w:rPr>
          <w:color w:val="38761d"/>
          <w:sz w:val="20"/>
          <w:szCs w:val="20"/>
          <w:rtl w:val="0"/>
        </w:rPr>
        <w:t xml:space="preserve">We will leverage CXO comms channels, including Slack, to drive engagement to CXO Portal content (i.e. while the CXO portal is the anchor; strategies will be needed to drive engagement towards it).</w:t>
      </w:r>
    </w:p>
    <w:p w:rsidR="00000000" w:rsidDel="00000000" w:rsidP="00000000" w:rsidRDefault="00000000" w:rsidRPr="00000000" w14:paraId="0000001B">
      <w:pPr>
        <w:numPr>
          <w:ilvl w:val="0"/>
          <w:numId w:val="2"/>
        </w:numPr>
        <w:spacing w:after="100" w:line="240" w:lineRule="auto"/>
        <w:ind w:left="270"/>
        <w:rPr>
          <w:color w:val="38761d"/>
          <w:sz w:val="20"/>
          <w:szCs w:val="20"/>
        </w:rPr>
      </w:pPr>
      <w:r w:rsidDel="00000000" w:rsidR="00000000" w:rsidRPr="00000000">
        <w:rPr>
          <w:color w:val="38761d"/>
          <w:sz w:val="20"/>
          <w:szCs w:val="20"/>
          <w:rtl w:val="0"/>
        </w:rPr>
        <w:t xml:space="preserve">To ensure a successful rollout, we are launching Leadership Toolkits for all Senior Directors and above. These resources will provide a clear framework for communicating expectations and empowering them to lead their teams' adoption efforts.</w:t>
      </w: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