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a0rauw4ue5h" w:id="0"/>
      <w:bookmarkEnd w:id="0"/>
      <w:r w:rsidDel="00000000" w:rsidR="00000000" w:rsidRPr="00000000">
        <w:rPr>
          <w:b w:val="1"/>
          <w:bCs w:val="1"/>
          <w:color w:val="000000"/>
          <w:sz w:val="26"/>
          <w:szCs w:val="26"/>
          <w:rtl w:val="0"/>
        </w:rPr>
        <w:t xml:space="preserve">The Architecture of Alliance: Building a Culture of Partnership</w:t>
      </w:r>
    </w:p>
    <w:p w:rsidR="00000000" w:rsidDel="00000000" w:rsidP="00000000" w:rsidRDefault="00000000" w:rsidRPr="00000000" w14:paraId="00000002">
      <w:pPr>
        <w:spacing w:after="240" w:before="240" w:lineRule="auto"/>
        <w:rPr/>
      </w:pPr>
      <w:r w:rsidDel="00000000" w:rsidR="00000000" w:rsidRPr="00000000">
        <w:rPr>
          <w:rtl w:val="0"/>
        </w:rPr>
        <w:t xml:space="preserve">Have you ever stopped to consider why some collaborations feel like a battle to be won, while others flow like a conversation between old friends? The difference rarely lies in the project's complexity or the talent of the individuals involved. Instead, it lies in the architecture of the relationship itself. In a large design organization, where the success of our work is inextricably linked to the efforts of countless others—from development to product management—mastering the art of partnership is not just a soft skill; it is the most critical competency for innovation and execution. True, sustainable partnership is not a happy accident; it is the deliberate result of building a foundation on empathy, prioritizing relational investment over transactional exchanges, and intentionally cultivating a broad, supportive network across the entire organization.</w:t>
      </w:r>
    </w:p>
    <w:p w:rsidR="00000000" w:rsidDel="00000000" w:rsidP="00000000" w:rsidRDefault="00000000" w:rsidRPr="00000000" w14:paraId="00000003">
      <w:pPr>
        <w:spacing w:after="240" w:before="240" w:lineRule="auto"/>
        <w:rPr/>
      </w:pPr>
      <w:r w:rsidDel="00000000" w:rsidR="00000000" w:rsidRPr="00000000">
        <w:rPr>
          <w:rtl w:val="0"/>
        </w:rPr>
        <w:t xml:space="preserve">The absolute cornerstone of any successful collaboration is a deep-seated empathy for your partners' goals, motivations, and challenges. Before I ever pitch an idea or propose a solution like our VDS (Verizon Design System), my primary objective is to understand the world from the other person's perspective. What are their KPIs? What pressures are they under? What does success look like for their team? This isn’t just about giving lip service; it’s about a genuine effort to see if what I am offering is truly of value to </w:t>
      </w:r>
      <w:r w:rsidDel="00000000" w:rsidR="00000000" w:rsidRPr="00000000">
        <w:rPr>
          <w:i w:val="1"/>
          <w:iCs w:val="1"/>
          <w:rtl w:val="0"/>
        </w:rPr>
        <w:t xml:space="preserve">them</w:t>
      </w:r>
      <w:r w:rsidDel="00000000" w:rsidR="00000000" w:rsidRPr="00000000">
        <w:rPr>
          <w:rtl w:val="0"/>
        </w:rPr>
        <w:t xml:space="preserve">. I’ve learned that assuming pushback is born from animosity is a fatal flaw in collaboration. More often than not, it’s a signal of an underlying constraint or priority on their end that I simply don’t understand. By shifting the focus from "my success" to "our success," the dynamic changes from a sales pitch to a joint problem-solving session. This empathetic approach dismantles the "us vs. them" mentality, which is the most common poison to effective cross-functional work, and replaces it with a shared sense of purpose.</w:t>
      </w:r>
    </w:p>
    <w:p w:rsidR="00000000" w:rsidDel="00000000" w:rsidP="00000000" w:rsidRDefault="00000000" w:rsidRPr="00000000" w14:paraId="00000004">
      <w:pPr>
        <w:spacing w:after="240" w:before="240" w:lineRule="auto"/>
        <w:rPr/>
      </w:pPr>
      <w:r w:rsidDel="00000000" w:rsidR="00000000" w:rsidRPr="00000000">
        <w:rPr>
          <w:rtl w:val="0"/>
        </w:rPr>
        <w:t xml:space="preserve">Building on that foundation of empathy, sustainable partnerships are nurtured through consistent, non-transactional investment in people. If the only time a colleague hears from me is when I need something, I haven’t built a partnership; I’ve just established a transaction. I consider myself an "extroverted introvert," and while my natural inclination might be to keep to myself, I’ve learned that my career and our collective success depend on my willingness to connect. This means making time for conversations that have no immediate transactional element. It means reaching out to a team just to ask, "Is there anything I can do for you?" It means being an advocate for others in meetings where they might not have a voice, as I often did for our GTS partners during late-night crisis bridges. These actions build a reservoir of trust and goodwill. This trust becomes the currency that allows teams to navigate difficult conversations, overcome inevitable obstacles, and, most importantly, assume the best intentions in one another when conflicts arise.</w:t>
      </w:r>
    </w:p>
    <w:p w:rsidR="00000000" w:rsidDel="00000000" w:rsidP="00000000" w:rsidRDefault="00000000" w:rsidRPr="00000000" w14:paraId="00000005">
      <w:pPr>
        <w:spacing w:after="240" w:before="240" w:lineRule="auto"/>
        <w:rPr/>
      </w:pPr>
      <w:r w:rsidDel="00000000" w:rsidR="00000000" w:rsidRPr="00000000">
        <w:rPr>
          <w:rtl w:val="0"/>
        </w:rPr>
        <w:t xml:space="preserve">Finally, to create a truly collaborative design organization, these principles must be scaled from the individual to the institutional level through the intentional cultivation of a broad, cross-functional network. When I moved into my director role, I didn’t wait for connections to happen organically. I made a list of my peers, of VPs whose work our design system could impact, and I systematically reached out to get to know them. My goal was not just to expand my influence, but to understand the organizational landscape and find opportunities for mutual benefit. The result of this intentional networking is that you create advocates—people at all levels who understand your work, value your partnership, and will speak favorably about you and your team even when you’re not in the room. When individuals and teams make it a priority to understand and connect with the broader organization, they actively break down the silos that stifle innovation. This proactive approach moves beyond passive collaboration and into active culture-shaping, creating a more cohesive, resilient, and ultimately more effective ecosystem for everyone.</w:t>
      </w:r>
    </w:p>
    <w:p w:rsidR="00000000" w:rsidDel="00000000" w:rsidP="00000000" w:rsidRDefault="00000000" w:rsidRPr="00000000" w14:paraId="00000006">
      <w:pPr>
        <w:spacing w:after="240" w:before="240" w:lineRule="auto"/>
        <w:rPr/>
      </w:pPr>
      <w:r w:rsidDel="00000000" w:rsidR="00000000" w:rsidRPr="00000000">
        <w:rPr>
          <w:rtl w:val="0"/>
        </w:rPr>
        <w:t xml:space="preserve">In the end, a culture of powerful partnership is not a matter of chance but of deliberate design. It is constructed by rejecting a narrow, self-serving view in favor of genuine empathy for our partners' realities. It is fortified by investing in relationships as human connections, not as mere transactions. And it is scaled by intentionally weaving a network of trust and mutual respect that extends across every team and function. The greatest products and most innovative experiences we aspire to create will not be born from isolated pockets of brilliance, but from the strong, resilient alliances we build with one another, one conversation at a time.</w:t>
      </w:r>
    </w:p>
    <w:p w:rsidR="00000000" w:rsidDel="00000000" w:rsidP="00000000" w:rsidRDefault="00000000" w:rsidRPr="00000000" w14:paraId="00000007">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D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ind w:right="1065"/>
      <w:jc w:val="right"/>
    </w:pPr>
    <w:rPr>
      <w:rFonts w:ascii="Verizon NHG DS" w:cs="Verizon NHG DS" w:eastAsia="Verizon NHG DS" w:hAnsi="Verizon NHG DS"/>
      <w:b w:val="1"/>
      <w:bCs w:val="1"/>
      <w:color w:val="ffffff"/>
      <w:sz w:val="72"/>
      <w:szCs w:val="72"/>
    </w:rPr>
  </w:style>
  <w:style w:type="paragraph" w:styleId="Heading2">
    <w:name w:val="heading 2"/>
    <w:basedOn w:val="Normal"/>
    <w:next w:val="Normal"/>
    <w:pPr>
      <w:keepNext w:val="1"/>
      <w:keepLines w:val="1"/>
      <w:pageBreakBefore w:val="0"/>
      <w:spacing w:after="120" w:before="360" w:lineRule="auto"/>
    </w:pPr>
    <w:rPr>
      <w:rFonts w:ascii="Verizon NHG DS" w:cs="Verizon NHG DS" w:eastAsia="Verizon NHG DS" w:hAnsi="Verizon NHG DS"/>
      <w:b w:val="1"/>
      <w:b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erizonNHGDS-regular.ttf"/><Relationship Id="rId2" Type="http://schemas.openxmlformats.org/officeDocument/2006/relationships/font" Target="fonts/VerizonNHGDS-bold.ttf"/><Relationship Id="rId3" Type="http://schemas.openxmlformats.org/officeDocument/2006/relationships/font" Target="fonts/VerizonNHGDS-italic.ttf"/><Relationship Id="rId4"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