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23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9.png" ContentType="image/png"/>
  <Override PartName="/word/media/rId72.png" ContentType="image/png"/>
  <Override PartName="/word/media/rId27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Precarious</w:t>
      </w:r>
      <w:r>
        <w:t xml:space="preserve"> </w:t>
      </w:r>
      <w:r>
        <w:t xml:space="preserve">employment</w:t>
      </w:r>
      <w:r>
        <w:t xml:space="preserve"> </w:t>
      </w:r>
      <w:r>
        <w:t xml:space="preserve">-</w:t>
      </w:r>
      <w:r>
        <w:t xml:space="preserve"> </w:t>
      </w:r>
      <w:r>
        <w:t xml:space="preserve">descriptive</w:t>
      </w:r>
      <w:r>
        <w:t xml:space="preserve"> </w:t>
      </w:r>
      <w:r>
        <w:t xml:space="preserve">analysis</w:t>
      </w:r>
      <w:r>
        <w:t xml:space="preserve"> </w:t>
      </w:r>
      <w:r>
        <w:t xml:space="preserve">(unweighted)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Pulford</w:t>
      </w:r>
    </w:p>
    <w:p>
      <w:pPr>
        <w:pStyle w:val="FirstParagraph"/>
      </w:pPr>
      <w:r>
        <w:rPr>
          <w:iCs/>
          <w:i/>
        </w:rPr>
        <w:t xml:space="preserve">UNWEIGHTED RESULTS - FOR ILLUSTRATIVE PURPOSES ONLY</w:t>
      </w:r>
    </w:p>
    <w:bookmarkStart w:id="26" w:name="sample-description"/>
    <w:p>
      <w:pPr>
        <w:pStyle w:val="Heading2"/>
      </w:pPr>
      <w:r>
        <w:t xml:space="preserve">Sample description</w:t>
      </w:r>
    </w:p>
    <w:p>
      <w:pPr>
        <w:pStyle w:val="FirstParagraph"/>
      </w:pPr>
      <w:r>
        <w:t xml:space="preserve">A total of 63,660 individuals participated in UKHLS waves 3-6 and 49,028 in waves 7-10 (Figure 1). We excluded 13,258 and 9,751 individuals respectively for not being aged 20-64 at the end point of the study period; plus 4,835 and 8,375 individuals respectively who did not have valid weights. From eligible populations of 23,555 and 19,732 we excluded 5,938 and 5,175 retired individuals; and 1,456 and 1,594 individuals who reported missing data for key exposure and outcomes of interest at waves 6 or 10 respectively. Table 1 presents key characteristics of the analytic sample at baseline by employment contract status (UKHLS wave 2).</w:t>
      </w:r>
    </w:p>
    <w:p>
      <w:pPr>
        <w:pStyle w:val="BodyText"/>
      </w:pPr>
      <w:r>
        <w:rPr>
          <w:bCs/>
          <w:b/>
        </w:rPr>
        <w:t xml:space="preserve">Figure 1: Flowcharts for inclusion and exclusion of UKHLS respondents to create analytic sample</w:t>
      </w:r>
    </w:p>
    <w:p>
      <w:pPr>
        <w:pStyle w:val="BodyText"/>
      </w:pPr>
      <w:r>
        <w:rPr>
          <w:bCs/>
          <w:b/>
        </w:rPr>
        <w:t xml:space="preserve">(a) Sample A (waves 3-6)</w:t>
      </w:r>
      <w:r>
        <w:t xml:space="preserve"> </w:t>
      </w:r>
      <w:r>
        <w:drawing>
          <wp:inline>
            <wp:extent cx="5334000" cy="411946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2-07_prec_emp_descriptive_repor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9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(b) Sample B (waves 7-10)</w:t>
      </w:r>
      <w:r>
        <w:t xml:space="preserve"> </w:t>
      </w:r>
      <w:r>
        <w:drawing>
          <wp:inline>
            <wp:extent cx="5334000" cy="411946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2-07_prec_emp_descriptive_report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9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"Sample A - boxes AA and B to not equal box A"</w:t>
      </w:r>
    </w:p>
    <w:p>
      <w:pPr>
        <w:pStyle w:val="SourceCode"/>
      </w:pPr>
      <w:r>
        <w:rPr>
          <w:rStyle w:val="VerbatimChar"/>
        </w:rPr>
        <w:t xml:space="preserve">## [1] "Sample B - boxes AA and B to not equal box A"</w:t>
      </w:r>
    </w:p>
    <w:p>
      <w:r>
        <w:br w:type="page"/>
      </w:r>
    </w:p>
    <w:p>
      <w:pPr>
        <w:pStyle w:val="FirstParagraph"/>
      </w:pPr>
      <w:r>
        <w:rPr>
          <w:bCs/>
          <w:b/>
        </w:rPr>
        <w:t xml:space="preserve">Table 1: Analytic sample characteristics at study endpoint (UKHLS waves 6 and 10)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7"/>
        <w:gridCol w:w="2227"/>
        <w:gridCol w:w="907"/>
        <w:gridCol w:w="907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 (wave 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(wave 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 (wave 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(wave 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9,024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7,306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7,137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5,657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36.9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38.3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14,017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10,819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non-white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Marital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married/civil partnership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8,476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divorced/separated/widowed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1,839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single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3,362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2,583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Educational attainment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inapplicable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other higher 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a-level 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2,465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gcse 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other qualification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qualification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north east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north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yorkshire and the humber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1,257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east midlands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west midlands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1,284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east of england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1,639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1,451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south east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south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scotland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northern ireland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Employment contract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fixed-term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permanent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12,840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non-employment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2,535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Broken employment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unbroken employment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12,841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broken employment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1,513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employment spells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Perceived job 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likely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likely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unlikely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3,886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very unlikely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5,353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Multiple jobs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14,964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12,045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Monthly net income (£)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 quantile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1026.9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1078.5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1573.5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1654.7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75% quantile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2260.8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2409.7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Self-rated 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excellent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very good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4,627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4,394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4,289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poor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GHQ12 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13,163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 or more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</w:t>
            </w:r>
          </w:p>
        </w:tc>
      </w:tr>
    </w:tbl>
    <w:p>
      <w:r>
        <w:br w:type="page"/>
      </w:r>
    </w:p>
    <w:bookmarkEnd w:id="26"/>
    <w:bookmarkStart w:id="33" w:name="missing-data"/>
    <w:p>
      <w:pPr>
        <w:pStyle w:val="Heading2"/>
      </w:pPr>
      <w:r>
        <w:t xml:space="preserve">Missing data</w:t>
      </w:r>
    </w:p>
    <w:p>
      <w:pPr>
        <w:pStyle w:val="FirstParagraph"/>
      </w:pPr>
      <w:r>
        <w:t xml:space="preserve">Responses to all four waves in the study period were provided by 96.4% of analytic sample A and 95.7% of analytic sample B (Figure 2). Valid response sequences ascending in order of frequency are presented in Figure 3.</w:t>
      </w:r>
    </w:p>
    <w:p>
      <w:pPr>
        <w:pStyle w:val="BodyText"/>
      </w:pPr>
      <w:r>
        <w:rPr>
          <w:bCs/>
          <w:b/>
        </w:rPr>
        <w:t xml:space="preserve">Figure 2: Number of waves responded to by percentage of the analytic sample</w:t>
      </w:r>
      <w:r>
        <w:t xml:space="preserve"> </w:t>
      </w:r>
      <w:r>
        <w:drawing>
          <wp:inline>
            <wp:extent cx="3696101" cy="277207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2-07_prec_emp_descriptive_report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Figure 3: Valid response sequences ascending in order of frequency</w:t>
      </w:r>
    </w:p>
    <w:p>
      <w:pPr>
        <w:pStyle w:val="BodyText"/>
      </w:pPr>
      <w:r>
        <w:drawing>
          <wp:inline>
            <wp:extent cx="5334000" cy="66675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2-07_prec_emp_descriptive_report_files/figure-docx/unnamed-chunk-7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3"/>
    <w:bookmarkStart w:id="46" w:name="X3be336f3ad240eedd89760f94c0f07bf575e4c0"/>
    <w:p>
      <w:pPr>
        <w:pStyle w:val="Heading2"/>
      </w:pPr>
      <w:r>
        <w:t xml:space="preserve">Sequence analysis of precrious employment exposures of interest</w:t>
      </w:r>
    </w:p>
    <w:bookmarkStart w:id="37" w:name="employment-contract"/>
    <w:p>
      <w:pPr>
        <w:pStyle w:val="Heading3"/>
      </w:pPr>
      <w:r>
        <w:t xml:space="preserve">Employment contract</w:t>
      </w:r>
    </w:p>
    <w:p>
      <w:pPr>
        <w:pStyle w:val="FirstParagraph"/>
      </w:pPr>
      <w:r>
        <w:t xml:space="preserve">Figure 4 presents employment contract sequences ascending in order of frequency and Table 2 present frequencies and percentages of manually calculated grouping based on assumptions of likely grouping made a priori to sequence analysis of the data. The majority of participants were found to be in steady permanent employment in both analytic samples (11.6% in Sample A and 11.4% in Sample B). Under one percent of either sample reported steady non-permanent employment (0.4% in Sample A and 0.9% in Sample B). A larger proportion of the analytic samples were classed as a</w:t>
      </w:r>
      <w:r>
        <w:t xml:space="preserve"> </w:t>
      </w:r>
      <w:r>
        <w:t xml:space="preserve">“</w:t>
      </w:r>
      <w:r>
        <w:t xml:space="preserve">blip</w:t>
      </w:r>
      <w:r>
        <w:t xml:space="preserve">”</w:t>
      </w:r>
      <w:r>
        <w:t xml:space="preserve"> </w:t>
      </w:r>
      <w:r>
        <w:t xml:space="preserve">(one wave of non-permanent employment and three waves of permanent employment) (0.6% in Sample A and 0.4% in Sample B); or as</w:t>
      </w:r>
      <w:r>
        <w:t xml:space="preserve"> </w:t>
      </w:r>
      <w:r>
        <w:t xml:space="preserve">“</w:t>
      </w:r>
      <w:r>
        <w:t xml:space="preserve">churning</w:t>
      </w:r>
      <w:r>
        <w:t xml:space="preserve">”</w:t>
      </w:r>
      <w:r>
        <w:t xml:space="preserve"> </w:t>
      </w:r>
      <w:r>
        <w:t xml:space="preserve">between employment contract states (86.4% in Sample A and 86.1% in Sample B).</w:t>
      </w:r>
    </w:p>
    <w:p>
      <w:pPr>
        <w:pStyle w:val="BodyText"/>
      </w:pPr>
      <w:r>
        <w:rPr>
          <w:bCs/>
          <w:b/>
        </w:rPr>
        <w:t xml:space="preserve">Figure 4: Employment contract sequences ascending in order of frequency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2-07_prec_emp_descriptive_report_files/figure-docx/unnamed-chunk-9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Table 2: A priori employment contract history groupings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4"/>
        <w:gridCol w:w="1144"/>
        <w:gridCol w:w="1144"/>
        <w:gridCol w:w="1144"/>
        <w:gridCol w:w="114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 priori employment contract grouping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(Sample 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(Sample 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(Sample B)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(Sample B)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steady: permanent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steady: non-permanent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churn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13,956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11,163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blip: non-permanent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incomplete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</w:tr>
    </w:tbl>
    <w:bookmarkEnd w:id="37"/>
    <w:bookmarkStart w:id="41" w:name="employment-spells"/>
    <w:p>
      <w:pPr>
        <w:pStyle w:val="Heading3"/>
      </w:pPr>
      <w:r>
        <w:t xml:space="preserve">Employment spells</w:t>
      </w:r>
    </w:p>
    <w:p>
      <w:pPr>
        <w:pStyle w:val="FirstParagraph"/>
      </w:pPr>
      <w:r>
        <w:t xml:space="preserve">Figure 5 presents employment spell sequences ascending in order of frequency and Table 3 present frequencies and percentages of manually calculated grouping based on a priori assumptions of likely groupings. The majority of participants were found to be in steady unbroken employment in both analytic samples (65.6% in Sample A and 67.1% in Sample B). Under one percent of either sample reported steady broken employment (0.5% in Sample A and 0.4% in Sample B). A larger proportion of the analytic samples were classed as a</w:t>
      </w:r>
      <w:r>
        <w:t xml:space="preserve"> </w:t>
      </w:r>
      <w:r>
        <w:t xml:space="preserve">“</w:t>
      </w:r>
      <w:r>
        <w:t xml:space="preserve">blip</w:t>
      </w:r>
      <w:r>
        <w:t xml:space="preserve">”</w:t>
      </w:r>
      <w:r>
        <w:t xml:space="preserve"> </w:t>
      </w:r>
      <w:r>
        <w:t xml:space="preserve">(one wave of broken employment and three waves of unbroken employment) (4.6% in Sample A and 4.6% in Sample B); or as</w:t>
      </w:r>
      <w:r>
        <w:t xml:space="preserve"> </w:t>
      </w:r>
      <w:r>
        <w:t xml:space="preserve">“</w:t>
      </w:r>
      <w:r>
        <w:t xml:space="preserve">churning</w:t>
      </w:r>
      <w:r>
        <w:t xml:space="preserve">”</w:t>
      </w:r>
      <w:r>
        <w:t xml:space="preserve"> </w:t>
      </w:r>
      <w:r>
        <w:t xml:space="preserve">between employment spells states (16.4% in Sample A and 14.3% in Sample B).</w:t>
      </w:r>
    </w:p>
    <w:p>
      <w:pPr>
        <w:pStyle w:val="BodyText"/>
      </w:pPr>
      <w:r>
        <w:rPr>
          <w:bCs/>
          <w:b/>
        </w:rPr>
        <w:t xml:space="preserve">Figure 5: Employment spell sequences ascending in order of frequency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2-07_prec_emp_descriptive_report_files/figure-docx/unnamed-chunk-12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Table 3: A priori employment spells history groupings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84"/>
        <w:gridCol w:w="1083"/>
        <w:gridCol w:w="1083"/>
        <w:gridCol w:w="1083"/>
        <w:gridCol w:w="108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 priori broken employment spells grouping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(Sample 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(Sample 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(Sample B)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(Sample B)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steady: unbroken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10,599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8,701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steady: broken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steady: no employment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churn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2,653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blip: broken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blip: no employment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incomplete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</w:tr>
    </w:tbl>
    <w:bookmarkEnd w:id="41"/>
    <w:bookmarkStart w:id="45" w:name="multiple-jobs"/>
    <w:p>
      <w:pPr>
        <w:pStyle w:val="Heading3"/>
      </w:pPr>
      <w:r>
        <w:t xml:space="preserve">Multiple jobs</w:t>
      </w:r>
    </w:p>
    <w:p>
      <w:pPr>
        <w:pStyle w:val="FirstParagraph"/>
      </w:pPr>
      <w:r>
        <w:t xml:space="preserve">Figure 6 presents mutliple job sequences ascending in order of frequency and Table 4 present frequencies and percentages of manually calculated grouping based on a priori assumptions of likely groupings. Multiple jobs were relatively uncommon in both analytic samples. Steady multiple employment was reported in % in Sample A and % in Sample B. A larger proportion of the analytic samples were classed as a</w:t>
      </w:r>
      <w:r>
        <w:t xml:space="preserve"> </w:t>
      </w:r>
      <w:r>
        <w:t xml:space="preserve">“</w:t>
      </w:r>
      <w:r>
        <w:t xml:space="preserve">blip</w:t>
      </w:r>
      <w:r>
        <w:t xml:space="preserve">”</w:t>
      </w:r>
      <w:r>
        <w:t xml:space="preserve"> </w:t>
      </w:r>
      <w:r>
        <w:t xml:space="preserve">(one wave of multiple employment and three waves without) (% in Sample A and % in Sample B); or as</w:t>
      </w:r>
      <w:r>
        <w:t xml:space="preserve"> </w:t>
      </w:r>
      <w:r>
        <w:t xml:space="preserve">“</w:t>
      </w:r>
      <w:r>
        <w:t xml:space="preserve">churning</w:t>
      </w:r>
      <w:r>
        <w:t xml:space="preserve">”</w:t>
      </w:r>
      <w:r>
        <w:t xml:space="preserve"> </w:t>
      </w:r>
      <w:r>
        <w:t xml:space="preserve">between multiple employment states (99% in Sample A and 98.8% in Sample B).</w:t>
      </w:r>
    </w:p>
    <w:p>
      <w:pPr>
        <w:pStyle w:val="BodyText"/>
      </w:pPr>
      <w:r>
        <w:rPr>
          <w:bCs/>
          <w:b/>
        </w:rPr>
        <w:t xml:space="preserve">Figure 6: Multiple job sequences ascending in order of frequency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2-07_prec_emp_descriptive_report_files/figure-docx/unnamed-chunk-15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Table 4: A priori multiple employment history groupings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706"/>
        <w:gridCol w:w="1303"/>
        <w:gridCol w:w="1303"/>
        <w:gridCol w:w="1303"/>
        <w:gridCol w:w="130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 priori multiple grouping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(Sample 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(Sample 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(Sample B)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(Sample B)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churn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15,998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12,808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incomplete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45"/>
    <w:bookmarkEnd w:id="46"/>
    <w:bookmarkStart w:id="77" w:name="latent-class-analaysis"/>
    <w:p>
      <w:pPr>
        <w:pStyle w:val="Heading2"/>
      </w:pPr>
      <w:r>
        <w:t xml:space="preserve">Latent class analaysis</w:t>
      </w:r>
    </w:p>
    <w:bookmarkStart w:id="57" w:name="emploment-contract---sample-a"/>
    <w:p>
      <w:pPr>
        <w:pStyle w:val="Heading3"/>
      </w:pPr>
      <w:r>
        <w:t xml:space="preserve">Emploment contract - Sample 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44"/>
        <w:gridCol w:w="571"/>
        <w:gridCol w:w="489"/>
        <w:gridCol w:w="489"/>
        <w:gridCol w:w="408"/>
        <w:gridCol w:w="489"/>
        <w:gridCol w:w="653"/>
        <w:gridCol w:w="4572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entropy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sample_grp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2011-2015: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high unemployment/low income period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2011-2015: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high unemployment/low income period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2011-2015: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high unemployment/low income period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2011-2015: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high unemployment/low income period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2011-2015: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high unemployment/low income period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2011-2015: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high unemployment/low income period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2011-2015: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high unemployment/low income period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drawing>
          <wp:inline>
            <wp:extent cx="5080000" cy="5080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2-07_prec_emp_descriptive_report_files/figure-docx/unnamed-chunk-17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6" w:name="sample-a---five-class-model"/>
    <w:p>
      <w:pPr>
        <w:pStyle w:val="Heading4"/>
      </w:pPr>
      <w:r>
        <w:t xml:space="preserve">Sample A - five class model</w:t>
      </w:r>
    </w:p>
    <w:p>
      <w:pPr>
        <w:pStyle w:val="SourceCode"/>
      </w:pPr>
      <w:r>
        <w:rPr>
          <w:rStyle w:val="VerbatimChar"/>
        </w:rPr>
        <w:t xml:space="preserve">## Conditional item response (column) probabilities,</w:t>
      </w:r>
      <w:r>
        <w:br/>
      </w:r>
      <w:r>
        <w:rPr>
          <w:rStyle w:val="VerbatimChar"/>
        </w:rPr>
        <w:t xml:space="preserve">##  by outcome variable, for each class (row)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$wv_3</w:t>
      </w:r>
      <w:r>
        <w:br/>
      </w:r>
      <w:r>
        <w:rPr>
          <w:rStyle w:val="VerbatimChar"/>
        </w:rPr>
        <w:t xml:space="preserve">##           Pr(1) Pr(2) Pr(3)</w:t>
      </w:r>
      <w:r>
        <w:br/>
      </w:r>
      <w:r>
        <w:rPr>
          <w:rStyle w:val="VerbatimChar"/>
        </w:rPr>
        <w:t xml:space="preserve">## class 1:  0.487  0.40  0.11</w:t>
      </w:r>
      <w:r>
        <w:br/>
      </w:r>
      <w:r>
        <w:rPr>
          <w:rStyle w:val="VerbatimChar"/>
        </w:rPr>
        <w:t xml:space="preserve">## class 2:  0.020  0.96  0.02</w:t>
      </w:r>
      <w:r>
        <w:br/>
      </w:r>
      <w:r>
        <w:rPr>
          <w:rStyle w:val="VerbatimChar"/>
        </w:rPr>
        <w:t xml:space="preserve">## class 3:  0.014  0.04  0.94</w:t>
      </w:r>
      <w:r>
        <w:br/>
      </w:r>
      <w:r>
        <w:rPr>
          <w:rStyle w:val="VerbatimChar"/>
        </w:rPr>
        <w:t xml:space="preserve">## class 4:  0.003  0.17  0.83</w:t>
      </w:r>
      <w:r>
        <w:br/>
      </w:r>
      <w:r>
        <w:rPr>
          <w:rStyle w:val="VerbatimChar"/>
        </w:rPr>
        <w:t xml:space="preserve">## class 5:  0.040  0.82  0.14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$wv_4</w:t>
      </w:r>
      <w:r>
        <w:br/>
      </w:r>
      <w:r>
        <w:rPr>
          <w:rStyle w:val="VerbatimChar"/>
        </w:rPr>
        <w:t xml:space="preserve">##           Pr(1) Pr(2) Pr(3)</w:t>
      </w:r>
      <w:r>
        <w:br/>
      </w:r>
      <w:r>
        <w:rPr>
          <w:rStyle w:val="VerbatimChar"/>
        </w:rPr>
        <w:t xml:space="preserve">## class 1:  0.601 0.340 0.059</w:t>
      </w:r>
      <w:r>
        <w:br/>
      </w:r>
      <w:r>
        <w:rPr>
          <w:rStyle w:val="VerbatimChar"/>
        </w:rPr>
        <w:t xml:space="preserve">## class 2:  0.011 0.983 0.005</w:t>
      </w:r>
      <w:r>
        <w:br/>
      </w:r>
      <w:r>
        <w:rPr>
          <w:rStyle w:val="VerbatimChar"/>
        </w:rPr>
        <w:t xml:space="preserve">## class 3:  0.008 0.001 0.991</w:t>
      </w:r>
      <w:r>
        <w:br/>
      </w:r>
      <w:r>
        <w:rPr>
          <w:rStyle w:val="VerbatimChar"/>
        </w:rPr>
        <w:t xml:space="preserve">## class 4:  0.144 0.000 0.856</w:t>
      </w:r>
      <w:r>
        <w:br/>
      </w:r>
      <w:r>
        <w:rPr>
          <w:rStyle w:val="VerbatimChar"/>
        </w:rPr>
        <w:t xml:space="preserve">## class 5:  0.000 0.840 0.160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$wv_5</w:t>
      </w:r>
      <w:r>
        <w:br/>
      </w:r>
      <w:r>
        <w:rPr>
          <w:rStyle w:val="VerbatimChar"/>
        </w:rPr>
        <w:t xml:space="preserve">##           Pr(1) Pr(2) Pr(3)</w:t>
      </w:r>
      <w:r>
        <w:br/>
      </w:r>
      <w:r>
        <w:rPr>
          <w:rStyle w:val="VerbatimChar"/>
        </w:rPr>
        <w:t xml:space="preserve">## class 1:  0.505 0.438  0.06</w:t>
      </w:r>
      <w:r>
        <w:br/>
      </w:r>
      <w:r>
        <w:rPr>
          <w:rStyle w:val="VerbatimChar"/>
        </w:rPr>
        <w:t xml:space="preserve">## class 2:  0.011 0.989  0.00</w:t>
      </w:r>
      <w:r>
        <w:br/>
      </w:r>
      <w:r>
        <w:rPr>
          <w:rStyle w:val="VerbatimChar"/>
        </w:rPr>
        <w:t xml:space="preserve">## class 3:  0.003 0.001  1.00</w:t>
      </w:r>
      <w:r>
        <w:br/>
      </w:r>
      <w:r>
        <w:rPr>
          <w:rStyle w:val="VerbatimChar"/>
        </w:rPr>
        <w:t xml:space="preserve">## class 4:  0.217 0.682  0.10</w:t>
      </w:r>
      <w:r>
        <w:br/>
      </w:r>
      <w:r>
        <w:rPr>
          <w:rStyle w:val="VerbatimChar"/>
        </w:rPr>
        <w:t xml:space="preserve">## class 5:  0.060 0.284  0.66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$wv_6</w:t>
      </w:r>
      <w:r>
        <w:br/>
      </w:r>
      <w:r>
        <w:rPr>
          <w:rStyle w:val="VerbatimChar"/>
        </w:rPr>
        <w:t xml:space="preserve">##           Pr(1) Pr(2) Pr(3)</w:t>
      </w:r>
      <w:r>
        <w:br/>
      </w:r>
      <w:r>
        <w:rPr>
          <w:rStyle w:val="VerbatimChar"/>
        </w:rPr>
        <w:t xml:space="preserve">## class 1:   0.42  0.53  0.05</w:t>
      </w:r>
      <w:r>
        <w:br/>
      </w:r>
      <w:r>
        <w:rPr>
          <w:rStyle w:val="VerbatimChar"/>
        </w:rPr>
        <w:t xml:space="preserve">## class 2:   0.02  0.97  0.01</w:t>
      </w:r>
      <w:r>
        <w:br/>
      </w:r>
      <w:r>
        <w:rPr>
          <w:rStyle w:val="VerbatimChar"/>
        </w:rPr>
        <w:t xml:space="preserve">## class 3:   0.03  0.05  0.92</w:t>
      </w:r>
      <w:r>
        <w:br/>
      </w:r>
      <w:r>
        <w:rPr>
          <w:rStyle w:val="VerbatimChar"/>
        </w:rPr>
        <w:t xml:space="preserve">## class 4:   0.14  0.75  0.10</w:t>
      </w:r>
      <w:r>
        <w:br/>
      </w:r>
      <w:r>
        <w:rPr>
          <w:rStyle w:val="VerbatimChar"/>
        </w:rPr>
        <w:t xml:space="preserve">## class 5:   0.11  0.41  0.48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class population shares </w:t>
      </w:r>
      <w:r>
        <w:br/>
      </w:r>
      <w:r>
        <w:rPr>
          <w:rStyle w:val="VerbatimChar"/>
        </w:rPr>
        <w:t xml:space="preserve">##  0.06 0.7 0.1 0.02 0.03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Predicted class memberships (by modal posterior prob.) </w:t>
      </w:r>
      <w:r>
        <w:br/>
      </w:r>
      <w:r>
        <w:rPr>
          <w:rStyle w:val="VerbatimChar"/>
        </w:rPr>
        <w:t xml:space="preserve">##  0.05 0.8 0.1 0.02 0.02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========================================================= </w:t>
      </w:r>
      <w:r>
        <w:br/>
      </w:r>
      <w:r>
        <w:rPr>
          <w:rStyle w:val="VerbatimChar"/>
        </w:rPr>
        <w:t xml:space="preserve">## Fit for 5 latent classes: </w:t>
      </w:r>
      <w:r>
        <w:br/>
      </w:r>
      <w:r>
        <w:rPr>
          <w:rStyle w:val="VerbatimChar"/>
        </w:rPr>
        <w:t xml:space="preserve">## ========================================================= </w:t>
      </w:r>
      <w:r>
        <w:br/>
      </w:r>
      <w:r>
        <w:rPr>
          <w:rStyle w:val="VerbatimChar"/>
        </w:rPr>
        <w:t xml:space="preserve">## number of observations: 16161 </w:t>
      </w:r>
      <w:r>
        <w:br/>
      </w:r>
      <w:r>
        <w:rPr>
          <w:rStyle w:val="VerbatimChar"/>
        </w:rPr>
        <w:t xml:space="preserve">## number of fully observed cases: 15344 </w:t>
      </w:r>
      <w:r>
        <w:br/>
      </w:r>
      <w:r>
        <w:rPr>
          <w:rStyle w:val="VerbatimChar"/>
        </w:rPr>
        <w:t xml:space="preserve">## number of estimated parameters: 44 </w:t>
      </w:r>
      <w:r>
        <w:br/>
      </w:r>
      <w:r>
        <w:rPr>
          <w:rStyle w:val="VerbatimChar"/>
        </w:rPr>
        <w:t xml:space="preserve">## residual degrees of freedom: 36 </w:t>
      </w:r>
      <w:r>
        <w:br/>
      </w:r>
      <w:r>
        <w:rPr>
          <w:rStyle w:val="VerbatimChar"/>
        </w:rPr>
        <w:t xml:space="preserve">## maximum log-likelihood: -24875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AIC(5): 49838</w:t>
      </w:r>
      <w:r>
        <w:br/>
      </w:r>
      <w:r>
        <w:rPr>
          <w:rStyle w:val="VerbatimChar"/>
        </w:rPr>
        <w:t xml:space="preserve">## BIC(5): 50177</w:t>
      </w:r>
      <w:r>
        <w:br/>
      </w:r>
      <w:r>
        <w:rPr>
          <w:rStyle w:val="VerbatimChar"/>
        </w:rPr>
        <w:t xml:space="preserve">## G^2(5): 171 (Likelihood ratio/deviance statistic) </w:t>
      </w:r>
      <w:r>
        <w:br/>
      </w:r>
      <w:r>
        <w:rPr>
          <w:rStyle w:val="VerbatimChar"/>
        </w:rPr>
        <w:t xml:space="preserve">## X^2(5): 179 (Chi-square goodness of fit)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5080000" cy="5080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2-07_prec_emp_descriptive_report_files/figure-docx/unnamed-chunk-1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2-07_prec_emp_descriptive_report_files/figure-docx/unnamed-chunk-19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Start w:id="68" w:name="emploment-contract---sample-b"/>
    <w:p>
      <w:pPr>
        <w:pStyle w:val="Heading3"/>
      </w:pPr>
      <w:r>
        <w:t xml:space="preserve">Emploment contract - Sample B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0"/>
        <w:gridCol w:w="538"/>
        <w:gridCol w:w="461"/>
        <w:gridCol w:w="461"/>
        <w:gridCol w:w="384"/>
        <w:gridCol w:w="461"/>
        <w:gridCol w:w="615"/>
        <w:gridCol w:w="4767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entropy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sample_grp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2015-2019: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lower unemployment/stagnant income period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2015-2019: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lower unemployment/stagnant income period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2015-2019: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lower unemployment/stagnant income period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2015-2019: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lower unemployment/stagnant income period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39631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2015-2019: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lower unemployment/stagnant income period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2015-2019: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lower unemployment/stagnant income period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2015-2019: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lower unemployment/stagnant income period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drawing>
          <wp:inline>
            <wp:extent cx="5080000" cy="50800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2-07_prec_emp_descriptive_report_files/figure-docx/unnamed-chunk-20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7" w:name="sample-b---five-class-model"/>
    <w:p>
      <w:pPr>
        <w:pStyle w:val="Heading4"/>
      </w:pPr>
      <w:r>
        <w:t xml:space="preserve">Sample B - five class model</w:t>
      </w:r>
    </w:p>
    <w:p>
      <w:pPr>
        <w:pStyle w:val="SourceCode"/>
      </w:pPr>
      <w:r>
        <w:rPr>
          <w:rStyle w:val="VerbatimChar"/>
        </w:rPr>
        <w:t xml:space="preserve">## Conditional item response (column) probabilities,</w:t>
      </w:r>
      <w:r>
        <w:br/>
      </w:r>
      <w:r>
        <w:rPr>
          <w:rStyle w:val="VerbatimChar"/>
        </w:rPr>
        <w:t xml:space="preserve">##  by outcome variable, for each class (row)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$wv_7</w:t>
      </w:r>
      <w:r>
        <w:br/>
      </w:r>
      <w:r>
        <w:rPr>
          <w:rStyle w:val="VerbatimChar"/>
        </w:rPr>
        <w:t xml:space="preserve">##           Pr(1) Pr(2) Pr(3)</w:t>
      </w:r>
      <w:r>
        <w:br/>
      </w:r>
      <w:r>
        <w:rPr>
          <w:rStyle w:val="VerbatimChar"/>
        </w:rPr>
        <w:t xml:space="preserve">## class 1:  0.358 0.597  0.04</w:t>
      </w:r>
      <w:r>
        <w:br/>
      </w:r>
      <w:r>
        <w:rPr>
          <w:rStyle w:val="VerbatimChar"/>
        </w:rPr>
        <w:t xml:space="preserve">## class 2:  0.020 0.964  0.02</w:t>
      </w:r>
      <w:r>
        <w:br/>
      </w:r>
      <w:r>
        <w:rPr>
          <w:rStyle w:val="VerbatimChar"/>
        </w:rPr>
        <w:t xml:space="preserve">## class 3:  0.008 0.003  0.99</w:t>
      </w:r>
      <w:r>
        <w:br/>
      </w:r>
      <w:r>
        <w:rPr>
          <w:rStyle w:val="VerbatimChar"/>
        </w:rPr>
        <w:t xml:space="preserve">## class 4:  0.166 0.109  0.73</w:t>
      </w:r>
      <w:r>
        <w:br/>
      </w:r>
      <w:r>
        <w:rPr>
          <w:rStyle w:val="VerbatimChar"/>
        </w:rPr>
        <w:t xml:space="preserve">## class 5:  0.074 0.785  0.14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$wv_8</w:t>
      </w:r>
      <w:r>
        <w:br/>
      </w:r>
      <w:r>
        <w:rPr>
          <w:rStyle w:val="VerbatimChar"/>
        </w:rPr>
        <w:t xml:space="preserve">##           Pr(1) Pr(2) Pr(3)</w:t>
      </w:r>
      <w:r>
        <w:br/>
      </w:r>
      <w:r>
        <w:rPr>
          <w:rStyle w:val="VerbatimChar"/>
        </w:rPr>
        <w:t xml:space="preserve">## class 1:  0.564   0.4 0.039</w:t>
      </w:r>
      <w:r>
        <w:br/>
      </w:r>
      <w:r>
        <w:rPr>
          <w:rStyle w:val="VerbatimChar"/>
        </w:rPr>
        <w:t xml:space="preserve">## class 2:  0.013   1.0 0.007</w:t>
      </w:r>
      <w:r>
        <w:br/>
      </w:r>
      <w:r>
        <w:rPr>
          <w:rStyle w:val="VerbatimChar"/>
        </w:rPr>
        <w:t xml:space="preserve">## class 3:  0.004   0.0 0.996</w:t>
      </w:r>
      <w:r>
        <w:br/>
      </w:r>
      <w:r>
        <w:rPr>
          <w:rStyle w:val="VerbatimChar"/>
        </w:rPr>
        <w:t xml:space="preserve">## class 4:  0.307   0.1 0.573</w:t>
      </w:r>
      <w:r>
        <w:br/>
      </w:r>
      <w:r>
        <w:rPr>
          <w:rStyle w:val="VerbatimChar"/>
        </w:rPr>
        <w:t xml:space="preserve">## class 5:  0.095   0.5 0.434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$wv_9</w:t>
      </w:r>
      <w:r>
        <w:br/>
      </w:r>
      <w:r>
        <w:rPr>
          <w:rStyle w:val="VerbatimChar"/>
        </w:rPr>
        <w:t xml:space="preserve">##           Pr(1) Pr(2) Pr(3)</w:t>
      </w:r>
      <w:r>
        <w:br/>
      </w:r>
      <w:r>
        <w:rPr>
          <w:rStyle w:val="VerbatimChar"/>
        </w:rPr>
        <w:t xml:space="preserve">## class 1:  0.707  0.27 0.020</w:t>
      </w:r>
      <w:r>
        <w:br/>
      </w:r>
      <w:r>
        <w:rPr>
          <w:rStyle w:val="VerbatimChar"/>
        </w:rPr>
        <w:t xml:space="preserve">## class 2:  0.014  0.98 0.006</w:t>
      </w:r>
      <w:r>
        <w:br/>
      </w:r>
      <w:r>
        <w:rPr>
          <w:rStyle w:val="VerbatimChar"/>
        </w:rPr>
        <w:t xml:space="preserve">## class 3:  0.004  0.00 0.996</w:t>
      </w:r>
      <w:r>
        <w:br/>
      </w:r>
      <w:r>
        <w:rPr>
          <w:rStyle w:val="VerbatimChar"/>
        </w:rPr>
        <w:t xml:space="preserve">## class 4:  0.219  0.78 0.000</w:t>
      </w:r>
      <w:r>
        <w:br/>
      </w:r>
      <w:r>
        <w:rPr>
          <w:rStyle w:val="VerbatimChar"/>
        </w:rPr>
        <w:t xml:space="preserve">## class 5:  0.053  0.05 0.898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$wv_10</w:t>
      </w:r>
      <w:r>
        <w:br/>
      </w:r>
      <w:r>
        <w:rPr>
          <w:rStyle w:val="VerbatimChar"/>
        </w:rPr>
        <w:t xml:space="preserve">##           Pr(1) Pr(2) Pr(3)</w:t>
      </w:r>
      <w:r>
        <w:br/>
      </w:r>
      <w:r>
        <w:rPr>
          <w:rStyle w:val="VerbatimChar"/>
        </w:rPr>
        <w:t xml:space="preserve">## class 1:   0.61  0.35  0.04</w:t>
      </w:r>
      <w:r>
        <w:br/>
      </w:r>
      <w:r>
        <w:rPr>
          <w:rStyle w:val="VerbatimChar"/>
        </w:rPr>
        <w:t xml:space="preserve">## class 2:   0.02  0.96  0.02</w:t>
      </w:r>
      <w:r>
        <w:br/>
      </w:r>
      <w:r>
        <w:rPr>
          <w:rStyle w:val="VerbatimChar"/>
        </w:rPr>
        <w:t xml:space="preserve">## class 3:   0.01  0.03  0.95</w:t>
      </w:r>
      <w:r>
        <w:br/>
      </w:r>
      <w:r>
        <w:rPr>
          <w:rStyle w:val="VerbatimChar"/>
        </w:rPr>
        <w:t xml:space="preserve">## class 4:   0.09  0.77  0.14</w:t>
      </w:r>
      <w:r>
        <w:br/>
      </w:r>
      <w:r>
        <w:rPr>
          <w:rStyle w:val="VerbatimChar"/>
        </w:rPr>
        <w:t xml:space="preserve">## class 5:   0.11  0.18  0.71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class population shares </w:t>
      </w:r>
      <w:r>
        <w:br/>
      </w:r>
      <w:r>
        <w:rPr>
          <w:rStyle w:val="VerbatimChar"/>
        </w:rPr>
        <w:t xml:space="preserve">##  0.07 0.8 0.1 0.02 0.03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Predicted class memberships (by modal posterior prob.) </w:t>
      </w:r>
      <w:r>
        <w:br/>
      </w:r>
      <w:r>
        <w:rPr>
          <w:rStyle w:val="VerbatimChar"/>
        </w:rPr>
        <w:t xml:space="preserve">##  0.06 0.8 0.1 0.02 0.02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========================================================= </w:t>
      </w:r>
      <w:r>
        <w:br/>
      </w:r>
      <w:r>
        <w:rPr>
          <w:rStyle w:val="VerbatimChar"/>
        </w:rPr>
        <w:t xml:space="preserve">## Fit for 5 latent classes: </w:t>
      </w:r>
      <w:r>
        <w:br/>
      </w:r>
      <w:r>
        <w:rPr>
          <w:rStyle w:val="VerbatimChar"/>
        </w:rPr>
        <w:t xml:space="preserve">## ========================================================= </w:t>
      </w:r>
      <w:r>
        <w:br/>
      </w:r>
      <w:r>
        <w:rPr>
          <w:rStyle w:val="VerbatimChar"/>
        </w:rPr>
        <w:t xml:space="preserve">## number of observations: 12963 </w:t>
      </w:r>
      <w:r>
        <w:br/>
      </w:r>
      <w:r>
        <w:rPr>
          <w:rStyle w:val="VerbatimChar"/>
        </w:rPr>
        <w:t xml:space="preserve">## number of fully observed cases: 11949 </w:t>
      </w:r>
      <w:r>
        <w:br/>
      </w:r>
      <w:r>
        <w:rPr>
          <w:rStyle w:val="VerbatimChar"/>
        </w:rPr>
        <w:t xml:space="preserve">## number of estimated parameters: 44 </w:t>
      </w:r>
      <w:r>
        <w:br/>
      </w:r>
      <w:r>
        <w:rPr>
          <w:rStyle w:val="VerbatimChar"/>
        </w:rPr>
        <w:t xml:space="preserve">## residual degrees of freedom: 36 </w:t>
      </w:r>
      <w:r>
        <w:br/>
      </w:r>
      <w:r>
        <w:rPr>
          <w:rStyle w:val="VerbatimChar"/>
        </w:rPr>
        <w:t xml:space="preserve">## maximum log-likelihood: -19800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AIC(5): 39689</w:t>
      </w:r>
      <w:r>
        <w:br/>
      </w:r>
      <w:r>
        <w:rPr>
          <w:rStyle w:val="VerbatimChar"/>
        </w:rPr>
        <w:t xml:space="preserve">## BIC(5): 40017</w:t>
      </w:r>
      <w:r>
        <w:br/>
      </w:r>
      <w:r>
        <w:rPr>
          <w:rStyle w:val="VerbatimChar"/>
        </w:rPr>
        <w:t xml:space="preserve">## G^2(5): 194 (Likelihood ratio/deviance statistic) </w:t>
      </w:r>
      <w:r>
        <w:br/>
      </w:r>
      <w:r>
        <w:rPr>
          <w:rStyle w:val="VerbatimChar"/>
        </w:rPr>
        <w:t xml:space="preserve">## X^2(5): 206 (Chi-square goodness of fit)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5080000" cy="50800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2-07_prec_emp_descriptive_report_files/figure-docx/unnamed-chunk-21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2-07_prec_emp_descriptive_report_files/figure-docx/unnamed-chunk-21-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End w:id="68"/>
    <w:bookmarkStart w:id="76" w:name="prevalence-of-outcomes-of-interest"/>
    <w:p>
      <w:pPr>
        <w:pStyle w:val="Heading3"/>
      </w:pPr>
      <w:r>
        <w:t xml:space="preserve">Prevalence of outcomes of interest</w:t>
      </w:r>
    </w:p>
    <w:bookmarkStart w:id="75" w:name="common-mental-health-disorders"/>
    <w:p>
      <w:pPr>
        <w:pStyle w:val="Heading4"/>
      </w:pPr>
      <w:r>
        <w:t xml:space="preserve">Common mental health disorders</w:t>
      </w:r>
    </w:p>
    <w:p>
      <w:pPr>
        <w:pStyle w:val="FirstParagraph"/>
      </w:pPr>
      <w:r>
        <w:t xml:space="preserve">**Figure x: Prevalence of common mental health disorder (Sample A)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2-07_prec_emp_descriptive_report_files/figure-docx/unnamed-chunk-22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**Figure x: Prevalence of common mental health disorder (Sample B)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2-07_prec_emp_descriptive_report_files/figure-docx/unnamed-chunk-23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Precarious employment - descriptive analysis (unweighted)</dc:title>
  <dc:creator>Andrew Pulford</dc:creator>
  <cp:keywords/>
  <dcterms:created xsi:type="dcterms:W3CDTF">2024-03-08T17:10:52Z</dcterms:created>
  <dcterms:modified xsi:type="dcterms:W3CDTF">2024-03-08T17:10:52Z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/>
  </property>
  <property fmtid="{D5CDD505-2E9C-101B-9397-08002B2CF9AE}" pid="4" name="output">
    <vt:lpwstr>word_document</vt:lpwstr>
  </property>
</Properties>
</file>