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B40E" w14:textId="77777777" w:rsidR="00992D53" w:rsidRDefault="00B46016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Bullish (BLSH)</w:t>
      </w:r>
    </w:p>
    <w:p w14:paraId="22D2B40F" w14:textId="77777777" w:rsidR="00992D53" w:rsidRDefault="00B46016">
      <w:pPr>
        <w:spacing w:after="40"/>
        <w:jc w:val="center"/>
      </w:pPr>
      <w:r>
        <w:rPr>
          <w:b/>
          <w:bCs/>
          <w:color w:val="1F3864"/>
          <w:sz w:val="28"/>
          <w:szCs w:val="28"/>
        </w:rPr>
        <w:t>Week 2 — Landscape &amp; Comparable Companies Analysis</w:t>
      </w:r>
    </w:p>
    <w:p w14:paraId="22D2B410" w14:textId="77777777" w:rsidR="00992D53" w:rsidRDefault="00B46016">
      <w:pPr>
        <w:spacing w:after="500"/>
        <w:jc w:val="center"/>
      </w:pPr>
      <w:r>
        <w:rPr>
          <w:i/>
          <w:iCs/>
          <w:color w:val="666666"/>
        </w:rPr>
        <w:t>Hedge fund pitch research workstream · prepared for internal use</w:t>
      </w:r>
    </w:p>
    <w:p w14:paraId="22D2B411" w14:textId="77777777" w:rsidR="00992D53" w:rsidRDefault="00B46016">
      <w:pPr>
        <w:pStyle w:val="Heading1"/>
        <w:spacing w:before="320" w:after="160"/>
      </w:pPr>
      <w:r>
        <w:t>Executive Synthesis</w:t>
      </w:r>
    </w:p>
    <w:p w14:paraId="22D2B412" w14:textId="77777777" w:rsidR="00992D53" w:rsidRDefault="00B46016">
      <w:pPr>
        <w:spacing w:after="160"/>
      </w:pPr>
      <w:r>
        <w:rPr>
          <w:sz w:val="21"/>
          <w:szCs w:val="21"/>
        </w:rPr>
        <w:t xml:space="preserve">Right </w:t>
      </w:r>
      <w:proofErr w:type="gramStart"/>
      <w:r>
        <w:rPr>
          <w:sz w:val="21"/>
          <w:szCs w:val="21"/>
        </w:rPr>
        <w:t>now</w:t>
      </w:r>
      <w:proofErr w:type="gramEnd"/>
      <w:r>
        <w:rPr>
          <w:sz w:val="21"/>
          <w:szCs w:val="21"/>
        </w:rPr>
        <w:t xml:space="preserve"> the market is pricing BLSH almost entirely off Bucket A logic — a crypto-native trading multiple, sensitive to trading volume and BTC price, the same bucket as Coinbase, Kraken, and Gemini. BLSH's 10.8x/9.4x EV/Revenue sits alongside Coinbase's 6.9x/5.4x, nowhere near Bucket C infrastructure multiples on a comparable basis.</w:t>
      </w:r>
    </w:p>
    <w:p w14:paraId="22D2B413" w14:textId="77777777" w:rsidR="00992D53" w:rsidRDefault="00B46016">
      <w:pPr>
        <w:spacing w:after="160"/>
      </w:pPr>
      <w:r>
        <w:rPr>
          <w:sz w:val="21"/>
          <w:szCs w:val="21"/>
        </w:rPr>
        <w:t>The Robinhood and Gemini cases both argue the market is slow to re-rate a trading business toward a hybrid multiple even when the recurring-revenue story is real. Robinhood only earns a rich multiple because its non-crypto base (net interest income, prediction markets) has grown large and fast; Gemini's diversification into OTC, credit card, and predictions hasn't moved its multiple yet because the recurring base is still small relative to the whole company.</w:t>
      </w:r>
    </w:p>
    <w:p w14:paraId="22D2B414" w14:textId="77777777" w:rsidR="00992D53" w:rsidRDefault="00B46016">
      <w:pPr>
        <w:spacing w:after="160"/>
      </w:pPr>
      <w:r>
        <w:rPr>
          <w:sz w:val="21"/>
          <w:szCs w:val="21"/>
        </w:rPr>
        <w:t>That is the mispricing window the pitch depends on. BLSH's Equiniti acquisition is a much larger, much faster jump in recurring-revenue mix than either Robinhood or Gemini achieved organically — closer in kind to what let Coinbase earn a blended multiple once its subscription and services revenue crossed roughly 44% of the total. If the market is still pricing BLSH as pure Bucket A while the revenue mix is shifting toward Bucket C economics, that gap is the thesis.</w:t>
      </w:r>
    </w:p>
    <w:p w14:paraId="22D2B415" w14:textId="77777777" w:rsidR="00992D53" w:rsidRDefault="00B46016">
      <w:pPr>
        <w:pStyle w:val="Heading1"/>
        <w:spacing w:before="320" w:after="160"/>
      </w:pPr>
      <w:r>
        <w:t>Landscape &amp; Valuation Logic Map</w:t>
      </w:r>
    </w:p>
    <w:p w14:paraId="22D2B416" w14:textId="77777777" w:rsidR="00992D53" w:rsidRDefault="00B46016">
      <w:pPr>
        <w:spacing w:before="120" w:after="80"/>
        <w:jc w:val="center"/>
      </w:pPr>
      <w:r>
        <w:rPr>
          <w:noProof/>
        </w:rPr>
        <w:drawing>
          <wp:inline distT="0" distB="0" distL="0" distR="0" wp14:anchorId="22D2B512" wp14:editId="22D2B513">
            <wp:extent cx="5524500" cy="3867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B417" w14:textId="77777777" w:rsidR="00992D53" w:rsidRDefault="00B46016"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>Quadrant map of all ten comps by revenue durability (x-axis) and valuation multiple level (y-axis). BLSH today sits in the cyclical/discounted quadrant; the thesis argues for migration toward the recurring/premium quadrant over a 12–</w:t>
      </w:r>
      <w:proofErr w:type="gramStart"/>
      <w:r>
        <w:rPr>
          <w:i/>
          <w:iCs/>
          <w:color w:val="666666"/>
          <w:sz w:val="18"/>
          <w:szCs w:val="18"/>
        </w:rPr>
        <w:t>24 month</w:t>
      </w:r>
      <w:proofErr w:type="gramEnd"/>
      <w:r>
        <w:rPr>
          <w:i/>
          <w:iCs/>
          <w:color w:val="666666"/>
          <w:sz w:val="18"/>
          <w:szCs w:val="18"/>
        </w:rPr>
        <w:t xml:space="preserve"> horizon as Equiniti closes and CoinDesk Indices scales.</w:t>
      </w:r>
    </w:p>
    <w:p w14:paraId="22D2B418" w14:textId="77777777" w:rsidR="00992D53" w:rsidRDefault="00B46016">
      <w:pPr>
        <w:pStyle w:val="Heading1"/>
        <w:spacing w:before="320" w:after="160"/>
      </w:pPr>
      <w:r>
        <w:t>Position in the Capital Markets Value Chain</w:t>
      </w:r>
    </w:p>
    <w:p w14:paraId="22D2B419" w14:textId="77777777" w:rsidR="00992D53" w:rsidRDefault="00B46016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22D2B514" wp14:editId="22D2B515">
            <wp:extent cx="5524500" cy="3981450"/>
            <wp:effectExtent l="0" t="0" r="0" b="0"/>
            <wp:docPr id="17699307" name="Picture 17699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B41A" w14:textId="77777777" w:rsidR="00992D53" w:rsidRDefault="00B46016"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Functional stack view — where each comp </w:t>
      </w:r>
      <w:proofErr w:type="gramStart"/>
      <w:r>
        <w:rPr>
          <w:i/>
          <w:iCs/>
          <w:color w:val="666666"/>
          <w:sz w:val="18"/>
          <w:szCs w:val="18"/>
        </w:rPr>
        <w:t>actually operates</w:t>
      </w:r>
      <w:proofErr w:type="gramEnd"/>
      <w:r>
        <w:rPr>
          <w:i/>
          <w:iCs/>
          <w:color w:val="666666"/>
          <w:sz w:val="18"/>
          <w:szCs w:val="18"/>
        </w:rPr>
        <w:t>, layer by layer, independent of valuation. BLSH is the only name spanning three layers at once (Trading &amp; Execution, Data/Indices, and pending Custody/Transfer Agency via Equiniti), shown by the dashed connector.</w:t>
      </w:r>
    </w:p>
    <w:p w14:paraId="22D2B41B" w14:textId="77777777" w:rsidR="00992D53" w:rsidRDefault="00B46016">
      <w:pPr>
        <w:pStyle w:val="Heading1"/>
        <w:spacing w:before="320" w:after="160"/>
      </w:pPr>
      <w:r>
        <w:t>Bucketed Comparable Companies</w:t>
      </w:r>
    </w:p>
    <w:p w14:paraId="22D2B41C" w14:textId="77777777" w:rsidR="00992D53" w:rsidRDefault="00B46016">
      <w:pPr>
        <w:spacing w:after="160"/>
      </w:pPr>
      <w:r>
        <w:rPr>
          <w:sz w:val="21"/>
          <w:szCs w:val="21"/>
        </w:rPr>
        <w:t>Comps are grouped by valuation logic rather than sector alone, since mixing crypto-native trading multiples with legacy infrastructure or subscription-based data multiples muddies the sum-of-the-parts read. Full live workbook (BLSH_Comps_Output.xlsx) has the complete multiple set including gross profit, revenue growth, and margin columns.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300"/>
        <w:gridCol w:w="1300"/>
        <w:gridCol w:w="1100"/>
        <w:gridCol w:w="1100"/>
        <w:gridCol w:w="1300"/>
        <w:gridCol w:w="1300"/>
      </w:tblGrid>
      <w:tr w:rsidR="00992D53" w14:paraId="22D2B41E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7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1D" w14:textId="77777777" w:rsidR="00992D53" w:rsidRDefault="00B46016">
            <w:r>
              <w:rPr>
                <w:b/>
                <w:bCs/>
                <w:sz w:val="19"/>
                <w:szCs w:val="19"/>
              </w:rPr>
              <w:t>Bucket A/C — Traditional Exchanges</w:t>
            </w:r>
          </w:p>
        </w:tc>
      </w:tr>
      <w:tr w:rsidR="00992D53" w14:paraId="22D2B4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1F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20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Mkt Val ($mm)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21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 ($mm)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22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EV/Rev CY26E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23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EV/Rev CY27E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24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EV/EBITDA CY26E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25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EV/EBITDA CY27E</w:t>
            </w:r>
          </w:p>
        </w:tc>
      </w:tr>
      <w:tr w:rsidR="00992D53" w14:paraId="22D2B4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27" w14:textId="77777777" w:rsidR="00992D53" w:rsidRDefault="00B46016">
            <w:r>
              <w:rPr>
                <w:color w:val="000000"/>
                <w:sz w:val="18"/>
                <w:szCs w:val="18"/>
              </w:rPr>
              <w:t>ICE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28" w14:textId="77777777" w:rsidR="00992D53" w:rsidRDefault="00B46016">
            <w:r>
              <w:rPr>
                <w:color w:val="000000"/>
                <w:sz w:val="18"/>
                <w:szCs w:val="18"/>
              </w:rPr>
              <w:t>76,595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29" w14:textId="77777777" w:rsidR="00992D53" w:rsidRDefault="00B46016">
            <w:r>
              <w:rPr>
                <w:color w:val="000000"/>
                <w:sz w:val="18"/>
                <w:szCs w:val="18"/>
              </w:rPr>
              <w:t>96,801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2A" w14:textId="77777777" w:rsidR="00992D53" w:rsidRDefault="00B46016">
            <w:r>
              <w:rPr>
                <w:color w:val="000000"/>
                <w:sz w:val="18"/>
                <w:szCs w:val="18"/>
              </w:rPr>
              <w:t>8.8x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2B" w14:textId="77777777" w:rsidR="00992D53" w:rsidRDefault="00B46016">
            <w:r>
              <w:rPr>
                <w:color w:val="000000"/>
                <w:sz w:val="18"/>
                <w:szCs w:val="18"/>
              </w:rPr>
              <w:t>8.4x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2C" w14:textId="77777777" w:rsidR="00992D53" w:rsidRDefault="00B46016">
            <w:r>
              <w:rPr>
                <w:color w:val="000000"/>
                <w:sz w:val="18"/>
                <w:szCs w:val="18"/>
              </w:rPr>
              <w:t>13.1x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2D" w14:textId="77777777" w:rsidR="00992D53" w:rsidRDefault="00B46016">
            <w:r>
              <w:rPr>
                <w:color w:val="000000"/>
                <w:sz w:val="18"/>
                <w:szCs w:val="18"/>
              </w:rPr>
              <w:t>12.5x</w:t>
            </w:r>
          </w:p>
        </w:tc>
      </w:tr>
      <w:tr w:rsidR="00992D53" w14:paraId="22D2B4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2F" w14:textId="77777777" w:rsidR="00992D53" w:rsidRDefault="00B46016">
            <w:r>
              <w:rPr>
                <w:color w:val="000000"/>
                <w:sz w:val="18"/>
                <w:szCs w:val="18"/>
              </w:rPr>
              <w:t>NASDAQ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30" w14:textId="77777777" w:rsidR="00992D53" w:rsidRDefault="00B46016">
            <w:r>
              <w:rPr>
                <w:color w:val="000000"/>
                <w:sz w:val="18"/>
                <w:szCs w:val="18"/>
              </w:rPr>
              <w:t>49,516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31" w14:textId="77777777" w:rsidR="00992D53" w:rsidRDefault="00B46016">
            <w:r>
              <w:rPr>
                <w:color w:val="000000"/>
                <w:sz w:val="18"/>
                <w:szCs w:val="18"/>
              </w:rPr>
              <w:t>58,523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32" w14:textId="77777777" w:rsidR="00992D53" w:rsidRDefault="00B46016">
            <w:r>
              <w:rPr>
                <w:color w:val="000000"/>
                <w:sz w:val="18"/>
                <w:szCs w:val="18"/>
              </w:rPr>
              <w:t>10.1x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33" w14:textId="77777777" w:rsidR="00992D53" w:rsidRDefault="00B46016">
            <w:r>
              <w:rPr>
                <w:color w:val="000000"/>
                <w:sz w:val="18"/>
                <w:szCs w:val="18"/>
              </w:rPr>
              <w:t>9.3x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34" w14:textId="77777777" w:rsidR="00992D53" w:rsidRDefault="00B46016">
            <w:r>
              <w:rPr>
                <w:color w:val="000000"/>
                <w:sz w:val="18"/>
                <w:szCs w:val="18"/>
              </w:rPr>
              <w:t>17.1x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35" w14:textId="77777777" w:rsidR="00992D53" w:rsidRDefault="00B46016">
            <w:r>
              <w:rPr>
                <w:color w:val="000000"/>
                <w:sz w:val="18"/>
                <w:szCs w:val="18"/>
              </w:rPr>
              <w:t>15.7x</w:t>
            </w:r>
          </w:p>
        </w:tc>
      </w:tr>
      <w:tr w:rsidR="00992D53" w14:paraId="22D2B4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37" w14:textId="77777777" w:rsidR="00992D53" w:rsidRDefault="00B46016">
            <w:r>
              <w:rPr>
                <w:color w:val="000000"/>
                <w:sz w:val="18"/>
                <w:szCs w:val="18"/>
              </w:rPr>
              <w:t>Robinhood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38" w14:textId="77777777" w:rsidR="00992D53" w:rsidRDefault="00B46016">
            <w:r>
              <w:rPr>
                <w:color w:val="000000"/>
                <w:sz w:val="18"/>
                <w:szCs w:val="18"/>
              </w:rPr>
              <w:t>104,761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39" w14:textId="77777777" w:rsidR="00992D53" w:rsidRDefault="00B46016">
            <w:r>
              <w:rPr>
                <w:color w:val="000000"/>
                <w:sz w:val="18"/>
                <w:szCs w:val="18"/>
              </w:rPr>
              <w:t>110,373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3A" w14:textId="77777777" w:rsidR="00992D53" w:rsidRDefault="00B46016">
            <w:r>
              <w:rPr>
                <w:color w:val="000000"/>
                <w:sz w:val="18"/>
                <w:szCs w:val="18"/>
              </w:rPr>
              <w:t>21.8x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3B" w14:textId="77777777" w:rsidR="00992D53" w:rsidRDefault="00B46016">
            <w:r>
              <w:rPr>
                <w:color w:val="000000"/>
                <w:sz w:val="18"/>
                <w:szCs w:val="18"/>
              </w:rPr>
              <w:t>17.5x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3C" w14:textId="77777777" w:rsidR="00992D53" w:rsidRDefault="00B46016">
            <w:r>
              <w:rPr>
                <w:color w:val="000000"/>
                <w:sz w:val="18"/>
                <w:szCs w:val="18"/>
              </w:rPr>
              <w:t>42.2x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3D" w14:textId="77777777" w:rsidR="00992D53" w:rsidRDefault="00B46016">
            <w:r>
              <w:rPr>
                <w:color w:val="000000"/>
                <w:sz w:val="18"/>
                <w:szCs w:val="18"/>
              </w:rPr>
              <w:t>31.3x</w:t>
            </w:r>
          </w:p>
        </w:tc>
      </w:tr>
      <w:tr w:rsidR="00992D53" w14:paraId="22D2B4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3F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Median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40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41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42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10.1x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43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9.3x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44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17.1x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45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15.7x</w:t>
            </w:r>
          </w:p>
        </w:tc>
      </w:tr>
      <w:tr w:rsidR="00992D53" w14:paraId="22D2B4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47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Mean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48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49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4A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13.6x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4B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11.7x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4C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24.1x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4D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19.8x</w:t>
            </w:r>
          </w:p>
        </w:tc>
      </w:tr>
      <w:tr w:rsidR="00992D53" w14:paraId="22D2B450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7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4F" w14:textId="77777777" w:rsidR="00992D53" w:rsidRDefault="00B46016">
            <w:r>
              <w:rPr>
                <w:b/>
                <w:bCs/>
                <w:sz w:val="19"/>
                <w:szCs w:val="19"/>
              </w:rPr>
              <w:t>Bucket A — Crypto-native Exchanges</w:t>
            </w:r>
          </w:p>
        </w:tc>
      </w:tr>
      <w:tr w:rsidR="00992D53" w14:paraId="22D2B4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51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52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Mkt Val ($mm)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53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 ($mm)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54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EV/Rev CY26E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55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EV/Rev CY27E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56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EV/EBITDA CY26E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57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EV/EBITDA CY27E</w:t>
            </w:r>
          </w:p>
        </w:tc>
      </w:tr>
      <w:tr w:rsidR="00992D53" w14:paraId="22D2B4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59" w14:textId="77777777" w:rsidR="00992D53" w:rsidRDefault="00B46016">
            <w:r>
              <w:rPr>
                <w:color w:val="000000"/>
                <w:sz w:val="18"/>
                <w:szCs w:val="18"/>
              </w:rPr>
              <w:t>Bullish (BLSH)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5A" w14:textId="77777777" w:rsidR="00992D53" w:rsidRDefault="00B46016">
            <w:r>
              <w:rPr>
                <w:color w:val="000000"/>
                <w:sz w:val="18"/>
                <w:szCs w:val="18"/>
              </w:rPr>
              <w:t>3,794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5B" w14:textId="77777777" w:rsidR="00992D53" w:rsidRDefault="00B46016">
            <w:r>
              <w:rPr>
                <w:color w:val="000000"/>
                <w:sz w:val="18"/>
                <w:szCs w:val="18"/>
              </w:rPr>
              <w:t>4,013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5C" w14:textId="77777777" w:rsidR="00992D53" w:rsidRDefault="00B46016">
            <w:r>
              <w:rPr>
                <w:color w:val="000000"/>
                <w:sz w:val="18"/>
                <w:szCs w:val="18"/>
              </w:rPr>
              <w:t>10.8x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5D" w14:textId="77777777" w:rsidR="00992D53" w:rsidRDefault="00B46016">
            <w:r>
              <w:rPr>
                <w:color w:val="000000"/>
                <w:sz w:val="18"/>
                <w:szCs w:val="18"/>
              </w:rPr>
              <w:t>9.4x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5E" w14:textId="77777777" w:rsidR="00992D53" w:rsidRDefault="00B46016">
            <w:r>
              <w:rPr>
                <w:color w:val="000000"/>
                <w:sz w:val="18"/>
                <w:szCs w:val="18"/>
              </w:rPr>
              <w:t>26.9x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5F" w14:textId="77777777" w:rsidR="00992D53" w:rsidRDefault="00B46016">
            <w:r>
              <w:rPr>
                <w:color w:val="000000"/>
                <w:sz w:val="18"/>
                <w:szCs w:val="18"/>
              </w:rPr>
              <w:t>21.2x</w:t>
            </w:r>
          </w:p>
        </w:tc>
      </w:tr>
      <w:tr w:rsidR="00992D53" w14:paraId="22D2B4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61" w14:textId="77777777" w:rsidR="00992D53" w:rsidRDefault="00B46016">
            <w:r>
              <w:rPr>
                <w:color w:val="000000"/>
                <w:sz w:val="18"/>
                <w:szCs w:val="18"/>
              </w:rPr>
              <w:t>Coinbase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62" w14:textId="77777777" w:rsidR="00992D53" w:rsidRDefault="00B46016">
            <w:r>
              <w:rPr>
                <w:color w:val="000000"/>
                <w:sz w:val="18"/>
                <w:szCs w:val="18"/>
              </w:rPr>
              <w:t>44,227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63" w14:textId="77777777" w:rsidR="00992D53" w:rsidRDefault="00B46016">
            <w:r>
              <w:rPr>
                <w:color w:val="000000"/>
                <w:sz w:val="18"/>
                <w:szCs w:val="18"/>
              </w:rPr>
              <w:t>41,753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64" w14:textId="77777777" w:rsidR="00992D53" w:rsidRDefault="00B46016">
            <w:r>
              <w:rPr>
                <w:color w:val="000000"/>
                <w:sz w:val="18"/>
                <w:szCs w:val="18"/>
              </w:rPr>
              <w:t>6.9x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65" w14:textId="77777777" w:rsidR="00992D53" w:rsidRDefault="00B46016">
            <w:r>
              <w:rPr>
                <w:color w:val="000000"/>
                <w:sz w:val="18"/>
                <w:szCs w:val="18"/>
              </w:rPr>
              <w:t>5.4x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66" w14:textId="77777777" w:rsidR="00992D53" w:rsidRDefault="00B46016">
            <w:r>
              <w:rPr>
                <w:color w:val="000000"/>
                <w:sz w:val="18"/>
                <w:szCs w:val="18"/>
              </w:rPr>
              <w:t>21.9x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67" w14:textId="77777777" w:rsidR="00992D53" w:rsidRDefault="00B46016">
            <w:r>
              <w:rPr>
                <w:color w:val="000000"/>
                <w:sz w:val="18"/>
                <w:szCs w:val="18"/>
              </w:rPr>
              <w:t>13.1x</w:t>
            </w:r>
          </w:p>
        </w:tc>
      </w:tr>
      <w:tr w:rsidR="00992D53" w14:paraId="22D2B4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69" w14:textId="77777777" w:rsidR="00992D53" w:rsidRDefault="00B46016">
            <w:r>
              <w:rPr>
                <w:color w:val="000000"/>
                <w:sz w:val="18"/>
                <w:szCs w:val="18"/>
              </w:rPr>
              <w:t>Gemini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6A" w14:textId="77777777" w:rsidR="00992D53" w:rsidRDefault="00B46016">
            <w:r>
              <w:rPr>
                <w:color w:val="000000"/>
                <w:sz w:val="18"/>
                <w:szCs w:val="18"/>
              </w:rPr>
              <w:t>507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6B" w14:textId="77777777" w:rsidR="00992D53" w:rsidRDefault="00B46016">
            <w:r>
              <w:rPr>
                <w:color w:val="000000"/>
                <w:sz w:val="18"/>
                <w:szCs w:val="18"/>
              </w:rPr>
              <w:t>785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6C" w14:textId="77777777" w:rsidR="00992D53" w:rsidRDefault="00B46016">
            <w:r>
              <w:rPr>
                <w:color w:val="000000"/>
                <w:sz w:val="18"/>
                <w:szCs w:val="18"/>
              </w:rPr>
              <w:t>3.9x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6D" w14:textId="77777777" w:rsidR="00992D53" w:rsidRDefault="00B46016">
            <w:r>
              <w:rPr>
                <w:color w:val="000000"/>
                <w:sz w:val="18"/>
                <w:szCs w:val="18"/>
              </w:rPr>
              <w:t>2.9x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6E" w14:textId="77777777" w:rsidR="00992D53" w:rsidRDefault="00B46016">
            <w:r>
              <w:rPr>
                <w:color w:val="000000"/>
                <w:sz w:val="18"/>
                <w:szCs w:val="18"/>
              </w:rPr>
              <w:t>nm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6F" w14:textId="77777777" w:rsidR="00992D53" w:rsidRDefault="00B46016">
            <w:r>
              <w:rPr>
                <w:color w:val="000000"/>
                <w:sz w:val="18"/>
                <w:szCs w:val="18"/>
              </w:rPr>
              <w:t>nm</w:t>
            </w:r>
          </w:p>
        </w:tc>
      </w:tr>
      <w:tr w:rsidR="00992D53" w14:paraId="22D2B4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71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Median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72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73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74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6.9x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75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5.4x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76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24.4x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77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17.1x</w:t>
            </w:r>
          </w:p>
        </w:tc>
      </w:tr>
      <w:tr w:rsidR="00992D53" w14:paraId="22D2B4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79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Mean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7A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7B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7C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7.2x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7D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5.9x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7E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24.4x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7F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17.1x</w:t>
            </w:r>
          </w:p>
        </w:tc>
      </w:tr>
      <w:tr w:rsidR="00992D53" w14:paraId="22D2B482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7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81" w14:textId="77777777" w:rsidR="00992D53" w:rsidRDefault="00B46016">
            <w:r>
              <w:rPr>
                <w:b/>
                <w:bCs/>
                <w:sz w:val="19"/>
                <w:szCs w:val="19"/>
              </w:rPr>
              <w:t>Bucket C — Transfer Agents</w:t>
            </w:r>
          </w:p>
        </w:tc>
      </w:tr>
      <w:tr w:rsidR="00992D53" w14:paraId="22D2B4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83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84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Mkt Val ($mm)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85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 ($mm)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86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EV/Rev CY26E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87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EV/Rev CY27E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88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EV/EBITDA CY26E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89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EV/EBITDA CY27E</w:t>
            </w:r>
          </w:p>
        </w:tc>
      </w:tr>
      <w:tr w:rsidR="00992D53" w14:paraId="22D2B4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8B" w14:textId="77777777" w:rsidR="00992D53" w:rsidRDefault="00B46016">
            <w:r>
              <w:rPr>
                <w:color w:val="000000"/>
                <w:sz w:val="18"/>
                <w:szCs w:val="18"/>
              </w:rPr>
              <w:t>Computershare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8C" w14:textId="77777777" w:rsidR="00992D53" w:rsidRDefault="00B46016">
            <w:r>
              <w:rPr>
                <w:color w:val="000000"/>
                <w:sz w:val="18"/>
                <w:szCs w:val="18"/>
              </w:rPr>
              <w:t>15,833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8D" w14:textId="77777777" w:rsidR="00992D53" w:rsidRDefault="00B46016">
            <w:r>
              <w:rPr>
                <w:color w:val="000000"/>
                <w:sz w:val="18"/>
                <w:szCs w:val="18"/>
              </w:rPr>
              <w:t>16,595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8E" w14:textId="77777777" w:rsidR="00992D53" w:rsidRDefault="00B46016">
            <w:r>
              <w:rPr>
                <w:color w:val="000000"/>
                <w:sz w:val="18"/>
                <w:szCs w:val="18"/>
              </w:rPr>
              <w:t>5.2x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8F" w14:textId="77777777" w:rsidR="00992D53" w:rsidRDefault="00B46016">
            <w:r>
              <w:rPr>
                <w:color w:val="000000"/>
                <w:sz w:val="18"/>
                <w:szCs w:val="18"/>
              </w:rPr>
              <w:t>5.0x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90" w14:textId="77777777" w:rsidR="00992D53" w:rsidRDefault="00B46016">
            <w:r>
              <w:rPr>
                <w:color w:val="000000"/>
                <w:sz w:val="18"/>
                <w:szCs w:val="18"/>
              </w:rPr>
              <w:t>13.0x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91" w14:textId="77777777" w:rsidR="00992D53" w:rsidRDefault="00B46016">
            <w:r>
              <w:rPr>
                <w:color w:val="000000"/>
                <w:sz w:val="18"/>
                <w:szCs w:val="18"/>
              </w:rPr>
              <w:t>12.6x</w:t>
            </w:r>
          </w:p>
        </w:tc>
      </w:tr>
      <w:tr w:rsidR="00992D53" w14:paraId="22D2B4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93" w14:textId="77777777" w:rsidR="00992D53" w:rsidRDefault="00B46016">
            <w:r>
              <w:rPr>
                <w:color w:val="000000"/>
                <w:sz w:val="18"/>
                <w:szCs w:val="18"/>
              </w:rPr>
              <w:t>Equiniti (at announcement, $38.48/</w:t>
            </w:r>
            <w:proofErr w:type="spellStart"/>
            <w:r>
              <w:rPr>
                <w:color w:val="000000"/>
                <w:sz w:val="18"/>
                <w:szCs w:val="18"/>
              </w:rPr>
              <w:t>sh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94" w14:textId="77777777" w:rsidR="00992D53" w:rsidRDefault="00B46016">
            <w:r>
              <w:rPr>
                <w:color w:val="000000"/>
                <w:sz w:val="18"/>
                <w:szCs w:val="18"/>
              </w:rPr>
              <w:t>2,350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95" w14:textId="77777777" w:rsidR="00992D53" w:rsidRDefault="00B46016">
            <w:r>
              <w:rPr>
                <w:color w:val="000000"/>
                <w:sz w:val="18"/>
                <w:szCs w:val="18"/>
              </w:rPr>
              <w:t>4,200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96" w14:textId="77777777" w:rsidR="00992D53" w:rsidRDefault="00B46016">
            <w:r>
              <w:rPr>
                <w:color w:val="000000"/>
                <w:sz w:val="18"/>
                <w:szCs w:val="18"/>
              </w:rPr>
              <w:t>4.6x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97" w14:textId="77777777" w:rsidR="00992D53" w:rsidRDefault="00B46016">
            <w:proofErr w:type="spellStart"/>
            <w:r>
              <w:rPr>
                <w:color w:val="000000"/>
                <w:sz w:val="18"/>
                <w:szCs w:val="18"/>
              </w:rPr>
              <w:t>na</w:t>
            </w:r>
            <w:proofErr w:type="spellEnd"/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98" w14:textId="77777777" w:rsidR="00992D53" w:rsidRDefault="00B46016">
            <w:r>
              <w:rPr>
                <w:color w:val="000000"/>
                <w:sz w:val="18"/>
                <w:szCs w:val="18"/>
              </w:rPr>
              <w:t>10.2x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99" w14:textId="77777777" w:rsidR="00992D53" w:rsidRDefault="00B46016">
            <w:proofErr w:type="spellStart"/>
            <w:r>
              <w:rPr>
                <w:color w:val="000000"/>
                <w:sz w:val="18"/>
                <w:szCs w:val="18"/>
              </w:rPr>
              <w:t>na</w:t>
            </w:r>
            <w:proofErr w:type="spellEnd"/>
          </w:p>
        </w:tc>
      </w:tr>
      <w:tr w:rsidR="00992D53" w14:paraId="22D2B4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9B" w14:textId="77777777" w:rsidR="00992D53" w:rsidRDefault="00B46016">
            <w:r>
              <w:rPr>
                <w:color w:val="000000"/>
                <w:sz w:val="18"/>
                <w:szCs w:val="18"/>
              </w:rPr>
              <w:t>Equiniti (today, $24.80/</w:t>
            </w:r>
            <w:proofErr w:type="spellStart"/>
            <w:r>
              <w:rPr>
                <w:color w:val="000000"/>
                <w:sz w:val="18"/>
                <w:szCs w:val="18"/>
              </w:rPr>
              <w:t>sh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9C" w14:textId="77777777" w:rsidR="00992D53" w:rsidRDefault="00B46016">
            <w:r>
              <w:rPr>
                <w:color w:val="000000"/>
                <w:sz w:val="18"/>
                <w:szCs w:val="18"/>
              </w:rPr>
              <w:t>1,515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9D" w14:textId="77777777" w:rsidR="00992D53" w:rsidRDefault="00B46016">
            <w:r>
              <w:rPr>
                <w:color w:val="000000"/>
                <w:sz w:val="18"/>
                <w:szCs w:val="18"/>
              </w:rPr>
              <w:t>3,365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9E" w14:textId="77777777" w:rsidR="00992D53" w:rsidRDefault="00B46016">
            <w:r>
              <w:rPr>
                <w:color w:val="000000"/>
                <w:sz w:val="18"/>
                <w:szCs w:val="18"/>
              </w:rPr>
              <w:t>3.7x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9F" w14:textId="77777777" w:rsidR="00992D53" w:rsidRDefault="00B46016">
            <w:proofErr w:type="spellStart"/>
            <w:r>
              <w:rPr>
                <w:color w:val="000000"/>
                <w:sz w:val="18"/>
                <w:szCs w:val="18"/>
              </w:rPr>
              <w:t>na</w:t>
            </w:r>
            <w:proofErr w:type="spellEnd"/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A0" w14:textId="77777777" w:rsidR="00992D53" w:rsidRDefault="00B46016">
            <w:r>
              <w:rPr>
                <w:color w:val="000000"/>
                <w:sz w:val="18"/>
                <w:szCs w:val="18"/>
              </w:rPr>
              <w:t>8.2x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A1" w14:textId="77777777" w:rsidR="00992D53" w:rsidRDefault="00B46016">
            <w:proofErr w:type="spellStart"/>
            <w:r>
              <w:rPr>
                <w:color w:val="000000"/>
                <w:sz w:val="18"/>
                <w:szCs w:val="18"/>
              </w:rPr>
              <w:t>na</w:t>
            </w:r>
            <w:proofErr w:type="spellEnd"/>
          </w:p>
        </w:tc>
      </w:tr>
      <w:tr w:rsidR="00992D53" w14:paraId="22D2B4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A3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Median (Excl. Equiniti)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A4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A5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A6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5.2x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A7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5.0x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A8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13.0x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A9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12.6x</w:t>
            </w:r>
          </w:p>
        </w:tc>
      </w:tr>
      <w:tr w:rsidR="00992D53" w14:paraId="22D2B4AC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7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AB" w14:textId="77777777" w:rsidR="00992D53" w:rsidRDefault="00B46016">
            <w:r>
              <w:rPr>
                <w:b/>
                <w:bCs/>
                <w:sz w:val="19"/>
                <w:szCs w:val="19"/>
              </w:rPr>
              <w:t>Bucket B — Stablecoin Issuer</w:t>
            </w:r>
          </w:p>
        </w:tc>
      </w:tr>
      <w:tr w:rsidR="00992D53" w14:paraId="22D2B4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AD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AE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Mkt Val ($mm)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AF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 ($mm)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B0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EV/Rev CY26E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B1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EV/Rev CY27E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B2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EV/EBITDA CY26E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B3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EV/EBITDA CY27E</w:t>
            </w:r>
          </w:p>
        </w:tc>
      </w:tr>
      <w:tr w:rsidR="00992D53" w14:paraId="22D2B4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B5" w14:textId="77777777" w:rsidR="00992D53" w:rsidRDefault="00B46016">
            <w:r>
              <w:rPr>
                <w:color w:val="000000"/>
                <w:sz w:val="18"/>
                <w:szCs w:val="18"/>
              </w:rPr>
              <w:t>Circle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B6" w14:textId="77777777" w:rsidR="00992D53" w:rsidRDefault="00B46016">
            <w:r>
              <w:rPr>
                <w:color w:val="000000"/>
                <w:sz w:val="18"/>
                <w:szCs w:val="18"/>
              </w:rPr>
              <w:t>16,212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B7" w14:textId="77777777" w:rsidR="00992D53" w:rsidRDefault="00B46016">
            <w:r>
              <w:rPr>
                <w:color w:val="000000"/>
                <w:sz w:val="18"/>
                <w:szCs w:val="18"/>
              </w:rPr>
              <w:t>14,711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B8" w14:textId="77777777" w:rsidR="00992D53" w:rsidRDefault="00B46016">
            <w:r>
              <w:rPr>
                <w:color w:val="000000"/>
                <w:sz w:val="18"/>
                <w:szCs w:val="18"/>
              </w:rPr>
              <w:t>4.8x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B9" w14:textId="77777777" w:rsidR="00992D53" w:rsidRDefault="00B46016">
            <w:r>
              <w:rPr>
                <w:color w:val="000000"/>
                <w:sz w:val="18"/>
                <w:szCs w:val="18"/>
              </w:rPr>
              <w:t>3.6x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BA" w14:textId="77777777" w:rsidR="00992D53" w:rsidRDefault="00B46016">
            <w:r>
              <w:rPr>
                <w:color w:val="000000"/>
                <w:sz w:val="18"/>
                <w:szCs w:val="18"/>
              </w:rPr>
              <w:t>23.1x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BB" w14:textId="77777777" w:rsidR="00992D53" w:rsidRDefault="00B46016">
            <w:r>
              <w:rPr>
                <w:color w:val="000000"/>
                <w:sz w:val="18"/>
                <w:szCs w:val="18"/>
              </w:rPr>
              <w:t>15.7x</w:t>
            </w:r>
          </w:p>
        </w:tc>
      </w:tr>
      <w:tr w:rsidR="00992D53" w14:paraId="22D2B4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BD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Median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BE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BF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C0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4.8x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C1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3.6x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C2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23.1x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C3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15.7x</w:t>
            </w:r>
          </w:p>
        </w:tc>
      </w:tr>
      <w:tr w:rsidR="00992D53" w14:paraId="22D2B4C6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gridSpan w:val="7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C5" w14:textId="77777777" w:rsidR="00992D53" w:rsidRDefault="00B46016">
            <w:r>
              <w:rPr>
                <w:b/>
                <w:bCs/>
                <w:sz w:val="19"/>
                <w:szCs w:val="19"/>
              </w:rPr>
              <w:t>Bucket D — Tokenization Infrastructure</w:t>
            </w:r>
          </w:p>
        </w:tc>
      </w:tr>
      <w:tr w:rsidR="00992D53" w14:paraId="22D2B4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C7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C8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Mkt Val ($mm)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C9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 ($mm)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CA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EV/Rev CY26E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CB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EV/Rev CY27E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CC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EV/EBITDA CY26E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CD" w14:textId="77777777" w:rsidR="00992D53" w:rsidRDefault="00B46016">
            <w:r>
              <w:rPr>
                <w:b/>
                <w:bCs/>
                <w:color w:val="FFFFFF"/>
                <w:sz w:val="18"/>
                <w:szCs w:val="18"/>
              </w:rPr>
              <w:t>EV/EBITDA CY27E</w:t>
            </w:r>
          </w:p>
        </w:tc>
      </w:tr>
      <w:tr w:rsidR="00992D53" w14:paraId="22D2B4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CF" w14:textId="77777777" w:rsidR="00992D53" w:rsidRDefault="00B46016">
            <w:r>
              <w:rPr>
                <w:color w:val="000000"/>
                <w:sz w:val="18"/>
                <w:szCs w:val="18"/>
              </w:rPr>
              <w:t>Securitize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D0" w14:textId="77777777" w:rsidR="00992D53" w:rsidRDefault="00B46016">
            <w:r>
              <w:rPr>
                <w:color w:val="000000"/>
                <w:sz w:val="18"/>
                <w:szCs w:val="18"/>
              </w:rPr>
              <w:t>1,276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D1" w14:textId="77777777" w:rsidR="00992D53" w:rsidRDefault="00B46016">
            <w:r>
              <w:rPr>
                <w:color w:val="000000"/>
                <w:sz w:val="18"/>
                <w:szCs w:val="18"/>
              </w:rPr>
              <w:t>1,276</w:t>
            </w:r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D2" w14:textId="77777777" w:rsidR="00992D53" w:rsidRDefault="00B46016">
            <w:proofErr w:type="spellStart"/>
            <w:r>
              <w:rPr>
                <w:color w:val="000000"/>
                <w:sz w:val="18"/>
                <w:szCs w:val="18"/>
              </w:rPr>
              <w:t>na</w:t>
            </w:r>
            <w:proofErr w:type="spellEnd"/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D3" w14:textId="77777777" w:rsidR="00992D53" w:rsidRDefault="00B46016">
            <w:proofErr w:type="spellStart"/>
            <w:r>
              <w:rPr>
                <w:color w:val="000000"/>
                <w:sz w:val="18"/>
                <w:szCs w:val="18"/>
              </w:rPr>
              <w:t>na</w:t>
            </w:r>
            <w:proofErr w:type="spellEnd"/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D4" w14:textId="77777777" w:rsidR="00992D53" w:rsidRDefault="00B46016">
            <w:proofErr w:type="spellStart"/>
            <w:r>
              <w:rPr>
                <w:color w:val="000000"/>
                <w:sz w:val="18"/>
                <w:szCs w:val="18"/>
              </w:rPr>
              <w:t>na</w:t>
            </w:r>
            <w:proofErr w:type="spellEnd"/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D5" w14:textId="77777777" w:rsidR="00992D53" w:rsidRDefault="00B46016">
            <w:proofErr w:type="spellStart"/>
            <w:r>
              <w:rPr>
                <w:color w:val="000000"/>
                <w:sz w:val="18"/>
                <w:szCs w:val="18"/>
              </w:rPr>
              <w:t>na</w:t>
            </w:r>
            <w:proofErr w:type="spellEnd"/>
          </w:p>
        </w:tc>
      </w:tr>
      <w:tr w:rsidR="00992D53" w14:paraId="22D2B4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D7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Median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D8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D9" w14:textId="77777777" w:rsidR="00992D53" w:rsidRDefault="00B46016"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DA" w14:textId="77777777" w:rsidR="00992D53" w:rsidRDefault="00B46016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na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DB" w14:textId="77777777" w:rsidR="00992D53" w:rsidRDefault="00B46016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na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DC" w14:textId="77777777" w:rsidR="00992D53" w:rsidRDefault="00B46016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na</w:t>
            </w:r>
            <w:proofErr w:type="spellEnd"/>
          </w:p>
        </w:tc>
        <w:tc>
          <w:tcPr>
            <w:tcW w:w="1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2B4DD" w14:textId="77777777" w:rsidR="00992D53" w:rsidRDefault="00B46016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na</w:t>
            </w:r>
            <w:proofErr w:type="spellEnd"/>
          </w:p>
        </w:tc>
      </w:tr>
    </w:tbl>
    <w:p w14:paraId="22D2B4DF" w14:textId="77777777" w:rsidR="00992D53" w:rsidRDefault="00992D53">
      <w:pPr>
        <w:spacing w:after="200"/>
      </w:pPr>
    </w:p>
    <w:p w14:paraId="22D2B4E0" w14:textId="77777777" w:rsidR="00992D53" w:rsidRDefault="00B46016">
      <w:pPr>
        <w:pStyle w:val="Heading1"/>
        <w:spacing w:before="320" w:after="160"/>
      </w:pPr>
      <w:r>
        <w:t>Company Deep Dives</w:t>
      </w:r>
    </w:p>
    <w:p w14:paraId="22D2B4E1" w14:textId="77777777" w:rsidR="00992D53" w:rsidRDefault="00B46016">
      <w:pPr>
        <w:spacing w:after="160"/>
      </w:pPr>
      <w:r>
        <w:rPr>
          <w:sz w:val="21"/>
          <w:szCs w:val="21"/>
        </w:rPr>
        <w:t>Eight comps researched at ~1-page depth each, covering business model, margin structure, how the market prices the stock, and the specific read-through for the BLSH thesis.</w:t>
      </w:r>
    </w:p>
    <w:p w14:paraId="22D2B4E2" w14:textId="77777777" w:rsidR="00992D53" w:rsidRDefault="00B46016">
      <w:pPr>
        <w:pStyle w:val="Heading2"/>
        <w:spacing w:before="240" w:after="120"/>
      </w:pPr>
      <w:r>
        <w:t>Coinbase (</w:t>
      </w:r>
      <w:proofErr w:type="gramStart"/>
      <w:r>
        <w:t>COIN) —</w:t>
      </w:r>
      <w:proofErr w:type="gramEnd"/>
      <w:r>
        <w:t xml:space="preserve"> Bucket A</w:t>
      </w:r>
    </w:p>
    <w:p w14:paraId="22D2B4E3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Business model &amp; revenue mix: </w:t>
      </w:r>
      <w:r>
        <w:rPr>
          <w:sz w:val="21"/>
          <w:szCs w:val="21"/>
        </w:rPr>
        <w:t>Two-engine model: Q1 2026 transaction revenue of $755.8mm (consumer $566.9mm, institutional $135.7mm) plus subscription &amp; services revenue of $583.5mm — 44% of total net revenue. Stablecoin revenue ($305mm) is the largest subscription component, driven by USDC scale; Coinbase captures roughly 50% of total USDC economics.</w:t>
      </w:r>
    </w:p>
    <w:p w14:paraId="22D2B4E4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Margin structure: </w:t>
      </w:r>
      <w:r>
        <w:rPr>
          <w:sz w:val="21"/>
          <w:szCs w:val="21"/>
        </w:rPr>
        <w:t>Q1 2026 total revenue fell 31% YoY to $1.41bn on a &gt;20% decline in crypto market cap, illustrating the model's cyclicality. Adjusted EBITDA was $303mm — the 13th consecutive quarter of positive adjusted EBITDA — with net loss driven mostly by mark-to-market swings, not operations.</w:t>
      </w:r>
    </w:p>
    <w:p w14:paraId="22D2B4E5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How the market prices it: </w:t>
      </w:r>
      <w:r>
        <w:rPr>
          <w:sz w:val="21"/>
          <w:szCs w:val="21"/>
        </w:rPr>
        <w:t>Blended — priced on forward revenue and EBITDA multiples, not a pure trading-volume multiple, specifically because subscription/services revenue is now large enough to earn a quasi-recurring premium.</w:t>
      </w:r>
    </w:p>
    <w:p w14:paraId="22D2B4E6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Read-through for BLSH: </w:t>
      </w:r>
      <w:r>
        <w:rPr>
          <w:sz w:val="21"/>
          <w:szCs w:val="21"/>
        </w:rPr>
        <w:t>Coinbase is proof a crypto exchange can earn a blended multiple once recurring revenue crosses a critical mass (~44% here). BLSH's Equiniti-driven recurring base is the same play, just achieved via acquisition rather than organic build, and much faster.</w:t>
      </w:r>
    </w:p>
    <w:p w14:paraId="22D2B4E7" w14:textId="77777777" w:rsidR="00992D53" w:rsidRDefault="00B46016">
      <w:pPr>
        <w:pStyle w:val="Heading2"/>
        <w:spacing w:before="240" w:after="120"/>
      </w:pPr>
      <w:r>
        <w:t>Robinhood (</w:t>
      </w:r>
      <w:proofErr w:type="gramStart"/>
      <w:r>
        <w:t>HOOD) —</w:t>
      </w:r>
      <w:proofErr w:type="gramEnd"/>
      <w:r>
        <w:t xml:space="preserve"> Bucket A / Traditional Exchanges (as bucketed)</w:t>
      </w:r>
    </w:p>
    <w:p w14:paraId="22D2B4E8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Business model &amp; revenue mix: </w:t>
      </w:r>
      <w:r>
        <w:rPr>
          <w:sz w:val="21"/>
          <w:szCs w:val="21"/>
        </w:rPr>
        <w:t>Q1 2026: crypto revenue fell 47% YoY to $134mm (from $252mm) as trading volume dropped 48%; total company revenue still grew 15% to $1.07bn on event contracts (+320% to $147mm) and net interest income (+24% to $359mm).</w:t>
      </w:r>
    </w:p>
    <w:p w14:paraId="22D2B4E9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Margin structure: </w:t>
      </w:r>
      <w:r>
        <w:rPr>
          <w:sz w:val="21"/>
          <w:szCs w:val="21"/>
        </w:rPr>
        <w:t xml:space="preserve">Crypto is now a shrinking slice of a growing pie — the 'Other' category (Gold subscriptions, banking, </w:t>
      </w:r>
      <w:proofErr w:type="spellStart"/>
      <w:r>
        <w:rPr>
          <w:sz w:val="21"/>
          <w:szCs w:val="21"/>
        </w:rPr>
        <w:t>Bitstamp</w:t>
      </w:r>
      <w:proofErr w:type="spellEnd"/>
      <w:r>
        <w:rPr>
          <w:sz w:val="21"/>
          <w:szCs w:val="21"/>
        </w:rPr>
        <w:t>, predictions) grew from $54mm to $85mm YoY.</w:t>
      </w:r>
    </w:p>
    <w:p w14:paraId="22D2B4EA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lastRenderedPageBreak/>
        <w:t xml:space="preserve">How the market prices it: </w:t>
      </w:r>
      <w:r>
        <w:rPr>
          <w:sz w:val="21"/>
          <w:szCs w:val="21"/>
        </w:rPr>
        <w:t>Priced as a diversified fintech/brokerage, not a crypto pure-play — the market rewards the non-crypto growth engines and largely shrugs off crypto-segment volatility.</w:t>
      </w:r>
    </w:p>
    <w:p w14:paraId="22D2B4EB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Read-through for BLSH: </w:t>
      </w:r>
      <w:r>
        <w:rPr>
          <w:sz w:val="21"/>
          <w:szCs w:val="21"/>
        </w:rPr>
        <w:t>The market will look past a shrinking crypto segment if other recurring lines are growing fast enough — reinforcing the case that BLSH's transfer-agent income could get similar credit once it is large enough to move the mix.</w:t>
      </w:r>
    </w:p>
    <w:p w14:paraId="22D2B4EC" w14:textId="77777777" w:rsidR="00992D53" w:rsidRDefault="00B46016">
      <w:pPr>
        <w:pStyle w:val="Heading2"/>
        <w:spacing w:before="240" w:after="120"/>
      </w:pPr>
      <w:r>
        <w:t>Kraken (</w:t>
      </w:r>
      <w:proofErr w:type="gramStart"/>
      <w:r>
        <w:t>private) —</w:t>
      </w:r>
      <w:proofErr w:type="gramEnd"/>
      <w:r>
        <w:t xml:space="preserve"> Bucket A</w:t>
      </w:r>
    </w:p>
    <w:p w14:paraId="22D2B4ED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Business model &amp; revenue mix: </w:t>
      </w:r>
      <w:r>
        <w:rPr>
          <w:sz w:val="21"/>
          <w:szCs w:val="21"/>
        </w:rPr>
        <w:t>FY2025 revenue ~$2.2bn (+33% YoY), adjusted EBITDA ~$531mm (~24% margin). Private marks have ranged from $20bn (Nov 2025 raise) down to ~$12–13bn on secondaries by mid-2026 — trading around 8–10x revenue / 25–35x EBITDA, a premium to Coinbase's public multiples.</w:t>
      </w:r>
    </w:p>
    <w:p w14:paraId="22D2B4EE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Margin structure: </w:t>
      </w:r>
      <w:r>
        <w:rPr>
          <w:sz w:val="21"/>
          <w:szCs w:val="21"/>
        </w:rPr>
        <w:t xml:space="preserve">Revenue historically volatile: fell 31% in 2023 before rebounding 138% in 2024. About 47% of 2024 revenue came from trading fees; the rest (custody, </w:t>
      </w:r>
      <w:proofErr w:type="gramStart"/>
      <w:r>
        <w:rPr>
          <w:sz w:val="21"/>
          <w:szCs w:val="21"/>
        </w:rPr>
        <w:t>staking</w:t>
      </w:r>
      <w:proofErr w:type="gramEnd"/>
      <w:r>
        <w:rPr>
          <w:sz w:val="21"/>
          <w:szCs w:val="21"/>
        </w:rPr>
        <w:t>, payments, financing) is more durable.</w:t>
      </w:r>
    </w:p>
    <w:p w14:paraId="22D2B4EF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How the market prices it: </w:t>
      </w:r>
      <w:r>
        <w:rPr>
          <w:sz w:val="21"/>
          <w:szCs w:val="21"/>
        </w:rPr>
        <w:t>Private-market multiples set by funding rounds and secondary trades rather than public price discovery — inherently noisier and lagged.</w:t>
      </w:r>
    </w:p>
    <w:p w14:paraId="22D2B4F0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Read-through for BLSH: </w:t>
      </w:r>
      <w:r>
        <w:rPr>
          <w:sz w:val="21"/>
          <w:szCs w:val="21"/>
        </w:rPr>
        <w:t>Kraken's private multiples are a useful upper-bound sanity check for crypto-exchange comps, but the ~40% valuation swing in under a year underscores exactly the multiple instability the sum-of-the-parts thesis needs to underwrite around.</w:t>
      </w:r>
    </w:p>
    <w:p w14:paraId="22D2B4F1" w14:textId="77777777" w:rsidR="00992D53" w:rsidRDefault="00B46016">
      <w:pPr>
        <w:pStyle w:val="Heading2"/>
        <w:spacing w:before="240" w:after="120"/>
      </w:pPr>
      <w:r>
        <w:t>Gemini (</w:t>
      </w:r>
      <w:proofErr w:type="gramStart"/>
      <w:r>
        <w:t>GEMI) —</w:t>
      </w:r>
      <w:proofErr w:type="gramEnd"/>
      <w:r>
        <w:t xml:space="preserve"> Bucket A</w:t>
      </w:r>
    </w:p>
    <w:p w14:paraId="22D2B4F2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Business model &amp; revenue mix: </w:t>
      </w:r>
      <w:r>
        <w:rPr>
          <w:sz w:val="21"/>
          <w:szCs w:val="21"/>
        </w:rPr>
        <w:t>Q1 2026 total revenue $50.3mm (+42% YoY) despite exchange/trading revenue falling 27% to $17.2mm — growth driven by OTC ($6.3mm, up from $0.1mm), credit card, and prediction markets. Services &amp; interest income now 49% of revenue vs. 31% a year ago.</w:t>
      </w:r>
    </w:p>
    <w:p w14:paraId="22D2B4F3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Margin structure: </w:t>
      </w:r>
      <w:r>
        <w:rPr>
          <w:sz w:val="21"/>
          <w:szCs w:val="21"/>
        </w:rPr>
        <w:t xml:space="preserve">Still loss-making (Q1 2026 net loss $109.0mm); diversification is </w:t>
      </w:r>
      <w:proofErr w:type="gramStart"/>
      <w:r>
        <w:rPr>
          <w:sz w:val="21"/>
          <w:szCs w:val="21"/>
        </w:rPr>
        <w:t>real</w:t>
      </w:r>
      <w:proofErr w:type="gramEnd"/>
      <w:r>
        <w:rPr>
          <w:sz w:val="21"/>
          <w:szCs w:val="21"/>
        </w:rPr>
        <w:t xml:space="preserve"> but revenue base is still small in absolute terms.</w:t>
      </w:r>
    </w:p>
    <w:p w14:paraId="22D2B4F4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How the market prices it: </w:t>
      </w:r>
      <w:r>
        <w:rPr>
          <w:sz w:val="21"/>
          <w:szCs w:val="21"/>
        </w:rPr>
        <w:t>Stock down roughly 30% since IPO, tracking Bitcoin's decline — the market is still treating it as a crypto-beta name despite the diversification narrative.</w:t>
      </w:r>
    </w:p>
    <w:p w14:paraId="22D2B4F5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Read-through for BLSH: </w:t>
      </w:r>
      <w:r>
        <w:rPr>
          <w:sz w:val="21"/>
          <w:szCs w:val="21"/>
        </w:rPr>
        <w:t xml:space="preserve">A cautionary case: Gemini is telling the same 'we're diversifying beyond trading' story BLSH will need to tell, but the market has not re-rated it yet. </w:t>
      </w:r>
      <w:proofErr w:type="gramStart"/>
      <w:r>
        <w:rPr>
          <w:sz w:val="21"/>
          <w:szCs w:val="21"/>
        </w:rPr>
        <w:t>Says</w:t>
      </w:r>
      <w:proofErr w:type="gramEnd"/>
      <w:r>
        <w:rPr>
          <w:sz w:val="21"/>
          <w:szCs w:val="21"/>
        </w:rPr>
        <w:t xml:space="preserve"> the narrative alone is not enough — the diversified revenue needs to reach real scale before the multiple moves.</w:t>
      </w:r>
    </w:p>
    <w:p w14:paraId="22D2B4F6" w14:textId="77777777" w:rsidR="00992D53" w:rsidRDefault="00B46016">
      <w:pPr>
        <w:pStyle w:val="Heading2"/>
        <w:spacing w:before="240" w:after="120"/>
      </w:pPr>
      <w:r>
        <w:t>Circle (</w:t>
      </w:r>
      <w:proofErr w:type="gramStart"/>
      <w:r>
        <w:t>CRCL) —</w:t>
      </w:r>
      <w:proofErr w:type="gramEnd"/>
      <w:r>
        <w:t xml:space="preserve"> Bucket B</w:t>
      </w:r>
    </w:p>
    <w:p w14:paraId="22D2B4F7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Business model &amp; revenue mix: </w:t>
      </w:r>
      <w:r>
        <w:rPr>
          <w:sz w:val="21"/>
          <w:szCs w:val="21"/>
        </w:rPr>
        <w:t xml:space="preserve">Q1 2026 revenue $694mm (+20% YoY), 94% of </w:t>
      </w:r>
      <w:proofErr w:type="spellStart"/>
      <w:proofErr w:type="gramStart"/>
      <w:r>
        <w:rPr>
          <w:sz w:val="21"/>
          <w:szCs w:val="21"/>
        </w:rPr>
        <w:t>it</w:t>
      </w:r>
      <w:proofErr w:type="spellEnd"/>
      <w:proofErr w:type="gramEnd"/>
      <w:r>
        <w:rPr>
          <w:sz w:val="21"/>
          <w:szCs w:val="21"/>
        </w:rPr>
        <w:t xml:space="preserve"> reserve income on USDC/EURC reserves. USDC in circulation reached $77bn (+28% YoY); USDC </w:t>
      </w:r>
      <w:proofErr w:type="spellStart"/>
      <w:r>
        <w:rPr>
          <w:sz w:val="21"/>
          <w:szCs w:val="21"/>
        </w:rPr>
        <w:t>onchain</w:t>
      </w:r>
      <w:proofErr w:type="spellEnd"/>
      <w:r>
        <w:rPr>
          <w:sz w:val="21"/>
          <w:szCs w:val="21"/>
        </w:rPr>
        <w:t xml:space="preserve"> transaction volume rose 263% to $21.5 trillion.</w:t>
      </w:r>
    </w:p>
    <w:p w14:paraId="22D2B4F8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Margin structure: </w:t>
      </w:r>
      <w:r>
        <w:rPr>
          <w:sz w:val="21"/>
          <w:szCs w:val="21"/>
        </w:rPr>
        <w:t>Adjusted EBITDA $151mm (+24% YoY), revenue-less-distribution-cost margin of 41.4%.</w:t>
      </w:r>
    </w:p>
    <w:p w14:paraId="22D2B4F9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How the market prices it: </w:t>
      </w:r>
      <w:r>
        <w:rPr>
          <w:sz w:val="21"/>
          <w:szCs w:val="21"/>
        </w:rPr>
        <w:t>Priced on USDC circulation growth and reserve-rate durability, not trading volume — a fundamentally different valuation logic than an exchange.</w:t>
      </w:r>
    </w:p>
    <w:p w14:paraId="22D2B4FA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Read-through for BLSH: </w:t>
      </w:r>
      <w:r>
        <w:rPr>
          <w:sz w:val="21"/>
          <w:szCs w:val="21"/>
        </w:rPr>
        <w:t xml:space="preserve">Confirms Bucket B needs its own multiple framework (asset base × rate spread), not a revenue or EBITDA multiple borrowed from exchanges — don't let Circle's multiple </w:t>
      </w:r>
      <w:proofErr w:type="gramStart"/>
      <w:r>
        <w:rPr>
          <w:sz w:val="21"/>
          <w:szCs w:val="21"/>
        </w:rPr>
        <w:t>bleed</w:t>
      </w:r>
      <w:proofErr w:type="gramEnd"/>
      <w:r>
        <w:rPr>
          <w:sz w:val="21"/>
          <w:szCs w:val="21"/>
        </w:rPr>
        <w:t xml:space="preserve"> into the exchange comp set.</w:t>
      </w:r>
    </w:p>
    <w:p w14:paraId="22D2B4FB" w14:textId="77777777" w:rsidR="00992D53" w:rsidRDefault="00B46016">
      <w:pPr>
        <w:pStyle w:val="Heading2"/>
        <w:spacing w:before="240" w:after="120"/>
      </w:pPr>
      <w:r>
        <w:t>CME Group — Bucket C</w:t>
      </w:r>
    </w:p>
    <w:p w14:paraId="22D2B4FC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Business model &amp; revenue mix: </w:t>
      </w:r>
      <w:r>
        <w:rPr>
          <w:sz w:val="21"/>
          <w:szCs w:val="21"/>
        </w:rPr>
        <w:t>Diversified derivatives exchange and clearinghouse; EV/EBITDA currently ~13–15x, below its 10-year median of ~17.9x. TTM EBITDA ~$6.1bn; ~$117bn market cap.</w:t>
      </w:r>
    </w:p>
    <w:p w14:paraId="22D2B4FD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Margin structure: </w:t>
      </w:r>
      <w:r>
        <w:rPr>
          <w:sz w:val="21"/>
          <w:szCs w:val="21"/>
        </w:rPr>
        <w:t>High-margin, highly recurring clearing and data revenue with low cyclicality relative to crypto or even cash equities trading.</w:t>
      </w:r>
    </w:p>
    <w:p w14:paraId="22D2B4FE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How the market prices it: </w:t>
      </w:r>
      <w:r>
        <w:rPr>
          <w:sz w:val="21"/>
          <w:szCs w:val="21"/>
        </w:rPr>
        <w:t>Priced on clearing/data recurring revenue with high visibility — the reference case for market-infrastructure-grade multiples.</w:t>
      </w:r>
    </w:p>
    <w:p w14:paraId="22D2B4FF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lastRenderedPageBreak/>
        <w:t xml:space="preserve">Read-through for BLSH: </w:t>
      </w:r>
      <w:r>
        <w:rPr>
          <w:sz w:val="21"/>
          <w:szCs w:val="21"/>
        </w:rPr>
        <w:t>The ceiling case if BLSH's data/infrastructure business someday earns infrastructure-grade credit — though CME's own multiple compression this year (13–15x vs. an 18x median) is a reminder that legacy infrastructure multiples are not static either.</w:t>
      </w:r>
    </w:p>
    <w:p w14:paraId="22D2B500" w14:textId="77777777" w:rsidR="00992D53" w:rsidRDefault="00B46016">
      <w:pPr>
        <w:pStyle w:val="Heading2"/>
        <w:spacing w:before="240" w:after="120"/>
      </w:pPr>
      <w:r>
        <w:t>ICE — Bucket C</w:t>
      </w:r>
    </w:p>
    <w:p w14:paraId="22D2B501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Business model &amp; revenue mix: </w:t>
      </w:r>
      <w:r>
        <w:rPr>
          <w:sz w:val="21"/>
          <w:szCs w:val="21"/>
        </w:rPr>
        <w:t>Diversified across exchanges, fixed income data, and mortgage technology; strong profitability with net margin around 38% in Q1 2026.</w:t>
      </w:r>
    </w:p>
    <w:p w14:paraId="22D2B502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Margin structure: </w:t>
      </w:r>
      <w:r>
        <w:rPr>
          <w:sz w:val="21"/>
          <w:szCs w:val="21"/>
        </w:rPr>
        <w:t xml:space="preserve">Blended data + transaction revenue model gives ICE more balance than </w:t>
      </w:r>
      <w:proofErr w:type="gramStart"/>
      <w:r>
        <w:rPr>
          <w:sz w:val="21"/>
          <w:szCs w:val="21"/>
        </w:rPr>
        <w:t>a single</w:t>
      </w:r>
      <w:proofErr w:type="gramEnd"/>
      <w:r>
        <w:rPr>
          <w:sz w:val="21"/>
          <w:szCs w:val="21"/>
        </w:rPr>
        <w:t>-line exchange.</w:t>
      </w:r>
    </w:p>
    <w:p w14:paraId="22D2B503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How the market prices it: </w:t>
      </w:r>
      <w:r>
        <w:rPr>
          <w:sz w:val="21"/>
          <w:szCs w:val="21"/>
        </w:rPr>
        <w:t>Priced on that blended model — closer analog to BLSH's CoinDesk Indices ambition than a pure-play exchange like CME.</w:t>
      </w:r>
    </w:p>
    <w:p w14:paraId="22D2B504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Read-through for BLSH: </w:t>
      </w:r>
      <w:r>
        <w:rPr>
          <w:sz w:val="21"/>
          <w:szCs w:val="21"/>
        </w:rPr>
        <w:t>ICE is the best 'hybrid' precedent — proof the market will pay up for a transaction business with a genuine data arm attached, which is exactly the CoinDesk Indices bet.</w:t>
      </w:r>
    </w:p>
    <w:p w14:paraId="22D2B505" w14:textId="77777777" w:rsidR="00992D53" w:rsidRDefault="00B46016">
      <w:pPr>
        <w:pStyle w:val="Heading2"/>
        <w:spacing w:before="240" w:after="120"/>
      </w:pPr>
      <w:r>
        <w:t>MSCI — Bucket D</w:t>
      </w:r>
    </w:p>
    <w:p w14:paraId="22D2B506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Business model &amp; revenue mix: </w:t>
      </w:r>
      <w:r>
        <w:rPr>
          <w:sz w:val="21"/>
          <w:szCs w:val="21"/>
        </w:rPr>
        <w:t>Q1 2026 revenue $850.8mm (+14.1%), with asset-based fees (+26.6%) and recurring subscription revenue (+8.6%) both contributing; retention rate 95.4%.</w:t>
      </w:r>
    </w:p>
    <w:p w14:paraId="22D2B507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Margin structure: </w:t>
      </w:r>
      <w:r>
        <w:rPr>
          <w:sz w:val="21"/>
          <w:szCs w:val="21"/>
        </w:rPr>
        <w:t xml:space="preserve">Adjusted EBITDA margin </w:t>
      </w:r>
      <w:proofErr w:type="gramStart"/>
      <w:r>
        <w:rPr>
          <w:sz w:val="21"/>
          <w:szCs w:val="21"/>
        </w:rPr>
        <w:t>59.3% —</w:t>
      </w:r>
      <w:proofErr w:type="gramEnd"/>
      <w:r>
        <w:rPr>
          <w:sz w:val="21"/>
          <w:szCs w:val="21"/>
        </w:rPr>
        <w:t xml:space="preserve"> among the highest-margin business models in this comp set.</w:t>
      </w:r>
    </w:p>
    <w:p w14:paraId="22D2B508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How the market prices it: </w:t>
      </w:r>
      <w:r>
        <w:rPr>
          <w:sz w:val="21"/>
          <w:szCs w:val="21"/>
        </w:rPr>
        <w:t>Priced almost entirely on recurring subscription and asset-based fee durability, not on any transaction volume; commands a premium multiple specifically because of that durability.</w:t>
      </w:r>
    </w:p>
    <w:p w14:paraId="22D2B509" w14:textId="77777777" w:rsidR="00992D53" w:rsidRDefault="00B46016">
      <w:pPr>
        <w:spacing w:after="100"/>
      </w:pPr>
      <w:r>
        <w:rPr>
          <w:b/>
          <w:bCs/>
          <w:sz w:val="21"/>
          <w:szCs w:val="21"/>
        </w:rPr>
        <w:t xml:space="preserve">Read-through for BLSH: </w:t>
      </w:r>
      <w:r>
        <w:rPr>
          <w:sz w:val="21"/>
          <w:szCs w:val="21"/>
        </w:rPr>
        <w:t>This is the multiple CoinDesk Indices could command standalone — but only once it has MSCI-style retention and run-rate visibility, which it does not have yet. Useful as a ceiling case, not a near-term comp.</w:t>
      </w:r>
    </w:p>
    <w:p w14:paraId="22D2B50A" w14:textId="77777777" w:rsidR="00992D53" w:rsidRDefault="00B46016">
      <w:pPr>
        <w:pStyle w:val="Heading1"/>
        <w:spacing w:before="320" w:after="160"/>
      </w:pPr>
      <w:r>
        <w:t>Methodology &amp; Sourcing Notes</w:t>
      </w:r>
    </w:p>
    <w:p w14:paraId="22D2B50B" w14:textId="77777777" w:rsidR="00992D53" w:rsidRDefault="00B46016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Comps figures per S&amp;P Capital IQ consensus estimates unless noted; CY26E/CY27E = calendar year 2026E/2027E forward estimates.</w:t>
      </w:r>
    </w:p>
    <w:p w14:paraId="22D2B50C" w14:textId="77777777" w:rsidR="00992D53" w:rsidRDefault="00B46016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Company deep dives sourced from Q1 2026 earnings releases, 10-Q/8-K filings, and earnings call transcripts (see individual citations retained in research chat log).</w:t>
      </w:r>
    </w:p>
    <w:p w14:paraId="22D2B50D" w14:textId="77777777" w:rsidR="00992D53" w:rsidRDefault="00B46016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Equiniti 'at announcement' uses the $38.48/share BLSH deal price (Aug 2025); 'today' uses $24.80/share — reflects the re-rating downside since announcement.</w:t>
      </w:r>
    </w:p>
    <w:p w14:paraId="22D2B50E" w14:textId="77777777" w:rsidR="00992D53" w:rsidRDefault="00B46016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Transfer Agent median excludes both Equiniti rows given deal-specific distortion; Computershare is the sole clean read-through comp.</w:t>
      </w:r>
    </w:p>
    <w:p w14:paraId="22D2B50F" w14:textId="77777777" w:rsidR="00992D53" w:rsidRDefault="00B46016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Securitize (tokenization infrastructure) has no public consensus estimates (</w:t>
      </w:r>
      <w:proofErr w:type="spellStart"/>
      <w:r>
        <w:rPr>
          <w:sz w:val="21"/>
          <w:szCs w:val="21"/>
        </w:rPr>
        <w:t>na</w:t>
      </w:r>
      <w:proofErr w:type="spellEnd"/>
      <w:r>
        <w:rPr>
          <w:sz w:val="21"/>
          <w:szCs w:val="21"/>
        </w:rPr>
        <w:t xml:space="preserve">); included for qualitative moat/comp context only, not multiple </w:t>
      </w:r>
      <w:proofErr w:type="gramStart"/>
      <w:r>
        <w:rPr>
          <w:sz w:val="21"/>
          <w:szCs w:val="21"/>
        </w:rPr>
        <w:t>triangulation</w:t>
      </w:r>
      <w:proofErr w:type="gramEnd"/>
      <w:r>
        <w:rPr>
          <w:sz w:val="21"/>
          <w:szCs w:val="21"/>
        </w:rPr>
        <w:t>.</w:t>
      </w:r>
    </w:p>
    <w:p w14:paraId="22D2B510" w14:textId="77777777" w:rsidR="00992D53" w:rsidRDefault="00B46016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Landscape map and stack diagram positions are qualitative placements based on this research, not a modeled regression — treat as directional, not precise.</w:t>
      </w:r>
    </w:p>
    <w:p w14:paraId="22D2B511" w14:textId="77777777" w:rsidR="00992D53" w:rsidRDefault="00B46016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Full live comps workbook: BLSH_Comps_Output.xlsx (companion file).</w:t>
      </w:r>
    </w:p>
    <w:sectPr w:rsidR="00992D5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4CFA2" w14:textId="77777777" w:rsidR="00B46016" w:rsidRDefault="00B46016" w:rsidP="00645DCD">
      <w:r>
        <w:separator/>
      </w:r>
    </w:p>
  </w:endnote>
  <w:endnote w:type="continuationSeparator" w:id="0">
    <w:p w14:paraId="53359DF4" w14:textId="77777777" w:rsidR="00B46016" w:rsidRDefault="00B46016" w:rsidP="00645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C4D15" w14:textId="77777777" w:rsidR="00645DCD" w:rsidRDefault="00645D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2448F" w14:textId="77777777" w:rsidR="00645DCD" w:rsidRDefault="00645D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59C7B" w14:textId="77777777" w:rsidR="00645DCD" w:rsidRDefault="00645D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475FC" w14:textId="77777777" w:rsidR="00B46016" w:rsidRDefault="00B46016" w:rsidP="00645DCD">
      <w:r>
        <w:separator/>
      </w:r>
    </w:p>
  </w:footnote>
  <w:footnote w:type="continuationSeparator" w:id="0">
    <w:p w14:paraId="50A2F05B" w14:textId="77777777" w:rsidR="00B46016" w:rsidRDefault="00B46016" w:rsidP="00645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DD438" w14:textId="77777777" w:rsidR="00645DCD" w:rsidRDefault="00645D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7A1DE" w14:textId="77777777" w:rsidR="00645DCD" w:rsidRDefault="00645DC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04E0" w14:textId="77777777" w:rsidR="00645DCD" w:rsidRDefault="00645D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5636"/>
    <w:multiLevelType w:val="hybridMultilevel"/>
    <w:tmpl w:val="4A2CCA4C"/>
    <w:lvl w:ilvl="0" w:tplc="5CE8C35C">
      <w:start w:val="1"/>
      <w:numFmt w:val="bullet"/>
      <w:lvlText w:val="●"/>
      <w:lvlJc w:val="left"/>
      <w:pPr>
        <w:ind w:left="720" w:hanging="360"/>
      </w:pPr>
    </w:lvl>
    <w:lvl w:ilvl="1" w:tplc="4C8C243A">
      <w:start w:val="1"/>
      <w:numFmt w:val="bullet"/>
      <w:lvlText w:val="○"/>
      <w:lvlJc w:val="left"/>
      <w:pPr>
        <w:ind w:left="1440" w:hanging="360"/>
      </w:pPr>
    </w:lvl>
    <w:lvl w:ilvl="2" w:tplc="41409DA6">
      <w:start w:val="1"/>
      <w:numFmt w:val="bullet"/>
      <w:lvlText w:val="■"/>
      <w:lvlJc w:val="left"/>
      <w:pPr>
        <w:ind w:left="2160" w:hanging="360"/>
      </w:pPr>
    </w:lvl>
    <w:lvl w:ilvl="3" w:tplc="64E647CC">
      <w:start w:val="1"/>
      <w:numFmt w:val="bullet"/>
      <w:lvlText w:val="●"/>
      <w:lvlJc w:val="left"/>
      <w:pPr>
        <w:ind w:left="2880" w:hanging="360"/>
      </w:pPr>
    </w:lvl>
    <w:lvl w:ilvl="4" w:tplc="C780F886">
      <w:start w:val="1"/>
      <w:numFmt w:val="bullet"/>
      <w:lvlText w:val="○"/>
      <w:lvlJc w:val="left"/>
      <w:pPr>
        <w:ind w:left="3600" w:hanging="360"/>
      </w:pPr>
    </w:lvl>
    <w:lvl w:ilvl="5" w:tplc="B050A3EC">
      <w:start w:val="1"/>
      <w:numFmt w:val="bullet"/>
      <w:lvlText w:val="■"/>
      <w:lvlJc w:val="left"/>
      <w:pPr>
        <w:ind w:left="4320" w:hanging="360"/>
      </w:pPr>
    </w:lvl>
    <w:lvl w:ilvl="6" w:tplc="0946FE9E">
      <w:start w:val="1"/>
      <w:numFmt w:val="bullet"/>
      <w:lvlText w:val="●"/>
      <w:lvlJc w:val="left"/>
      <w:pPr>
        <w:ind w:left="5040" w:hanging="360"/>
      </w:pPr>
    </w:lvl>
    <w:lvl w:ilvl="7" w:tplc="BECE8A76">
      <w:start w:val="1"/>
      <w:numFmt w:val="bullet"/>
      <w:lvlText w:val="●"/>
      <w:lvlJc w:val="left"/>
      <w:pPr>
        <w:ind w:left="5760" w:hanging="360"/>
      </w:pPr>
    </w:lvl>
    <w:lvl w:ilvl="8" w:tplc="5258700E">
      <w:start w:val="1"/>
      <w:numFmt w:val="bullet"/>
      <w:lvlText w:val="●"/>
      <w:lvlJc w:val="left"/>
      <w:pPr>
        <w:ind w:left="6480" w:hanging="360"/>
      </w:pPr>
    </w:lvl>
  </w:abstractNum>
  <w:num w:numId="1" w16cid:durableId="1851796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D53"/>
    <w:rsid w:val="00645DCD"/>
    <w:rsid w:val="00985D0C"/>
    <w:rsid w:val="00992D53"/>
    <w:rsid w:val="00B46016"/>
    <w:rsid w:val="00D2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2B40E"/>
  <w15:docId w15:val="{79FED272-C334-4E43-B21F-F3DB9B95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45D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5DCD"/>
  </w:style>
  <w:style w:type="paragraph" w:styleId="Footer">
    <w:name w:val="footer"/>
    <w:basedOn w:val="Normal"/>
    <w:link w:val="FooterChar"/>
    <w:uiPriority w:val="99"/>
    <w:unhideWhenUsed/>
    <w:rsid w:val="00645D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5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1773</Words>
  <Characters>10110</Characters>
  <Application>Microsoft Office Word</Application>
  <DocSecurity>0</DocSecurity>
  <Lines>84</Lines>
  <Paragraphs>23</Paragraphs>
  <ScaleCrop>false</ScaleCrop>
  <Company/>
  <LinksUpToDate>false</LinksUpToDate>
  <CharactersWithSpaces>11860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Hromada</cp:lastModifiedBy>
  <cp:revision>2</cp:revision>
  <dcterms:created xsi:type="dcterms:W3CDTF">2026-07-12T03:01:00Z</dcterms:created>
  <dcterms:modified xsi:type="dcterms:W3CDTF">2026-07-12T03:01:00Z</dcterms:modified>
</cp:coreProperties>
</file>