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Phoenix — Steering Committee Minutes</w:t>
      </w:r>
    </w:p>
    <w:p>
      <w:r>
        <w:t>Date: May 11, 2026</w:t>
      </w:r>
    </w:p>
    <w:p>
      <w:pPr>
        <w:pStyle w:val="Heading1"/>
      </w:pPr>
      <w:r>
        <w:t>Attendees</w:t>
      </w:r>
    </w:p>
    <w:p>
      <w:pPr>
        <w:pStyle w:val="ListBullet"/>
      </w:pPr>
      <w:r>
        <w:t>Marcus Chen</w:t>
      </w:r>
    </w:p>
    <w:p>
      <w:pPr>
        <w:pStyle w:val="ListBullet"/>
      </w:pPr>
      <w:r>
        <w:t>Priya Raman</w:t>
      </w:r>
    </w:p>
    <w:p>
      <w:pPr>
        <w:pStyle w:val="ListBullet"/>
      </w:pPr>
      <w:r>
        <w:t>Leah Katz</w:t>
      </w:r>
    </w:p>
    <w:p>
      <w:pPr>
        <w:pStyle w:val="ListBullet"/>
      </w:pPr>
      <w:r>
        <w:t>Keiko Tanaka</w:t>
      </w:r>
    </w:p>
    <w:p>
      <w:pPr>
        <w:pStyle w:val="ListBullet"/>
      </w:pPr>
      <w:r>
        <w:t>Dana Whitfield</w:t>
      </w:r>
    </w:p>
    <w:p>
      <w:pPr>
        <w:pStyle w:val="ListBullet"/>
      </w:pPr>
      <w:r>
        <w:t>Tomás Alvarez</w:t>
      </w:r>
    </w:p>
    <w:p>
      <w:pPr>
        <w:pStyle w:val="Heading1"/>
      </w:pPr>
      <w:r>
        <w:t>Decisions</w:t>
      </w:r>
    </w:p>
    <w:p>
      <w:pPr>
        <w:pStyle w:val="ListNumber"/>
      </w:pPr>
      <w:r>
        <w:t>Increased the contingency budget by ten percent.</w:t>
      </w:r>
    </w:p>
    <w:p>
      <w:pPr>
        <w:pStyle w:val="ListNumber"/>
      </w:pPr>
      <w:r>
        <w:t>Deferred the tooling upgrade until after the audit.</w:t>
      </w:r>
    </w:p>
    <w:p>
      <w:pPr>
        <w:pStyle w:val="ListNumber"/>
      </w:pPr>
      <w:r>
        <w:t>Approved moving the launch date to the end of the quarter.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Priya Raman</w:t>
            </w:r>
          </w:p>
        </w:tc>
        <w:tc>
          <w:tcPr>
            <w:tcW w:type="dxa" w:w="2880"/>
          </w:tcPr>
          <w:p>
            <w:r>
              <w:t>Publish the updated onboarding runbook</w:t>
            </w:r>
          </w:p>
        </w:tc>
        <w:tc>
          <w:tcPr>
            <w:tcW w:type="dxa" w:w="2880"/>
          </w:tcPr>
          <w:p>
            <w:r>
              <w:t>2026-06-01</w:t>
            </w:r>
          </w:p>
        </w:tc>
      </w:tr>
      <w:tr>
        <w:tc>
          <w:tcPr>
            <w:tcW w:type="dxa" w:w="2880"/>
          </w:tcPr>
          <w:p>
            <w:r>
              <w:t>Leah Katz</w:t>
            </w:r>
          </w:p>
        </w:tc>
        <w:tc>
          <w:tcPr>
            <w:tcW w:type="dxa" w:w="2880"/>
          </w:tcPr>
          <w:p>
            <w:r>
              <w:t>Circulate the revised project timeline</w:t>
            </w:r>
          </w:p>
        </w:tc>
        <w:tc>
          <w:tcPr>
            <w:tcW w:type="dxa" w:w="2880"/>
          </w:tcPr>
          <w:p>
            <w:r>
              <w:t>2026-06-25</w:t>
            </w:r>
          </w:p>
        </w:tc>
      </w:tr>
      <w:tr>
        <w:tc>
          <w:tcPr>
            <w:tcW w:type="dxa" w:w="2880"/>
          </w:tcPr>
          <w:p>
            <w:r>
              <w:t>Dana Whitfield</w:t>
            </w:r>
          </w:p>
        </w:tc>
        <w:tc>
          <w:tcPr>
            <w:tcW w:type="dxa" w:w="2880"/>
          </w:tcPr>
          <w:p>
            <w:r>
              <w:t>Prepare the budget variance summary</w:t>
            </w:r>
          </w:p>
        </w:tc>
        <w:tc>
          <w:tcPr>
            <w:tcW w:type="dxa" w:w="2880"/>
          </w:tcPr>
          <w:p>
            <w:r>
              <w:t>2026-06-17</w:t>
            </w:r>
          </w:p>
        </w:tc>
      </w:tr>
    </w:tbl>
    <w:p>
      <w:r>
        <w:t>Minutes recorded by the project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