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Citation practice in first year assignments</w:t>
      </w:r>
    </w:p>
    <w:p>
      <w:pPr>
        <w:pStyle w:val="Normal"/>
      </w:pPr>
      <w:r>
        <w:t xml:space="preserve">This short document exists so that the reference checker's extraction tests have a real Word file to read. The body text before the reference list is here on purpose: the parser takes the last matching heading in a document, because essays routinely mention references in passing long before they reach the actual list, and a fixture without that trap would not exercise the behaviour that matters.</w:t>
      </w:r>
    </w:p>
    <w:p>
      <w:pPr>
        <w:pStyle w:val="Normal"/>
      </w:pPr>
      <w:r>
        <w:t xml:space="preserve">The four entries below are formatted in APA style, each in its own paragraph, which is how a student would normally lay them out in Word.</w:t>
      </w:r>
    </w:p>
    <w:p>
      <w:pPr>
        <w:pStyle w:val="Heading1"/>
      </w:pPr>
      <w:r>
        <w:t xml:space="preserve">References</w:t>
      </w:r>
    </w:p>
    <w:p>
      <w:pPr>
        <w:pStyle w:val="Normal"/>
      </w:pPr>
      <w:r>
        <w:t xml:space="preserve">Biggs, J. (1996). Enhancing teaching through constructive alignment. Higher Education, 32(3), 347-364.</w:t>
      </w:r>
    </w:p>
    <w:p>
      <w:pPr>
        <w:pStyle w:val="Normal"/>
      </w:pPr>
      <w:r>
        <w:t xml:space="preserve">Hattie, J., &amp; Timperley, H. (2007). The power of feedback. Review of Educational Research, 77(1), 81-112.</w:t>
      </w:r>
    </w:p>
    <w:p>
      <w:pPr>
        <w:pStyle w:val="Normal"/>
      </w:pPr>
      <w:r>
        <w:t xml:space="preserve">Nicol, D. J., &amp; Macfarlane-Dick, D. (2006). Formative assessment and self-regulated learning: A model and seven principles of good feedback practice. Studies in Higher Education, 31(2), 199-218.</w:t>
      </w:r>
    </w:p>
    <w:p>
      <w:pPr>
        <w:pStyle w:val="Normal"/>
      </w:pPr>
      <w:r>
        <w:t xml:space="preserve">Sadler, D. R. (1989). Formative assessment and the design of instructional systems. Instructional Science, 18(2), 119-144.</w:t>
      </w:r>
    </w:p>
    <w:sectPr/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