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&lt;Nome do Projeto&gt;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&lt;1.0&gt;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 Grupo: Cristiana Santana Silva, 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Histórico da Revisão</w:t>
      </w:r>
    </w:p>
    <w:tbl>
      <w:tblPr>
        <w:tblW w:w="5634" w:type="pct"/>
        <w:tblLook w:val="0000" w:firstRow="0" w:lastRow="0" w:firstColumn="0" w:lastColumn="0" w:noHBand="0" w:noVBand="0"/>
      </w:tblPr>
      <w:tblGrid>
        <w:gridCol w:w="2525"/>
        <w:gridCol w:w="1253"/>
        <w:gridCol w:w="3703"/>
        <w:gridCol w:w="2926"/>
      </w:tblGrid>
      <w:tr w:rsidR="00115AA9" w:rsidTr="00556F69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2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60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1779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40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115AA9" w:rsidTr="00556F69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1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602" w:type="pct"/>
            <w:tcBorders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1779" w:type="pct"/>
            <w:tcBorders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1407" w:type="pct"/>
            <w:tcBorders>
              <w:bottom w:val="single" w:sz="8" w:space="0" w:color="auto"/>
              <w:right w:val="single" w:sz="8" w:space="0" w:color="auto"/>
            </w:tcBorders>
          </w:tcPr>
          <w:p w:rsidR="00115AA9" w:rsidRDefault="00115AA9" w:rsidP="00556F6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115AA9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5" w:history="1">
        <w:r w:rsidRPr="00DD2182">
          <w:rPr>
            <w:rFonts w:ascii="TimesNewRomanPSMT" w:hAnsi="TimesNewRomanPSMT" w:cs="TimesNewRomanPSMT"/>
            <w:sz w:val="26"/>
            <w:szCs w:val="26"/>
          </w:rPr>
          <w:t>1.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Introdução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6" w:history="1">
        <w:r w:rsidRPr="00DD2182">
          <w:rPr>
            <w:rFonts w:ascii="TimesNewRomanPSMT" w:hAnsi="TimesNewRomanPSMT" w:cs="TimesNewRomanPSMT"/>
            <w:sz w:val="26"/>
            <w:szCs w:val="26"/>
          </w:rPr>
          <w:t>1.1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Finalidade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7" w:history="1">
        <w:r w:rsidRPr="00DD2182">
          <w:rPr>
            <w:rFonts w:ascii="TimesNewRomanPSMT" w:hAnsi="TimesNewRomanPSMT" w:cs="TimesNewRomanPSMT"/>
            <w:sz w:val="26"/>
            <w:szCs w:val="26"/>
          </w:rPr>
          <w:t>1.2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Escopo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8" w:history="1">
        <w:r w:rsidRPr="00DD2182">
          <w:rPr>
            <w:rFonts w:ascii="TimesNewRomanPSMT" w:hAnsi="TimesNewRomanPSMT" w:cs="TimesNewRomanPSMT"/>
            <w:sz w:val="26"/>
            <w:szCs w:val="26"/>
          </w:rPr>
          <w:t>1.3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Definições, Acrônimos e Abreviações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</w:t>
      </w:r>
      <w:proofErr w:type="gramStart"/>
      <w:r w:rsidRPr="00DD2182">
        <w:rPr>
          <w:rFonts w:ascii="TimesNewRomanPSMT" w:hAnsi="TimesNewRomanPSMT" w:cs="TimesNewRomanPSMT"/>
          <w:sz w:val="26"/>
          <w:szCs w:val="26"/>
        </w:rPr>
        <w:t>  </w:t>
      </w:r>
      <w:proofErr w:type="gramEnd"/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9" w:history="1">
        <w:r w:rsidRPr="00DD2182">
          <w:rPr>
            <w:rFonts w:ascii="TimesNewRomanPSMT" w:hAnsi="TimesNewRomanPSMT" w:cs="TimesNewRomanPSMT"/>
            <w:sz w:val="26"/>
            <w:szCs w:val="26"/>
          </w:rPr>
          <w:t>1.4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Referências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0" w:history="1">
        <w:proofErr w:type="gramStart"/>
        <w:r w:rsidRPr="00DD2182">
          <w:rPr>
            <w:rFonts w:ascii="TimesNewRomanPSMT" w:hAnsi="TimesNewRomanPSMT" w:cs="TimesNewRomanPSMT"/>
            <w:sz w:val="26"/>
            <w:szCs w:val="26"/>
          </w:rPr>
          <w:t>1.5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Visão</w:t>
        </w:r>
        <w:proofErr w:type="gramEnd"/>
        <w:r w:rsidRPr="00DD2182">
          <w:rPr>
            <w:rFonts w:ascii="TimesNewRomanPSMT" w:hAnsi="TimesNewRomanPSMT" w:cs="TimesNewRomanPSMT"/>
            <w:sz w:val="26"/>
            <w:szCs w:val="26"/>
          </w:rPr>
          <w:t xml:space="preserve"> Geral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1" w:history="1">
        <w:r w:rsidRPr="00DD2182">
          <w:rPr>
            <w:rFonts w:ascii="TimesNewRomanPSMT" w:hAnsi="TimesNewRomanPSMT" w:cs="TimesNewRomanPSMT"/>
            <w:sz w:val="26"/>
            <w:szCs w:val="26"/>
          </w:rPr>
          <w:t>2.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Gerenciamento de Configuração de Software</w:t>
        </w:r>
      </w:hyperlink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2" w:history="1">
        <w:proofErr w:type="gramStart"/>
        <w:r w:rsidRPr="00DD2182">
          <w:rPr>
            <w:rFonts w:ascii="TimesNewRomanPSMT" w:hAnsi="TimesNewRomanPSMT" w:cs="TimesNewRomanPSMT"/>
            <w:sz w:val="26"/>
            <w:szCs w:val="26"/>
          </w:rPr>
          <w:t>2.1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Organização</w:t>
        </w:r>
        <w:proofErr w:type="gramEnd"/>
        <w:r w:rsidRPr="00DD2182">
          <w:rPr>
            <w:rFonts w:ascii="TimesNewRomanPSMT" w:hAnsi="TimesNewRomanPSMT" w:cs="TimesNewRomanPSMT"/>
            <w:sz w:val="26"/>
            <w:szCs w:val="26"/>
          </w:rPr>
          <w:t>, Responsabilidades e Interfaces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3" w:history="1">
        <w:r w:rsidRPr="00DD2182">
          <w:rPr>
            <w:rFonts w:ascii="TimesNewRomanPSMT" w:hAnsi="TimesNewRomanPSMT" w:cs="TimesNewRomanPSMT"/>
            <w:sz w:val="26"/>
            <w:szCs w:val="26"/>
          </w:rPr>
          <w:t>2.2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 xml:space="preserve">Ferramentas, Ambiente e </w:t>
        </w:r>
        <w:proofErr w:type="spellStart"/>
        <w:proofErr w:type="gramStart"/>
        <w:r w:rsidRPr="00DD2182">
          <w:rPr>
            <w:rFonts w:ascii="TimesNewRomanPSMT" w:hAnsi="TimesNewRomanPSMT" w:cs="TimesNewRomanPSMT"/>
            <w:sz w:val="26"/>
            <w:szCs w:val="26"/>
          </w:rPr>
          <w:t>Infra-estrutura</w:t>
        </w:r>
        <w:proofErr w:type="spellEnd"/>
        <w:proofErr w:type="gramEnd"/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4" w:history="1">
        <w:r w:rsidRPr="00DD2182">
          <w:rPr>
            <w:rFonts w:ascii="TimesNewRomanPSMT" w:hAnsi="TimesNewRomanPSMT" w:cs="TimesNewRomanPSMT"/>
            <w:sz w:val="26"/>
            <w:szCs w:val="26"/>
          </w:rPr>
          <w:t>3.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O Programa de Gerenciamento de Configuração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history="1">
        <w:proofErr w:type="gramStart"/>
        <w:r w:rsidRPr="00DD2182">
          <w:rPr>
            <w:rFonts w:ascii="TimesNewRomanPSMT" w:hAnsi="TimesNewRomanPSMT" w:cs="TimesNewRomanPSMT"/>
            <w:sz w:val="26"/>
            <w:szCs w:val="26"/>
          </w:rPr>
          <w:t>3.1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Identificação</w:t>
        </w:r>
        <w:proofErr w:type="gramEnd"/>
        <w:r w:rsidRPr="00DD2182">
          <w:rPr>
            <w:rFonts w:ascii="TimesNewRomanPSMT" w:hAnsi="TimesNewRomanPSMT" w:cs="TimesNewRomanPSMT"/>
            <w:sz w:val="26"/>
            <w:szCs w:val="26"/>
          </w:rPr>
          <w:t xml:space="preserve"> da Configuração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16" w:history="1">
        <w:r w:rsidRPr="00DD2182">
          <w:rPr>
            <w:rFonts w:ascii="TimesNewRomanPSMT" w:hAnsi="TimesNewRomanPSMT" w:cs="TimesNewRomanPSMT"/>
            <w:sz w:val="26"/>
            <w:szCs w:val="26"/>
          </w:rPr>
          <w:t>3.1.1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Métodos de Identificação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 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17" w:history="1">
        <w:r w:rsidRPr="00DD2182">
          <w:rPr>
            <w:rFonts w:ascii="TimesNewRomanPSMT" w:hAnsi="TimesNewRomanPSMT" w:cs="TimesNewRomanPSMT"/>
            <w:sz w:val="26"/>
            <w:szCs w:val="26"/>
          </w:rPr>
          <w:t>3.1.2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proofErr w:type="spellStart"/>
        <w:r w:rsidRPr="00DD2182">
          <w:rPr>
            <w:rFonts w:ascii="TimesNewRomanPSMT" w:hAnsi="TimesNewRomanPSMT" w:cs="TimesNewRomanPSMT"/>
            <w:sz w:val="26"/>
            <w:szCs w:val="26"/>
          </w:rPr>
          <w:t>Baselines</w:t>
        </w:r>
        <w:proofErr w:type="spellEnd"/>
        <w:r w:rsidRPr="00DD2182">
          <w:rPr>
            <w:rFonts w:ascii="TimesNewRomanPSMT" w:hAnsi="TimesNewRomanPSMT" w:cs="TimesNewRomanPSMT"/>
            <w:sz w:val="26"/>
            <w:szCs w:val="26"/>
          </w:rPr>
          <w:t xml:space="preserve"> do Projeto</w:t>
        </w:r>
      </w:hyperlink>
      <w:r w:rsidRPr="00DD2182">
        <w:rPr>
          <w:rFonts w:ascii="TimesNewRomanPSMT" w:hAnsi="TimesNewRomanPSMT" w:cs="TimesNewRomanPSMT"/>
          <w:sz w:val="26"/>
          <w:szCs w:val="26"/>
        </w:rPr>
        <w:t>                 </w:t>
      </w:r>
    </w:p>
    <w:p w:rsidR="00115AA9" w:rsidRPr="00DD2182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8" w:history="1">
        <w:r w:rsidRPr="00DD2182">
          <w:rPr>
            <w:rFonts w:ascii="TimesNewRomanPSMT" w:hAnsi="TimesNewRomanPSMT" w:cs="TimesNewRomanPSMT"/>
            <w:sz w:val="26"/>
            <w:szCs w:val="26"/>
          </w:rPr>
          <w:t>4.</w:t>
        </w:r>
        <w:r w:rsidRPr="00DD2182">
          <w:rPr>
            <w:rFonts w:ascii="TimesNewRomanPSMT" w:hAnsi="TimesNewRomanPSMT" w:cs="TimesNewRomanPSMT"/>
            <w:sz w:val="32"/>
            <w:szCs w:val="32"/>
          </w:rPr>
          <w:t xml:space="preserve"> </w:t>
        </w:r>
        <w:r w:rsidRPr="00DD2182">
          <w:rPr>
            <w:rFonts w:ascii="TimesNewRomanPSMT" w:hAnsi="TimesNewRomanPSMT" w:cs="TimesNewRomanPSMT"/>
            <w:sz w:val="26"/>
            <w:szCs w:val="26"/>
          </w:rPr>
          <w:t>Marcos</w:t>
        </w:r>
      </w:hyperlink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115AA9" w:rsidRDefault="00115AA9" w:rsidP="00115A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115AA9" w:rsidRPr="00F056C3" w:rsidRDefault="00115AA9" w:rsidP="00115AA9">
      <w:pPr>
        <w:ind w:left="720" w:firstLine="240"/>
        <w:jc w:val="both"/>
        <w:rPr>
          <w:rFonts w:ascii="ArialMT" w:hAnsi="ArialMT"/>
        </w:rPr>
      </w:pPr>
      <w:r>
        <w:rPr>
          <w:rFonts w:ascii="ArialMT" w:hAnsi="ArialMT"/>
          <w:sz w:val="24"/>
        </w:rPr>
        <w:t>O objetivo do plano</w:t>
      </w:r>
      <w:r w:rsidRPr="00F056C3">
        <w:rPr>
          <w:rFonts w:ascii="ArialMT" w:hAnsi="ArialMT"/>
          <w:sz w:val="24"/>
        </w:rPr>
        <w:t xml:space="preserve"> de gerenciamento de configuração é </w:t>
      </w:r>
      <w:r>
        <w:rPr>
          <w:rFonts w:ascii="ArialMT" w:hAnsi="ArialMT"/>
          <w:sz w:val="24"/>
        </w:rPr>
        <w:t>descrever o processo e atividades do</w:t>
      </w:r>
      <w:r w:rsidRPr="00D00EC6">
        <w:rPr>
          <w:rFonts w:ascii="ArialMT" w:hAnsi="ArialMT"/>
          <w:sz w:val="24"/>
        </w:rPr>
        <w:t xml:space="preserve"> Gerenciamento da Configuração</w:t>
      </w:r>
      <w:r>
        <w:rPr>
          <w:rFonts w:ascii="ArialMT" w:hAnsi="ArialMT"/>
          <w:sz w:val="24"/>
        </w:rPr>
        <w:t>. Onde se identifica, organiza e controla todas as mudanças efetuadas durante o ciclo de vida do produto. O intuito é garantir a qualidade do software durante o processo de desenvolvimento e manter a integridade</w:t>
      </w:r>
      <w:r w:rsidRPr="00D00EC6">
        <w:rPr>
          <w:rFonts w:ascii="ArialMT" w:hAnsi="ArialMT"/>
          <w:sz w:val="24"/>
        </w:rPr>
        <w:t xml:space="preserve"> </w:t>
      </w:r>
      <w:r>
        <w:rPr>
          <w:rFonts w:ascii="ArialMT" w:hAnsi="ArialMT"/>
          <w:sz w:val="24"/>
        </w:rPr>
        <w:t xml:space="preserve">dos produtos de trabalho. 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115AA9" w:rsidRDefault="00115AA9" w:rsidP="008B6533">
      <w:pPr>
        <w:ind w:left="720" w:firstLine="240"/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 xml:space="preserve">A finalidade deste </w:t>
      </w:r>
      <w:r w:rsidR="003D6DF8" w:rsidRPr="008B6533">
        <w:rPr>
          <w:rFonts w:ascii="ArialMT" w:hAnsi="ArialMT"/>
          <w:sz w:val="24"/>
        </w:rPr>
        <w:t>Plano de Gerenciamento de Configuração</w:t>
      </w:r>
      <w:r w:rsidR="003D6DF8">
        <w:rPr>
          <w:rFonts w:ascii="ArialMT" w:hAnsi="ArialMT"/>
          <w:sz w:val="24"/>
        </w:rPr>
        <w:t xml:space="preserve"> </w:t>
      </w:r>
      <w:r>
        <w:rPr>
          <w:rFonts w:ascii="ArialMT" w:hAnsi="ArialMT"/>
          <w:sz w:val="24"/>
        </w:rPr>
        <w:t xml:space="preserve">é determinar um padrão a </w:t>
      </w:r>
      <w:proofErr w:type="gramStart"/>
      <w:r w:rsidR="004835A8">
        <w:rPr>
          <w:rFonts w:ascii="ArialMT" w:hAnsi="ArialMT"/>
          <w:sz w:val="24"/>
        </w:rPr>
        <w:t>ser</w:t>
      </w:r>
      <w:proofErr w:type="gramEnd"/>
      <w:r>
        <w:rPr>
          <w:rFonts w:ascii="ArialMT" w:hAnsi="ArialMT"/>
          <w:sz w:val="24"/>
        </w:rPr>
        <w:t xml:space="preserve"> seguido todos os integrantes da equipe com propósito de controlar</w:t>
      </w:r>
      <w:r w:rsidR="00E0098C">
        <w:rPr>
          <w:rFonts w:ascii="ArialMT" w:hAnsi="ArialMT"/>
          <w:sz w:val="24"/>
        </w:rPr>
        <w:t xml:space="preserve"> e organizar o desenvolvimento</w:t>
      </w:r>
      <w:r>
        <w:rPr>
          <w:rFonts w:ascii="ArialMT" w:hAnsi="ArialMT"/>
          <w:sz w:val="24"/>
        </w:rPr>
        <w:t xml:space="preserve"> </w:t>
      </w:r>
      <w:r w:rsidR="00E0098C" w:rsidRPr="00E0098C">
        <w:rPr>
          <w:rFonts w:ascii="ArialMT" w:hAnsi="ArialMT"/>
          <w:sz w:val="24"/>
        </w:rPr>
        <w:t>d</w:t>
      </w:r>
      <w:r w:rsidRPr="00E0098C">
        <w:rPr>
          <w:rFonts w:ascii="ArialMT" w:hAnsi="ArialMT"/>
          <w:sz w:val="24"/>
        </w:rPr>
        <w:t>o</w:t>
      </w:r>
      <w:r>
        <w:rPr>
          <w:rFonts w:ascii="ArialMT" w:hAnsi="ArialMT"/>
          <w:sz w:val="24"/>
        </w:rPr>
        <w:t xml:space="preserve"> produto. 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8B6533" w:rsidRPr="003D6DF8" w:rsidRDefault="003D6DF8" w:rsidP="008B6533">
      <w:pPr>
        <w:ind w:left="720" w:firstLine="240"/>
        <w:jc w:val="both"/>
        <w:rPr>
          <w:rFonts w:ascii="ArialMT" w:hAnsi="ArialMT"/>
          <w:sz w:val="24"/>
          <w:u w:val="single"/>
        </w:rPr>
      </w:pPr>
      <w:r>
        <w:rPr>
          <w:rFonts w:ascii="ArialMT" w:hAnsi="ArialMT"/>
          <w:sz w:val="24"/>
        </w:rPr>
        <w:t>Este documento</w:t>
      </w:r>
      <w:r w:rsidR="008B6533" w:rsidRPr="008B6533">
        <w:rPr>
          <w:rFonts w:ascii="ArialMT" w:hAnsi="ArialMT"/>
          <w:sz w:val="24"/>
        </w:rPr>
        <w:t xml:space="preserve"> </w:t>
      </w:r>
      <w:r>
        <w:rPr>
          <w:rFonts w:ascii="ArialMT" w:hAnsi="ArialMT"/>
          <w:sz w:val="24"/>
        </w:rPr>
        <w:t xml:space="preserve">compreende todo o controle e gerenciamento da configuração </w:t>
      </w:r>
      <w:r>
        <w:rPr>
          <w:rFonts w:ascii="ArialMT" w:hAnsi="ArialMT"/>
          <w:sz w:val="24"/>
        </w:rPr>
        <w:t>do projeto</w:t>
      </w:r>
      <w:r>
        <w:rPr>
          <w:rFonts w:ascii="ArialMT" w:hAnsi="ArialMT"/>
          <w:sz w:val="24"/>
        </w:rPr>
        <w:t xml:space="preserve"> e </w:t>
      </w:r>
      <w:r w:rsidR="008B6533" w:rsidRPr="008B6533">
        <w:rPr>
          <w:rFonts w:ascii="ArialMT" w:hAnsi="ArialMT"/>
          <w:sz w:val="24"/>
        </w:rPr>
        <w:t xml:space="preserve">é destinado para todos os </w:t>
      </w:r>
      <w:r>
        <w:rPr>
          <w:rFonts w:ascii="ArialMT" w:hAnsi="ArialMT"/>
          <w:sz w:val="24"/>
        </w:rPr>
        <w:t>membros</w:t>
      </w:r>
      <w:r w:rsidR="008B6533" w:rsidRPr="008B6533">
        <w:rPr>
          <w:rFonts w:ascii="ArialMT" w:hAnsi="ArialMT"/>
          <w:sz w:val="24"/>
        </w:rPr>
        <w:t xml:space="preserve"> d</w:t>
      </w:r>
      <w:r>
        <w:rPr>
          <w:rFonts w:ascii="ArialMT" w:hAnsi="ArialMT"/>
          <w:sz w:val="24"/>
        </w:rPr>
        <w:t>a equipe responsáveis</w:t>
      </w:r>
      <w:r w:rsidR="008B6533" w:rsidRPr="008B6533">
        <w:rPr>
          <w:rFonts w:ascii="ArialMT" w:hAnsi="ArialMT"/>
          <w:sz w:val="24"/>
        </w:rPr>
        <w:t xml:space="preserve"> pelo desenvolvimento do sistema </w:t>
      </w:r>
      <w:r w:rsidR="008B6533">
        <w:rPr>
          <w:rFonts w:ascii="ArialMT" w:hAnsi="ArialMT"/>
          <w:sz w:val="24"/>
        </w:rPr>
        <w:t xml:space="preserve">Gerador </w:t>
      </w:r>
      <w:proofErr w:type="spellStart"/>
      <w:proofErr w:type="gramStart"/>
      <w:r w:rsidR="008B6533">
        <w:rPr>
          <w:rFonts w:ascii="ArialMT" w:hAnsi="ArialMT"/>
          <w:sz w:val="24"/>
        </w:rPr>
        <w:t>BurnDown</w:t>
      </w:r>
      <w:proofErr w:type="spellEnd"/>
      <w:proofErr w:type="gramEnd"/>
      <w:r>
        <w:rPr>
          <w:rFonts w:ascii="ArialMT" w:hAnsi="ArialMT"/>
          <w:sz w:val="24"/>
        </w:rPr>
        <w:t>.</w:t>
      </w:r>
      <w:bookmarkStart w:id="0" w:name="_GoBack"/>
      <w:bookmarkEnd w:id="0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[Esta subseção apresenta as definições de todos os termos, acrônimos e abreviações necessários para a correta interpretação do </w:t>
      </w:r>
      <w:r>
        <w:rPr>
          <w:rFonts w:ascii="TimesNewRomanPSMT" w:hAnsi="TimesNewRomanPSMT" w:cs="TimesNewRomanPSMT"/>
          <w:b/>
          <w:bCs/>
          <w:i/>
          <w:iCs/>
          <w:color w:val="002AF6"/>
          <w:sz w:val="26"/>
          <w:szCs w:val="26"/>
        </w:rPr>
        <w:t>Plano de Gerenciamento de Configuração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.  Essas informações podem ser fornecidas mediante referência ao Glossário do projeto.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1.4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[Esta subseção apresenta uma lista completa de todos os documentos mencionados no </w:t>
      </w:r>
      <w:r>
        <w:rPr>
          <w:rFonts w:ascii="TimesNewRomanPSMT" w:hAnsi="TimesNewRomanPSMT" w:cs="TimesNewRomanPSMT"/>
          <w:b/>
          <w:bCs/>
          <w:i/>
          <w:iCs/>
          <w:color w:val="002AF6"/>
          <w:sz w:val="26"/>
          <w:szCs w:val="26"/>
        </w:rPr>
        <w:t>Plano de Gerenciamento de Configuração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. Identifique os documentos por título, número de relatório (se aplicável), data e organização responsável pela publicação. Especifique as fontes a partir das quais as referências podem ser obtidas. Essas informações podem ser fornecidas por um anexo ou outro documento.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[Esta subseção descreve o conteúdo restante do </w:t>
      </w:r>
      <w:r>
        <w:rPr>
          <w:rFonts w:ascii="TimesNewRomanPSMT" w:hAnsi="TimesNewRomanPSMT" w:cs="TimesNewRomanPSMT"/>
          <w:b/>
          <w:bCs/>
          <w:i/>
          <w:iCs/>
          <w:color w:val="002AF6"/>
          <w:sz w:val="26"/>
          <w:szCs w:val="26"/>
        </w:rPr>
        <w:t>Plano de Gerenciamento de Configuração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e explica como o documento está organizado.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Gerenciamento de Configuração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Software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Organização, Responsabilidades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Interfaces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[Descreva quem será o responsável pela execução das diversas atividades de 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lastRenderedPageBreak/>
        <w:t>Gerenciamento de Configuração (CM) descritas na Disciplina Processo de CM.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[Descreva o ambiente de computação e as ferramentas de software a serem utilizadas para desempenhar as funções de CM em todo o ciclo de vida do projeto ou produto.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Descreva as ferramentas e os procedimentos necessários utilizados para o controle de versão dos itens de configuração gerados no ciclo de vida do projeto ou produto.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As questões envolvidas na configuração do ambiente de CM incluem: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LucidaGrande" w:hAnsi="LucidaGrande" w:cs="LucidaGrande"/>
          <w:color w:val="002AF6"/>
          <w:sz w:val="26"/>
          <w:szCs w:val="26"/>
        </w:rPr>
        <w:t>·</w:t>
      </w:r>
      <w:r>
        <w:rPr>
          <w:rFonts w:ascii="TimesNewRomanPSMT" w:hAnsi="TimesNewRomanPSMT" w:cs="TimesNewRomanPSMT"/>
          <w:color w:val="002AF6"/>
          <w:sz w:val="18"/>
          <w:szCs w:val="18"/>
        </w:rPr>
        <w:t xml:space="preserve">         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tamanho previsto dos dados do produto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LucidaGrande" w:hAnsi="LucidaGrande" w:cs="LucidaGrande"/>
          <w:color w:val="002AF6"/>
          <w:sz w:val="26"/>
          <w:szCs w:val="26"/>
        </w:rPr>
        <w:t>·</w:t>
      </w:r>
      <w:r>
        <w:rPr>
          <w:rFonts w:ascii="TimesNewRomanPSMT" w:hAnsi="TimesNewRomanPSMT" w:cs="TimesNewRomanPSMT"/>
          <w:color w:val="002AF6"/>
          <w:sz w:val="18"/>
          <w:szCs w:val="18"/>
        </w:rPr>
        <w:t xml:space="preserve">         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distribuição da equipe do produto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LucidaGrande" w:hAnsi="LucidaGrande" w:cs="LucidaGrande"/>
          <w:color w:val="002AF6"/>
          <w:sz w:val="26"/>
          <w:szCs w:val="26"/>
        </w:rPr>
        <w:t>·</w:t>
      </w:r>
      <w:r>
        <w:rPr>
          <w:rFonts w:ascii="TimesNewRomanPSMT" w:hAnsi="TimesNewRomanPSMT" w:cs="TimesNewRomanPSMT"/>
          <w:color w:val="002AF6"/>
          <w:sz w:val="18"/>
          <w:szCs w:val="18"/>
        </w:rPr>
        <w:t> </w:t>
      </w:r>
      <w:proofErr w:type="gramStart"/>
      <w:r>
        <w:rPr>
          <w:rFonts w:ascii="TimesNewRomanPSMT" w:hAnsi="TimesNewRomanPSMT" w:cs="TimesNewRomanPSMT"/>
          <w:color w:val="002AF6"/>
          <w:sz w:val="18"/>
          <w:szCs w:val="18"/>
        </w:rPr>
        <w:t xml:space="preserve">        </w:t>
      </w: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localização física dos servidores e clientes]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[Descreva como os artefatos do projeto ou produto devem ser nomeados, marcados e numerados. O esquema de identificação deve abranger o hardware, o software do sistema, os produtos de terceiros (COTS) e todos os artefatos de desenvolvimento de aplicativos listados na estrutura de diretórios do produto; por exemplo, planos, modelos, componentes, software de teste, resultados e dados, executáveis e assim por diante.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[As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baselines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funcionam como um padrão oficial no qual os trabalhos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subseqüentes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são baseados.</w:t>
      </w:r>
      <w:proofErr w:type="gram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Somente mudanças autorizadas podem ser efetuadas nas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baselines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.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Descreva em que pontos do ciclo de vida do projeto ou produto as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baselines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devem ser estabelecidas. As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baselines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mais comuns devem ser definidas ao final de cada uma das fases de Iniciação, Elaboração, Construção e Transição. Elas também podem ser geradas no final de iterações ocorridas dentro das várias fases ou com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freqüência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ainda maior.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Descreva quem autoriza uma </w:t>
      </w:r>
      <w:proofErr w:type="spell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baseline</w:t>
      </w:r>
      <w:proofErr w:type="spellEnd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 xml:space="preserve"> e o que ela contém.]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[Identifique os marcos internos e de cliente relacionados ao esforço de CM do projeto ou produto. Esta seção deve incluir detalhes sobre quando o Plano CM deve ser atualizado.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lastRenderedPageBreak/>
        <w:t>5.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Controle de Software de Subcontratados 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Fornecedores</w:t>
      </w:r>
      <w:proofErr w:type="gramEnd"/>
    </w:p>
    <w:p w:rsidR="00115AA9" w:rsidRDefault="00115AA9" w:rsidP="00115AA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[Descreva de que forma o software desenvolvido fora do ambiente do projeto será incorporado.</w:t>
      </w:r>
      <w:proofErr w:type="gramStart"/>
      <w:r>
        <w:rPr>
          <w:rFonts w:ascii="TimesNewRomanPSMT" w:hAnsi="TimesNewRomanPSMT" w:cs="TimesNewRomanPSMT"/>
          <w:i/>
          <w:iCs/>
          <w:color w:val="002AF6"/>
          <w:sz w:val="26"/>
          <w:szCs w:val="26"/>
        </w:rPr>
        <w:t>]</w:t>
      </w:r>
      <w:proofErr w:type="gramEnd"/>
    </w:p>
    <w:p w:rsidR="00F83524" w:rsidRPr="00115AA9" w:rsidRDefault="00F83524" w:rsidP="00115AA9">
      <w:pPr>
        <w:rPr>
          <w:u w:val="single"/>
        </w:rPr>
      </w:pPr>
    </w:p>
    <w:sectPr w:rsidR="00F83524" w:rsidRPr="00115AA9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A3"/>
    <w:rsid w:val="00115AA9"/>
    <w:rsid w:val="003D6DF8"/>
    <w:rsid w:val="004835A8"/>
    <w:rsid w:val="00587AA3"/>
    <w:rsid w:val="00853CDB"/>
    <w:rsid w:val="008B6533"/>
    <w:rsid w:val="00E0098C"/>
    <w:rsid w:val="00F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eastAsia="Times New Roman" w:hAnsi="Tahoma" w:cs="Tahoma"/>
      <w:snapToGrid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eastAsia="Times New Roman" w:hAnsi="Tahoma" w:cs="Tahoma"/>
      <w:snapToGrid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#1.3%20%20%20%20%20%20%20%20%20%20%20%20%20%20%20Definitions,%20Acronyms%20and%20Abbreviations" TargetMode="External"/><Relationship Id="rId13" Type="http://schemas.openxmlformats.org/officeDocument/2006/relationships/hyperlink" Target="http://www.wthreex.com/rup/webtmpl/templates/cm_mgt/rup_cmpln.htm#2.2%20%20%20%20%20%20%20%20%20%20%20%20%20%20%20Tools,%20Environment%20and%20Infrastructure" TargetMode="External"/><Relationship Id="rId18" Type="http://schemas.openxmlformats.org/officeDocument/2006/relationships/hyperlink" Target="http://www.wthreex.com/rup/webtmpl/templates/cm_mgt/rup_cmpln.htm#4.%20%20%20%20%20%20%20%20%20%20%20%20%20%20%20%20%20%20Milest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threex.com/rup/webtmpl/templates/cm_mgt/rup_cmpln.htm#1.2%20%20%20%20%20%20%20%20%20%20%20%20%20%20%20Scope" TargetMode="External"/><Relationship Id="rId12" Type="http://schemas.openxmlformats.org/officeDocument/2006/relationships/hyperlink" Target="http://www.wthreex.com/rup/webtmpl/templates/cm_mgt/rup_cmpln.htm#2.1%20%20%20%20%20%20%20%20%20%20%20%20%20%20%20Organization,%20Responsibilities%20and%20Interfaces" TargetMode="External"/><Relationship Id="rId17" Type="http://schemas.openxmlformats.org/officeDocument/2006/relationships/hyperlink" Target="http://www.wthreex.com/rup/webtmpl/templates/cm_mgt/rup_cmpln.htm#3.1.2%20%20%20%20%20%20%20%20%20%20Project%20Baselin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threex.com/rup/webtmpl/templates/cm_mgt/rup_cmpln.htm#3.1.1%20%20%20%20%20%20%20%20%20%20Identification%20Method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threex.com/rup/webtmpl/templates/cm_mgt/rup_cmpln.htm#1.1%20%20%20%20%20%20%20%20%20%20%20%20%20%20%20Purpose" TargetMode="External"/><Relationship Id="rId11" Type="http://schemas.openxmlformats.org/officeDocument/2006/relationships/hyperlink" Target="http://www.wthreex.com/rup/webtmpl/templates/cm_mgt/rup_cmpln.htm#2.%20%20%20%20%20%20%20%20%20%20%20%20%20%20%20%20%20%20Software%20Configuration%20Management" TargetMode="External"/><Relationship Id="rId5" Type="http://schemas.openxmlformats.org/officeDocument/2006/relationships/hyperlink" Target="http://www.wthreex.com/rup/webtmpl/templates/cm_mgt/rup_cmpln.htm#1.%20%20%20%20%20%20%20%20%20%20%20%20%20%20%20%20%20%20Introduction" TargetMode="External"/><Relationship Id="rId15" Type="http://schemas.openxmlformats.org/officeDocument/2006/relationships/hyperlink" Target="http://www.wthreex.com/rup/webtmpl/templates/cm_mgt/rup_cmpln.htm#3.1%20%20%20%20%20%20%20%20%20%20%20%20%20%20%20Configuration%20Identification" TargetMode="External"/><Relationship Id="rId10" Type="http://schemas.openxmlformats.org/officeDocument/2006/relationships/hyperlink" Target="http://www.wthreex.com/rup/webtmpl/templates/cm_mgt/rup_cmpln.htm#1.5%20%20%20%20%20%20%20%20%20%20%20%20%20%20%20Over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webtmpl/templates/cm_mgt/rup_cmpln.htm#1.4%20%20%20%20%20%20%20%20%20%20%20%20%20%20%20References" TargetMode="External"/><Relationship Id="rId14" Type="http://schemas.openxmlformats.org/officeDocument/2006/relationships/hyperlink" Target="http://www.wthreex.com/rup/webtmpl/templates/cm_mgt/rup_cmpln.htm#3.%20%20%20%20%20%20%20%20%20%20%20%20%20%20%20%20%20%20The%20CM%20Progra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671</Words>
  <Characters>6413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PUC Minas Barreiro</cp:lastModifiedBy>
  <cp:revision>5</cp:revision>
  <dcterms:created xsi:type="dcterms:W3CDTF">2014-10-22T00:00:00Z</dcterms:created>
  <dcterms:modified xsi:type="dcterms:W3CDTF">2014-10-29T20:58:00Z</dcterms:modified>
</cp:coreProperties>
</file>