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53.png" ContentType="image/png"/>
  <Override PartName="/word/media/rId56.png" ContentType="image/png"/>
  <Override PartName="/word/media/rId59.png" ContentType="image/png"/>
  <Override PartName="/word/media/rId62.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67.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70.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145.png" ContentType="image/png"/>
  <Override PartName="/word/media/rId148.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 Prescribing Data Checks: Atorvastatin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openprescibing"/>
    <w:p>
      <w:pPr>
        <w:pStyle w:val="Heading2"/>
      </w:pPr>
      <w:r>
        <w:t xml:space="preserve">0.1 OpenPrescibing</w:t>
      </w:r>
    </w:p>
    <w:p>
      <w:pPr>
        <w:pStyle w:val="FirstParagraph"/>
      </w:pPr>
      <w:r>
        <w:t xml:space="preserve">NHS Digital publishes monthly and annual prescribing datasets from the NHS Business Services Authority, along with static reports on prescribing trends. However, this does not allow readers to interrogate topics of interest in detail, and the large datasets can be complex to manage. OpenPrescribing.net is a service that facilitates exploration of outliers and trends for individual general practices in NHS England. OpenPrescribing aggregates all available prescription cost analysis (PCA) data into a single data frame for longitudinal analysis of trends, to generate an interactive online service where any user can explore and monitor time trends in prescribing using the latest available data and to share all resources for reuse by others as open data. This data is available from 2010 onwards. All data is normalised to enable the exploration of prescribing trends for individual members of a class of drugs over time. To achieve this consistency, each drug is mapped to its current position in the latest BNF dictionary up to the level of its 11-character</w:t>
      </w:r>
      <w:r>
        <w:t xml:space="preserve"> </w:t>
      </w:r>
      <w:r>
        <w:t xml:space="preserve">‘product’</w:t>
      </w:r>
      <w:r>
        <w:t xml:space="preserve"> </w:t>
      </w:r>
      <w:r>
        <w:t xml:space="preserve">code through an incremental process. For every General Practice (GP) in England, the cost and quantity of dispensed prescriptions by drug is published. GP practice data is attributed to LSOA spatial units via NHS Digital’s GP practice register datasets, allowing GP-level prescribing to be approximated at neighbourhood-level. This data is not linked to patient-level data so does not allow for identification of sub-populations of interest.</w:t>
      </w:r>
    </w:p>
    <w:p>
      <w:pPr>
        <w:pStyle w:val="BodyText"/>
      </w:pPr>
      <w:r>
        <w:t xml:space="preserve">The data used here is downloaded from</w:t>
      </w:r>
      <w:r>
        <w:t xml:space="preserve"> </w:t>
      </w:r>
      <w:hyperlink r:id="rId20">
        <w:r>
          <w:rPr>
            <w:rStyle w:val="Hyperlink"/>
            <w:b/>
            <w:bCs/>
          </w:rPr>
          <w:t xml:space="preserve">OpenPrescribing</w:t>
        </w:r>
      </w:hyperlink>
      <w:r>
        <w:t xml:space="preserve"> </w:t>
      </w:r>
      <w:r>
        <w:t xml:space="preserve">using BigQuery.</w:t>
      </w:r>
    </w:p>
    <w:p>
      <w:pPr>
        <w:pStyle w:val="BodyText"/>
      </w:pPr>
      <w:r>
        <w:t xml:space="preserve">5 separate tables are queried.</w:t>
      </w:r>
      <w:r>
        <w:t xml:space="preserve"> </w:t>
      </w:r>
      <w:r>
        <w:rPr>
          <w:rStyle w:val="VerbatimChar"/>
        </w:rPr>
        <w:t xml:space="preserve">normalised_prescribing</w:t>
      </w:r>
      <w:r>
        <w:t xml:space="preserve">,</w:t>
      </w:r>
      <w:r>
        <w:t xml:space="preserve"> </w:t>
      </w:r>
      <w:r>
        <w:rPr>
          <w:rStyle w:val="VerbatimChar"/>
        </w:rPr>
        <w:t xml:space="preserve">practices</w:t>
      </w:r>
      <w:r>
        <w:t xml:space="preserve">,</w:t>
      </w:r>
      <w:r>
        <w:rPr>
          <w:rStyle w:val="VerbatimChar"/>
        </w:rPr>
        <w:t xml:space="preserve">practice_statistics</w:t>
      </w:r>
      <w:r>
        <w:t xml:space="preserve">,</w:t>
      </w:r>
      <w:r>
        <w:t xml:space="preserve"> </w:t>
      </w:r>
      <w:r>
        <w:rPr>
          <w:rStyle w:val="VerbatimChar"/>
        </w:rPr>
        <w:t xml:space="preserve">ccg</w:t>
      </w:r>
      <w:r>
        <w:t xml:space="preserve">,</w:t>
      </w:r>
      <w:r>
        <w:t xml:space="preserve"> </w:t>
      </w:r>
      <w:r>
        <w:rPr>
          <w:rStyle w:val="VerbatimChar"/>
        </w:rPr>
        <w:t xml:space="preserve">bnf</w:t>
      </w:r>
      <w:r>
        <w:t xml:space="preserve">.</w:t>
      </w:r>
    </w:p>
    <w:p>
      <w:pPr>
        <w:pStyle w:val="BodyText"/>
      </w:pPr>
      <w:r>
        <w:t xml:space="preserve">Data is stored in the</w:t>
      </w:r>
      <w:r>
        <w:t xml:space="preserve"> </w:t>
      </w:r>
      <w:hyperlink r:id="rId21">
        <w:r>
          <w:rPr>
            <w:rStyle w:val="Hyperlink"/>
          </w:rPr>
          <w:t xml:space="preserve">data</w:t>
        </w:r>
      </w:hyperlink>
      <w:r>
        <w:t xml:space="preserve"> </w:t>
      </w:r>
      <w:r>
        <w:t xml:space="preserve">folder.</w:t>
      </w:r>
    </w:p>
    <w:bookmarkEnd w:id="22"/>
    <w:bookmarkStart w:id="23" w:name="practices-lost-when-filtering-to-20mg."/>
    <w:p>
      <w:pPr>
        <w:pStyle w:val="Heading2"/>
      </w:pPr>
      <w:r>
        <w:t xml:space="preserve">0.2 Practices lost when filtering to 20mg.</w:t>
      </w:r>
    </w:p>
    <w:p>
      <w:pPr>
        <w:pStyle w:val="FirstParagraph"/>
      </w:pPr>
      <w:r>
        <w:t xml:space="preserve">Practices are only included if they have am atorvastatin prescription for the month in question. How many practices are lost when we filter from all atorvastatin prescriptions to just 20mg presriptions?</w:t>
      </w:r>
    </w:p>
    <w:p>
      <w:pPr>
        <w:pStyle w:val="BodyText"/>
      </w:pPr>
      <w:r>
        <w:t xml:space="preserve">Over the entire study period there are 6,858 prescribing atorvastatin, with 6,845 prescribing 20mg strength. We lose 13 practices by restricting to 20mg prescriptions. The practices dropped are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practice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prac_name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sicbl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regional_team_id</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region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A89603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D83036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CHURCH FARM SURGERY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IPSWICH AND EAST SUFFOLK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 of England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F81127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F81195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L83125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BARTON SURGERY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DEVON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West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P81756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DANEHOUSE MEDICAL PRACTICE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EAST LANCASHIRE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P84682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Y02128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Y05279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Y05412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WIGSTON ASYLUM SERVICE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EAST LEICESTERSHIRE AND RUTLAND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Y07819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SPCL SURGERY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D9Y0V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HAMPSHIRE, SOUTHAMPTON AND ISLE OF WIGHT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Y59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East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Y08082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BASSETLAW SAS PRACTICE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02Q</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BASSETLAW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Y60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Y08368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r>
    </w:tbl>
    <w:bookmarkEnd w:id="23"/>
    <w:bookmarkStart w:id="24" w:name="practices-contributing-to-all-months."/>
    <w:p>
      <w:pPr>
        <w:pStyle w:val="Heading2"/>
      </w:pPr>
      <w:r>
        <w:t xml:space="preserve">0.3 Practices contributing to all months.</w:t>
      </w:r>
    </w:p>
    <w:p>
      <w:pPr>
        <w:pStyle w:val="FirstParagraph"/>
      </w:pPr>
      <w:r>
        <w:t xml:space="preserve">`</w:t>
      </w:r>
    </w:p>
    <w:p>
      <w:pPr>
        <w:pStyle w:val="BodyText"/>
      </w:pPr>
      <w:r>
        <w:t xml:space="preserve">6,167 of 6,858 practices prescribed atorvastatin throughout the study period. 691 practices will be lost by restricting to practices which prescribe every month of the study.</w:t>
      </w:r>
    </w:p>
    <w:p>
      <w:pPr>
        <w:pStyle w:val="BodyText"/>
      </w:pPr>
      <w:r>
        <w:t xml:space="preserve">TODO: Look at list size of dropped practices</w:t>
      </w:r>
    </w:p>
    <w:bookmarkEnd w:id="24"/>
    <w:bookmarkStart w:id="25" w:name="missing-sub-icb-locations"/>
    <w:p>
      <w:pPr>
        <w:pStyle w:val="Heading2"/>
      </w:pPr>
      <w:r>
        <w:t xml:space="preserve">0.4 Missing Sub ICB Locations</w:t>
      </w:r>
    </w:p>
    <w:p>
      <w:pPr>
        <w:pStyle w:val="FirstParagraph"/>
      </w:pPr>
      <w:r>
        <w:t xml:space="preserve">The list size, Sub ICB Location, and practice name come from the</w:t>
      </w:r>
      <w:r>
        <w:t xml:space="preserve"> </w:t>
      </w:r>
      <w:r>
        <w:rPr>
          <w:rStyle w:val="VerbatimChar"/>
        </w:rPr>
        <w:t xml:space="preserve">practice_statistics</w:t>
      </w:r>
      <w:r>
        <w:t xml:space="preserve"> </w:t>
      </w:r>
      <w:r>
        <w:t xml:space="preserve">table. This table does not include information for all of the practices.</w:t>
      </w:r>
    </w:p>
    <w:p>
      <w:pPr>
        <w:pStyle w:val="BodyText"/>
      </w:pPr>
      <w:r>
        <w:t xml:space="preserve">There are 399 practices missing from the</w:t>
      </w:r>
      <w:r>
        <w:t xml:space="preserve"> </w:t>
      </w:r>
      <w:r>
        <w:rPr>
          <w:rStyle w:val="VerbatimChar"/>
        </w:rPr>
        <w:t xml:space="preserve">practice_statistics</w:t>
      </w:r>
      <w:r>
        <w:t xml:space="preserve"> </w:t>
      </w:r>
      <w:r>
        <w:t xml:space="preserve">table, contributing 4,415 months of data. Practices are missing across all regions.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 of England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London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East and Yorkshire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 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bl>
    <w:bookmarkEnd w:id="25"/>
    <w:bookmarkStart w:id="26" w:name="compare-region-and-practice-tables"/>
    <w:p>
      <w:pPr>
        <w:pStyle w:val="Heading1"/>
      </w:pPr>
      <w:r>
        <w:t xml:space="preserve">1. Compare region and practice tables</w:t>
      </w:r>
    </w:p>
    <w:bookmarkEnd w:id="26"/>
    <w:bookmarkStart w:id="66" w:name="changing-region"/>
    <w:p>
      <w:pPr>
        <w:pStyle w:val="Heading1"/>
      </w:pPr>
      <w:r>
        <w:t xml:space="preserve">2. Changing region</w:t>
      </w:r>
    </w:p>
    <w:bookmarkStart w:id="33" w:name="sicbl-changing-regions"/>
    <w:p>
      <w:pPr>
        <w:pStyle w:val="Heading3"/>
      </w:pPr>
      <w:r>
        <w:t xml:space="preserve">2.0.1 SICBL changing regions</w:t>
      </w:r>
    </w:p>
    <w:p>
      <w:pPr>
        <w:pStyle w:val="FirstParagraph"/>
      </w:pPr>
      <w:r>
        <w:t xml:space="preserve">Sub-ICB locations (SICBL) can be identified via 2 different columns in the</w:t>
      </w:r>
      <w:r>
        <w:t xml:space="preserve"> </w:t>
      </w:r>
      <w:r>
        <w:rPr>
          <w:rStyle w:val="VerbatimChar"/>
        </w:rPr>
        <w:t xml:space="preserve">practice_statistics</w:t>
      </w:r>
      <w:r>
        <w:t xml:space="preserve"> </w:t>
      </w:r>
      <w:r>
        <w:t xml:space="preserve">dataset.</w:t>
      </w:r>
      <w:r>
        <w:t xml:space="preserve"> </w:t>
      </w:r>
      <w:r>
        <w:rPr>
          <w:rStyle w:val="VerbatimChar"/>
        </w:rPr>
        <w:t xml:space="preserve">ccg_id</w:t>
      </w:r>
      <w:r>
        <w:t xml:space="preserve"> </w:t>
      </w:r>
      <w:r>
        <w:t xml:space="preserve">(renamed</w:t>
      </w:r>
      <w:r>
        <w:t xml:space="preserve"> </w:t>
      </w:r>
      <w:r>
        <w:rPr>
          <w:rStyle w:val="VerbatimChar"/>
        </w:rPr>
        <w:t xml:space="preserve">sicbl</w:t>
      </w:r>
      <w:r>
        <w:t xml:space="preserve"> </w:t>
      </w:r>
      <w:r>
        <w:t xml:space="preserve">in this dataset) is static and shows the SICBL as of (??Date??).</w:t>
      </w:r>
      <w:r>
        <w:t xml:space="preserve"> </w:t>
      </w:r>
      <w:r>
        <w:rPr>
          <w:rStyle w:val="VerbatimChar"/>
        </w:rPr>
        <w:t xml:space="preserve">stp_id</w:t>
      </w:r>
      <w:r>
        <w:t xml:space="preserve"> </w:t>
      </w:r>
      <w:r>
        <w:t xml:space="preserve">shows the SICBL as it was at the time. Using the</w:t>
      </w:r>
      <w:r>
        <w:t xml:space="preserve"> </w:t>
      </w:r>
      <w:r>
        <w:rPr>
          <w:rStyle w:val="VerbatimChar"/>
        </w:rPr>
        <w:t xml:space="preserve">stp_id</w:t>
      </w:r>
      <w:r>
        <w:t xml:space="preserve">.</w:t>
      </w:r>
    </w:p>
    <w:p>
      <w:pPr>
        <w:pStyle w:val="BodyText"/>
      </w:pPr>
      <w:r>
        <w:t xml:space="preserve">The difference in population between the</w:t>
      </w:r>
      <w:r>
        <w:t xml:space="preserve"> </w:t>
      </w:r>
      <w:r>
        <w:rPr>
          <w:rStyle w:val="VerbatimChar"/>
        </w:rPr>
        <w:t xml:space="preserve">pct_id</w:t>
      </w:r>
      <w:r>
        <w:t xml:space="preserve"> </w:t>
      </w:r>
      <w:r>
        <w:t xml:space="preserve">and</w:t>
      </w:r>
      <w:r>
        <w:t xml:space="preserve"> </w:t>
      </w:r>
      <w:r>
        <w:rPr>
          <w:rStyle w:val="VerbatimChar"/>
        </w:rPr>
        <w:t xml:space="preserve">ccg_id</w:t>
      </w:r>
      <w:r>
        <w:t xml:space="preserve"> </w:t>
      </w:r>
      <w:r>
        <w:t xml:space="preserve">definition of SICBL can be seen when plotting the list size per mont for each region. In the</w:t>
      </w:r>
      <w:r>
        <w:t xml:space="preserve"> </w:t>
      </w:r>
      <w:r>
        <w:rPr>
          <w:rStyle w:val="VerbatimChar"/>
        </w:rPr>
        <w:t xml:space="preserve">pct_id</w:t>
      </w:r>
      <w:r>
        <w:t xml:space="preserve"> </w:t>
      </w:r>
      <w:r>
        <w:t xml:space="preserve">plot there is a dip in list size in the North West in June 2022, corresponding to a rise in Midlands.</w:t>
      </w:r>
    </w:p>
    <w:p>
      <w:pPr>
        <w:pStyle w:val="BodyText"/>
      </w:pPr>
      <w:r>
        <w:drawing>
          <wp:inline>
            <wp:extent cx="5334000" cy="1777999"/>
            <wp:effectExtent b="0" l="0" r="0" t="0"/>
            <wp:docPr descr="" title="" id="28" name="Picture"/>
            <a:graphic>
              <a:graphicData uri="http://schemas.openxmlformats.org/drawingml/2006/picture">
                <pic:pic>
                  <pic:nvPicPr>
                    <pic:cNvPr descr="data_check_files/figure-docx/figure-list-size-season-pct-1.png" id="29" name="Picture"/>
                    <pic:cNvPicPr>
                      <a:picLocks noChangeArrowheads="1" noChangeAspect="1"/>
                    </pic:cNvPicPr>
                  </pic:nvPicPr>
                  <pic:blipFill>
                    <a:blip r:embed="rId27"/>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t xml:space="preserve">However, we do not see the same dip in the</w:t>
      </w:r>
      <w:r>
        <w:t xml:space="preserve"> </w:t>
      </w:r>
      <w:r>
        <w:rPr>
          <w:rStyle w:val="VerbatimChar"/>
        </w:rPr>
        <w:t xml:space="preserve">ccg_id</w:t>
      </w:r>
      <w:r>
        <w:t xml:space="preserve"> </w:t>
      </w:r>
      <w:r>
        <w:t xml:space="preserve">plot.</w:t>
      </w:r>
    </w:p>
    <w:p>
      <w:pPr>
        <w:pStyle w:val="BodyText"/>
      </w:pPr>
      <w:r>
        <w:drawing>
          <wp:inline>
            <wp:extent cx="5334000" cy="1777999"/>
            <wp:effectExtent b="0" l="0" r="0" t="0"/>
            <wp:docPr descr="" title="" id="31" name="Picture"/>
            <a:graphic>
              <a:graphicData uri="http://schemas.openxmlformats.org/drawingml/2006/picture">
                <pic:pic>
                  <pic:nvPicPr>
                    <pic:cNvPr descr="data_check_files/figure-docx/figure-list-size-season-sicbl-1.png" id="32" name="Picture"/>
                    <pic:cNvPicPr>
                      <a:picLocks noChangeArrowheads="1" noChangeAspect="1"/>
                    </pic:cNvPicPr>
                  </pic:nvPicPr>
                  <pic:blipFill>
                    <a:blip r:embed="rId30"/>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t xml:space="preserve">Practices from 2 SICBL change region during the study period.</w:t>
      </w:r>
    </w:p>
    <w:bookmarkEnd w:id="33"/>
    <w:bookmarkStart w:id="52" w:name="practices-changing-region"/>
    <w:p>
      <w:pPr>
        <w:pStyle w:val="Heading3"/>
      </w:pPr>
      <w:r>
        <w:t xml:space="preserve">2.0.2 practices changing region</w:t>
      </w:r>
    </w:p>
    <w:p>
      <w:pPr>
        <w:pStyle w:val="FirstParagraph"/>
      </w:pPr>
      <w:r>
        <w:t xml:space="preserve">There were 6 practices, from 4 Integrated Care Boards (ICB), which changed region during the study period.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Region</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ICB</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SICBL</w: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SICBL code</w:t>
            </w:r>
          </w:p>
        </w:tc>
        <w:tc>
          <w:tcPr>
            <w:tcBorders>
              <w:top w:val="single" w:sz="16" w:space="0" w:color="D3D3D3"/>
              <w:end w:val="single" w:space="0" w:color="D3D3D3"/>
            </w:tcBorders>
          </w:tcPr>
          <w:p>
            <w:pPr>
              <w:spacing w:before="0" w:after="60"/>
              <w:keepNext/>
            </w:pPr>
            <w:r>
              <w:rPr>
                <w:rFonts w:ascii="Calibri" w:hAnsi="Calibri"/>
                <w:sz w:val="20"/>
              </w:rPr>
              <w:t xml:space="defaul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practice</w:t>
            </w:r>
          </w:p>
        </w:tc>
        <w:tc>
          <w:tcPr>
            <w:tcBorders>
              <w:bottom w:val="single" w:sz="16" w:space="0" w:color="D3D3D3"/>
            </w:tcBorders>
          </w:tcPr>
          <w:p>
            <w:pPr>
              <w:spacing w:before="0" w:after="60"/>
              <w:keepNext/>
              <w:jc w:val="start"/>
            </w:pPr>
            <w:r>
              <w:rPr>
                <w:rFonts w:ascii="Calibri" w:hAnsi="Calibri"/>
                <w:sz w:val="20"/>
              </w:rPr>
              <w:t xml:space="default">from</w:t>
            </w:r>
          </w:p>
        </w:tc>
        <w:tc>
          <w:tcPr>
            <w:tcBorders>
              <w:bottom w:val="single" w:sz="16" w:space="0" w:color="D3D3D3"/>
            </w:tcBorders>
          </w:tcPr>
          <w:p>
            <w:pPr>
              <w:spacing w:before="0" w:after="60"/>
              <w:keepNext/>
              <w:jc w:val="start"/>
            </w:pPr>
            <w:r>
              <w:rPr>
                <w:rFonts w:ascii="Calibri" w:hAnsi="Calibri"/>
                <w:sz w:val="20"/>
              </w:rPr>
              <w:t xml:space="default">to</w:t>
            </w:r>
          </w:p>
        </w:tc>
        <w:tc>
          <w:tcPr>
            <w:tcBorders>
              <w:bottom w:val="single" w:sz="16" w:space="0" w:color="D3D3D3"/>
            </w:tcBorders>
          </w:tcPr>
          <w:p>
            <w:pPr>
              <w:spacing w:before="0" w:after="60"/>
              <w:keepNext/>
              <w:jc w:val="start"/>
            </w:pPr>
            <w:r>
              <w:rPr>
                <w:rFonts w:ascii="Calibri" w:hAnsi="Calibri"/>
                <w:sz w:val="20"/>
              </w:rPr>
              <w:t xml:space="default">from</w:t>
            </w:r>
          </w:p>
        </w:tc>
        <w:tc>
          <w:tcPr>
            <w:tcBorders>
              <w:bottom w:val="single" w:sz="16" w:space="0" w:color="D3D3D3"/>
            </w:tcBorders>
          </w:tcPr>
          <w:p>
            <w:pPr>
              <w:spacing w:before="0" w:after="60"/>
              <w:keepNext/>
              <w:jc w:val="start"/>
            </w:pPr>
            <w:r>
              <w:rPr>
                <w:rFonts w:ascii="Calibri" w:hAnsi="Calibri"/>
                <w:sz w:val="20"/>
              </w:rPr>
              <w:t xml:space="default">to</w:t>
            </w:r>
          </w:p>
        </w:tc>
        <w:tc>
          <w:tcPr>
            <w:tcBorders>
              <w:bottom w:val="single" w:sz="16" w:space="0" w:color="D3D3D3"/>
            </w:tcBorders>
          </w:tcPr>
          <w:p>
            <w:pPr>
              <w:spacing w:before="0" w:after="60"/>
              <w:keepNext/>
              <w:jc w:val="start"/>
            </w:pPr>
            <w:r>
              <w:rPr>
                <w:rFonts w:ascii="Calibri" w:hAnsi="Calibri"/>
                <w:sz w:val="20"/>
              </w:rPr>
              <w:t xml:space="default">from</w:t>
            </w:r>
          </w:p>
        </w:tc>
        <w:tc>
          <w:tcPr>
            <w:tcBorders>
              <w:bottom w:val="single" w:sz="16" w:space="0" w:color="D3D3D3"/>
            </w:tcBorders>
          </w:tcPr>
          <w:p>
            <w:pPr>
              <w:spacing w:before="0" w:after="60"/>
              <w:keepNext/>
              <w:jc w:val="start"/>
            </w:pPr>
            <w:r>
              <w:rPr>
                <w:rFonts w:ascii="Calibri" w:hAnsi="Calibri"/>
                <w:sz w:val="20"/>
              </w:rPr>
              <w:t xml:space="default">to</w:t>
            </w:r>
          </w:p>
        </w:tc>
        <w:tc>
          <w:tcPr>
            <w:tcBorders>
              <w:bottom w:val="single" w:sz="16" w:space="0" w:color="D3D3D3"/>
            </w:tcBorders>
          </w:tcPr>
          <w:p>
            <w:pPr>
              <w:spacing w:before="0" w:after="60"/>
              <w:keepNext/>
              <w:jc w:val="start"/>
            </w:pPr>
            <w:r>
              <w:rPr>
                <w:rFonts w:ascii="Calibri" w:hAnsi="Calibri"/>
                <w:sz w:val="20"/>
              </w:rPr>
              <w:t xml:space="default">from</w:t>
            </w:r>
          </w:p>
        </w:tc>
        <w:tc>
          <w:tcPr>
            <w:tcBorders>
              <w:bottom w:val="single" w:sz="16" w:space="0" w:color="D3D3D3"/>
            </w:tcBorders>
          </w:tcPr>
          <w:p>
            <w:pPr>
              <w:spacing w:before="0" w:after="60"/>
              <w:keepNext/>
              <w:jc w:val="start"/>
            </w:pPr>
            <w:r>
              <w:rPr>
                <w:rFonts w:ascii="Calibri" w:hAnsi="Calibri"/>
                <w:sz w:val="20"/>
              </w:rPr>
              <w:t xml:space="default">to</w:t>
            </w:r>
          </w:p>
        </w:tc>
        <w:tc>
          <w:tcPr>
            <w:tcBorders>
              <w:bottom w:val="single" w:sz="16" w:space="0" w:color="D3D3D3"/>
              <w:end w:val="single" w:space="0" w:color="D3D3D3"/>
            </w:tcBorders>
          </w:tcPr>
          <w:p>
            <w:pPr>
              <w:spacing w:before="0" w:after="60"/>
              <w:keepNext/>
              <w:jc w:val="end"/>
            </w:pPr>
            <w:r>
              <w:rPr>
                <w:rFonts w:ascii="Calibri" w:hAnsi="Calibri"/>
                <w:sz w:val="20"/>
              </w:rPr>
              <w:t xml:space="default">Date of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C81077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GREATER MANCHESTER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TAMESIDE AND GLOSSOP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C81081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GREATER MANCHESTER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TAMESIDE AND GLOSSOP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C81106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GREATER MANCHESTER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TAMESIDE AND GLOSSOP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C81615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GREATER MANCHESTER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TAMESIDE AND GLOSSOP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C81640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 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GREATER MANCHESTER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TAMESIDE AND GLOSSOP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DERBY AND DERBYSHIRE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K83023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 of England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Midlands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CAMBRIDGESHIRE AND PETERBOROUGH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NORTHAMPTONSHIRE INTEGRATED CARE BOARD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CAMBRIDGESHIRE AND PETERBOROUGH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NHS NORTHAMPTONSHIRE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78H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2022-06-01</w:t>
            </w:r>
          </w:p>
        </w:tc>
      </w:tr>
    </w:tbl>
    <w:p>
      <w:pPr>
        <w:pStyle w:val="BodyText"/>
      </w:pPr>
      <w:r>
        <w:t xml:space="preserve">In order to investigate if the practices change list size when they move region I plotted the list size by month.</w:t>
      </w:r>
    </w:p>
    <w:p>
      <w:pPr>
        <w:pStyle w:val="BodyText"/>
      </w:pPr>
      <w:r>
        <w:drawing>
          <wp:inline>
            <wp:extent cx="4620126" cy="3696101"/>
            <wp:effectExtent b="0" l="0" r="0" t="0"/>
            <wp:docPr descr="" title="" id="35" name="Picture"/>
            <a:graphic>
              <a:graphicData uri="http://schemas.openxmlformats.org/drawingml/2006/picture">
                <pic:pic>
                  <pic:nvPicPr>
                    <pic:cNvPr descr="data_check_files/figure-docx/figure-practice-region-change-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38" name="Picture"/>
            <a:graphic>
              <a:graphicData uri="http://schemas.openxmlformats.org/drawingml/2006/picture">
                <pic:pic>
                  <pic:nvPicPr>
                    <pic:cNvPr descr="data_check_files/figure-docx/figure-practice-region-change-2.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1" name="Picture"/>
            <a:graphic>
              <a:graphicData uri="http://schemas.openxmlformats.org/drawingml/2006/picture">
                <pic:pic>
                  <pic:nvPicPr>
                    <pic:cNvPr descr="data_check_files/figure-docx/figure-practice-region-change-3.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4" name="Picture"/>
            <a:graphic>
              <a:graphicData uri="http://schemas.openxmlformats.org/drawingml/2006/picture">
                <pic:pic>
                  <pic:nvPicPr>
                    <pic:cNvPr descr="data_check_files/figure-docx/figure-practice-region-change-4.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47" name="Picture"/>
            <a:graphic>
              <a:graphicData uri="http://schemas.openxmlformats.org/drawingml/2006/picture">
                <pic:pic>
                  <pic:nvPicPr>
                    <pic:cNvPr descr="data_check_files/figure-docx/figure-practice-region-change-5.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50" name="Picture"/>
            <a:graphic>
              <a:graphicData uri="http://schemas.openxmlformats.org/drawingml/2006/picture">
                <pic:pic>
                  <pic:nvPicPr>
                    <pic:cNvPr descr="data_check_files/figure-docx/figure-practice-region-change-6.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Although the practices all had large changes in list size after the change in region this could be seen as a continuation of the pattern seen before the practice change.</w:t>
      </w:r>
    </w:p>
    <w:bookmarkEnd w:id="52"/>
    <w:bookmarkStart w:id="65" w:name="missing-list-sizes"/>
    <w:p>
      <w:pPr>
        <w:pStyle w:val="Heading2"/>
      </w:pPr>
      <w:r>
        <w:t xml:space="preserve">2.1 Missing list sizes</w:t>
      </w:r>
    </w:p>
    <w:p>
      <w:pPr>
        <w:pStyle w:val="FirstParagraph"/>
      </w:pPr>
      <w:r>
        <w:t xml:space="preserve">25,482 out of 338,179,583 (7.5350498</w:t>
      </w:r>
      <w:r>
        <w:t xml:space="preserve">^{-5}%) items were prescribed from a practice with no associated list size. There were 399 practices with prescriptions without an associated list size.</w:t>
      </w:r>
    </w:p>
    <w:p>
      <w:pPr>
        <w:pStyle w:val="BodyText"/>
      </w:pPr>
      <w:r>
        <w:drawing>
          <wp:inline>
            <wp:extent cx="5334000" cy="2667000"/>
            <wp:effectExtent b="0" l="0" r="0" t="0"/>
            <wp:docPr descr="" title="" id="54" name="Picture"/>
            <a:graphic>
              <a:graphicData uri="http://schemas.openxmlformats.org/drawingml/2006/picture">
                <pic:pic>
                  <pic:nvPicPr>
                    <pic:cNvPr descr="data_check_files/figure-docx/figure-missing-list-sizes-1.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3333750"/>
            <wp:effectExtent b="0" l="0" r="0" t="0"/>
            <wp:docPr descr="" title="" id="57" name="Picture"/>
            <a:graphic>
              <a:graphicData uri="http://schemas.openxmlformats.org/drawingml/2006/picture">
                <pic:pic>
                  <pic:nvPicPr>
                    <pic:cNvPr descr="data_check_files/figure-docx/figure-missing-list-sizes-individuals-1.png" id="58" name="Picture"/>
                    <pic:cNvPicPr>
                      <a:picLocks noChangeArrowheads="1" noChangeAspect="1"/>
                    </pic:cNvPicPr>
                  </pic:nvPicPr>
                  <pic:blipFill>
                    <a:blip r:embed="rId5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drawing>
          <wp:inline>
            <wp:extent cx="5334000" cy="3333750"/>
            <wp:effectExtent b="0" l="0" r="0" t="0"/>
            <wp:docPr descr="" title="" id="60" name="Picture"/>
            <a:graphic>
              <a:graphicData uri="http://schemas.openxmlformats.org/drawingml/2006/picture">
                <pic:pic>
                  <pic:nvPicPr>
                    <pic:cNvPr descr="data_check_files/figure-docx/figure-missing-list-sizes-individuals-2.png" id="61" name="Picture"/>
                    <pic:cNvPicPr>
                      <a:picLocks noChangeArrowheads="1" noChangeAspect="1"/>
                    </pic:cNvPicPr>
                  </pic:nvPicPr>
                  <pic:blipFill>
                    <a:blip r:embed="rId5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drawing>
          <wp:inline>
            <wp:extent cx="5334000" cy="3333750"/>
            <wp:effectExtent b="0" l="0" r="0" t="0"/>
            <wp:docPr descr="" title="" id="63" name="Picture"/>
            <a:graphic>
              <a:graphicData uri="http://schemas.openxmlformats.org/drawingml/2006/picture">
                <pic:pic>
                  <pic:nvPicPr>
                    <pic:cNvPr descr="data_check_files/figure-docx/figure-missing-list-sizes-individuals-3.png" id="64" name="Picture"/>
                    <pic:cNvPicPr>
                      <a:picLocks noChangeArrowheads="1" noChangeAspect="1"/>
                    </pic:cNvPicPr>
                  </pic:nvPicPr>
                  <pic:blipFill>
                    <a:blip r:embed="rId62"/>
                    <a:stretch>
                      <a:fillRect/>
                    </a:stretch>
                  </pic:blipFill>
                  <pic:spPr bwMode="auto">
                    <a:xfrm>
                      <a:off x="0" y="0"/>
                      <a:ext cx="5334000" cy="3333750"/>
                    </a:xfrm>
                    <a:prstGeom prst="rect">
                      <a:avLst/>
                    </a:prstGeom>
                    <a:noFill/>
                    <a:ln w="9525">
                      <a:noFill/>
                      <a:headEnd/>
                      <a:tailEnd/>
                    </a:ln>
                  </pic:spPr>
                </pic:pic>
              </a:graphicData>
            </a:graphic>
          </wp:inline>
        </w:drawing>
      </w:r>
    </w:p>
    <w:bookmarkEnd w:id="65"/>
    <w:bookmarkEnd w:id="66"/>
    <w:bookmarkStart w:id="151" w:name="opening-practices"/>
    <w:p>
      <w:pPr>
        <w:pStyle w:val="Heading1"/>
      </w:pPr>
      <w:r>
        <w:t xml:space="preserve">3. </w:t>
      </w:r>
      <w:r>
        <w:t xml:space="preserve">“Opening”</w:t>
      </w:r>
      <w:r>
        <w:t xml:space="preserve"> </w:t>
      </w:r>
      <w:r>
        <w:t xml:space="preserve">practices</w:t>
      </w:r>
    </w:p>
    <w:p>
      <w:pPr>
        <w:pStyle w:val="FirstParagraph"/>
      </w:pPr>
      <w:r>
        <w:t xml:space="preserve">I defined opening practices as practices with no atorvastatin prescribing at the start of the study period. There were 28 practices that opened during the study period. In order to investigate if there is any pattern to opening practices I plotted their list size per month.</w:t>
      </w:r>
    </w:p>
    <w:p>
      <w:pPr>
        <w:pStyle w:val="BodyText"/>
      </w:pPr>
      <w:r>
        <w:drawing>
          <wp:inline>
            <wp:extent cx="5334000" cy="1777999"/>
            <wp:effectExtent b="0" l="0" r="0" t="0"/>
            <wp:docPr descr="" title="" id="68" name="Picture"/>
            <a:graphic>
              <a:graphicData uri="http://schemas.openxmlformats.org/drawingml/2006/picture">
                <pic:pic>
                  <pic:nvPicPr>
                    <pic:cNvPr descr="data_check_files/figure-docx/plot-miss-start-1.png" id="69" name="Picture"/>
                    <pic:cNvPicPr>
                      <a:picLocks noChangeArrowheads="1" noChangeAspect="1"/>
                    </pic:cNvPicPr>
                  </pic:nvPicPr>
                  <pic:blipFill>
                    <a:blip r:embed="rId67"/>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71" name="Picture"/>
            <a:graphic>
              <a:graphicData uri="http://schemas.openxmlformats.org/drawingml/2006/picture">
                <pic:pic>
                  <pic:nvPicPr>
                    <pic:cNvPr descr="data_check_files/figure-docx/plot-miss-start-2.png" id="72" name="Picture"/>
                    <pic:cNvPicPr>
                      <a:picLocks noChangeArrowheads="1" noChangeAspect="1"/>
                    </pic:cNvPicPr>
                  </pic:nvPicPr>
                  <pic:blipFill>
                    <a:blip r:embed="rId70"/>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74" name="Picture"/>
            <a:graphic>
              <a:graphicData uri="http://schemas.openxmlformats.org/drawingml/2006/picture">
                <pic:pic>
                  <pic:nvPicPr>
                    <pic:cNvPr descr="data_check_files/figure-docx/plot-miss-start-3.png" id="75" name="Picture"/>
                    <pic:cNvPicPr>
                      <a:picLocks noChangeArrowheads="1" noChangeAspect="1"/>
                    </pic:cNvPicPr>
                  </pic:nvPicPr>
                  <pic:blipFill>
                    <a:blip r:embed="rId7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77" name="Picture"/>
            <a:graphic>
              <a:graphicData uri="http://schemas.openxmlformats.org/drawingml/2006/picture">
                <pic:pic>
                  <pic:nvPicPr>
                    <pic:cNvPr descr="data_check_files/figure-docx/plot-miss-start-4.png" id="78" name="Picture"/>
                    <pic:cNvPicPr>
                      <a:picLocks noChangeArrowheads="1" noChangeAspect="1"/>
                    </pic:cNvPicPr>
                  </pic:nvPicPr>
                  <pic:blipFill>
                    <a:blip r:embed="rId76"/>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80" name="Picture"/>
            <a:graphic>
              <a:graphicData uri="http://schemas.openxmlformats.org/drawingml/2006/picture">
                <pic:pic>
                  <pic:nvPicPr>
                    <pic:cNvPr descr="data_check_files/figure-docx/plot-miss-start-5.png" id="81" name="Picture"/>
                    <pic:cNvPicPr>
                      <a:picLocks noChangeArrowheads="1" noChangeAspect="1"/>
                    </pic:cNvPicPr>
                  </pic:nvPicPr>
                  <pic:blipFill>
                    <a:blip r:embed="rId79"/>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83" name="Picture"/>
            <a:graphic>
              <a:graphicData uri="http://schemas.openxmlformats.org/drawingml/2006/picture">
                <pic:pic>
                  <pic:nvPicPr>
                    <pic:cNvPr descr="data_check_files/figure-docx/plot-miss-start-6.png" id="84" name="Picture"/>
                    <pic:cNvPicPr>
                      <a:picLocks noChangeArrowheads="1" noChangeAspect="1"/>
                    </pic:cNvPicPr>
                  </pic:nvPicPr>
                  <pic:blipFill>
                    <a:blip r:embed="rId82"/>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86" name="Picture"/>
            <a:graphic>
              <a:graphicData uri="http://schemas.openxmlformats.org/drawingml/2006/picture">
                <pic:pic>
                  <pic:nvPicPr>
                    <pic:cNvPr descr="data_check_files/figure-docx/plot-miss-start-7.png" id="87" name="Picture"/>
                    <pic:cNvPicPr>
                      <a:picLocks noChangeArrowheads="1" noChangeAspect="1"/>
                    </pic:cNvPicPr>
                  </pic:nvPicPr>
                  <pic:blipFill>
                    <a:blip r:embed="rId85"/>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89" name="Picture"/>
            <a:graphic>
              <a:graphicData uri="http://schemas.openxmlformats.org/drawingml/2006/picture">
                <pic:pic>
                  <pic:nvPicPr>
                    <pic:cNvPr descr="data_check_files/figure-docx/plot-miss-start-8.png" id="90" name="Picture"/>
                    <pic:cNvPicPr>
                      <a:picLocks noChangeArrowheads="1" noChangeAspect="1"/>
                    </pic:cNvPicPr>
                  </pic:nvPicPr>
                  <pic:blipFill>
                    <a:blip r:embed="rId8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92" name="Picture"/>
            <a:graphic>
              <a:graphicData uri="http://schemas.openxmlformats.org/drawingml/2006/picture">
                <pic:pic>
                  <pic:nvPicPr>
                    <pic:cNvPr descr="data_check_files/figure-docx/plot-miss-start-9.png" id="93" name="Picture"/>
                    <pic:cNvPicPr>
                      <a:picLocks noChangeArrowheads="1" noChangeAspect="1"/>
                    </pic:cNvPicPr>
                  </pic:nvPicPr>
                  <pic:blipFill>
                    <a:blip r:embed="rId91"/>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95" name="Picture"/>
            <a:graphic>
              <a:graphicData uri="http://schemas.openxmlformats.org/drawingml/2006/picture">
                <pic:pic>
                  <pic:nvPicPr>
                    <pic:cNvPr descr="data_check_files/figure-docx/plot-miss-start-10.png" id="96" name="Picture"/>
                    <pic:cNvPicPr>
                      <a:picLocks noChangeArrowheads="1" noChangeAspect="1"/>
                    </pic:cNvPicPr>
                  </pic:nvPicPr>
                  <pic:blipFill>
                    <a:blip r:embed="rId94"/>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98" name="Picture"/>
            <a:graphic>
              <a:graphicData uri="http://schemas.openxmlformats.org/drawingml/2006/picture">
                <pic:pic>
                  <pic:nvPicPr>
                    <pic:cNvPr descr="data_check_files/figure-docx/plot-miss-start-11.png" id="99" name="Picture"/>
                    <pic:cNvPicPr>
                      <a:picLocks noChangeArrowheads="1" noChangeAspect="1"/>
                    </pic:cNvPicPr>
                  </pic:nvPicPr>
                  <pic:blipFill>
                    <a:blip r:embed="rId97"/>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01" name="Picture"/>
            <a:graphic>
              <a:graphicData uri="http://schemas.openxmlformats.org/drawingml/2006/picture">
                <pic:pic>
                  <pic:nvPicPr>
                    <pic:cNvPr descr="data_check_files/figure-docx/plot-miss-start-12.png" id="102" name="Picture"/>
                    <pic:cNvPicPr>
                      <a:picLocks noChangeArrowheads="1" noChangeAspect="1"/>
                    </pic:cNvPicPr>
                  </pic:nvPicPr>
                  <pic:blipFill>
                    <a:blip r:embed="rId100"/>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04" name="Picture"/>
            <a:graphic>
              <a:graphicData uri="http://schemas.openxmlformats.org/drawingml/2006/picture">
                <pic:pic>
                  <pic:nvPicPr>
                    <pic:cNvPr descr="data_check_files/figure-docx/plot-miss-start-13.png" id="105" name="Picture"/>
                    <pic:cNvPicPr>
                      <a:picLocks noChangeArrowheads="1" noChangeAspect="1"/>
                    </pic:cNvPicPr>
                  </pic:nvPicPr>
                  <pic:blipFill>
                    <a:blip r:embed="rId10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07" name="Picture"/>
            <a:graphic>
              <a:graphicData uri="http://schemas.openxmlformats.org/drawingml/2006/picture">
                <pic:pic>
                  <pic:nvPicPr>
                    <pic:cNvPr descr="data_check_files/figure-docx/plot-miss-start-14.png" id="108" name="Picture"/>
                    <pic:cNvPicPr>
                      <a:picLocks noChangeArrowheads="1" noChangeAspect="1"/>
                    </pic:cNvPicPr>
                  </pic:nvPicPr>
                  <pic:blipFill>
                    <a:blip r:embed="rId106"/>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10" name="Picture"/>
            <a:graphic>
              <a:graphicData uri="http://schemas.openxmlformats.org/drawingml/2006/picture">
                <pic:pic>
                  <pic:nvPicPr>
                    <pic:cNvPr descr="data_check_files/figure-docx/plot-miss-start-15.png" id="111" name="Picture"/>
                    <pic:cNvPicPr>
                      <a:picLocks noChangeArrowheads="1" noChangeAspect="1"/>
                    </pic:cNvPicPr>
                  </pic:nvPicPr>
                  <pic:blipFill>
                    <a:blip r:embed="rId109"/>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13" name="Picture"/>
            <a:graphic>
              <a:graphicData uri="http://schemas.openxmlformats.org/drawingml/2006/picture">
                <pic:pic>
                  <pic:nvPicPr>
                    <pic:cNvPr descr="data_check_files/figure-docx/plot-miss-start-16.png" id="114" name="Picture"/>
                    <pic:cNvPicPr>
                      <a:picLocks noChangeArrowheads="1" noChangeAspect="1"/>
                    </pic:cNvPicPr>
                  </pic:nvPicPr>
                  <pic:blipFill>
                    <a:blip r:embed="rId112"/>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16" name="Picture"/>
            <a:graphic>
              <a:graphicData uri="http://schemas.openxmlformats.org/drawingml/2006/picture">
                <pic:pic>
                  <pic:nvPicPr>
                    <pic:cNvPr descr="data_check_files/figure-docx/plot-miss-start-17.png" id="117" name="Picture"/>
                    <pic:cNvPicPr>
                      <a:picLocks noChangeArrowheads="1" noChangeAspect="1"/>
                    </pic:cNvPicPr>
                  </pic:nvPicPr>
                  <pic:blipFill>
                    <a:blip r:embed="rId115"/>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19" name="Picture"/>
            <a:graphic>
              <a:graphicData uri="http://schemas.openxmlformats.org/drawingml/2006/picture">
                <pic:pic>
                  <pic:nvPicPr>
                    <pic:cNvPr descr="data_check_files/figure-docx/plot-miss-start-18.png" id="120" name="Picture"/>
                    <pic:cNvPicPr>
                      <a:picLocks noChangeArrowheads="1" noChangeAspect="1"/>
                    </pic:cNvPicPr>
                  </pic:nvPicPr>
                  <pic:blipFill>
                    <a:blip r:embed="rId11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22" name="Picture"/>
            <a:graphic>
              <a:graphicData uri="http://schemas.openxmlformats.org/drawingml/2006/picture">
                <pic:pic>
                  <pic:nvPicPr>
                    <pic:cNvPr descr="data_check_files/figure-docx/plot-miss-start-19.png" id="123" name="Picture"/>
                    <pic:cNvPicPr>
                      <a:picLocks noChangeArrowheads="1" noChangeAspect="1"/>
                    </pic:cNvPicPr>
                  </pic:nvPicPr>
                  <pic:blipFill>
                    <a:blip r:embed="rId121"/>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25" name="Picture"/>
            <a:graphic>
              <a:graphicData uri="http://schemas.openxmlformats.org/drawingml/2006/picture">
                <pic:pic>
                  <pic:nvPicPr>
                    <pic:cNvPr descr="data_check_files/figure-docx/plot-miss-start-20.png" id="126" name="Picture"/>
                    <pic:cNvPicPr>
                      <a:picLocks noChangeArrowheads="1" noChangeAspect="1"/>
                    </pic:cNvPicPr>
                  </pic:nvPicPr>
                  <pic:blipFill>
                    <a:blip r:embed="rId124"/>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28" name="Picture"/>
            <a:graphic>
              <a:graphicData uri="http://schemas.openxmlformats.org/drawingml/2006/picture">
                <pic:pic>
                  <pic:nvPicPr>
                    <pic:cNvPr descr="data_check_files/figure-docx/plot-miss-start-21.png" id="129" name="Picture"/>
                    <pic:cNvPicPr>
                      <a:picLocks noChangeArrowheads="1" noChangeAspect="1"/>
                    </pic:cNvPicPr>
                  </pic:nvPicPr>
                  <pic:blipFill>
                    <a:blip r:embed="rId127"/>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31" name="Picture"/>
            <a:graphic>
              <a:graphicData uri="http://schemas.openxmlformats.org/drawingml/2006/picture">
                <pic:pic>
                  <pic:nvPicPr>
                    <pic:cNvPr descr="data_check_files/figure-docx/plot-miss-start-22.png" id="132" name="Picture"/>
                    <pic:cNvPicPr>
                      <a:picLocks noChangeArrowheads="1" noChangeAspect="1"/>
                    </pic:cNvPicPr>
                  </pic:nvPicPr>
                  <pic:blipFill>
                    <a:blip r:embed="rId130"/>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34" name="Picture"/>
            <a:graphic>
              <a:graphicData uri="http://schemas.openxmlformats.org/drawingml/2006/picture">
                <pic:pic>
                  <pic:nvPicPr>
                    <pic:cNvPr descr="data_check_files/figure-docx/plot-miss-start-23.png" id="135" name="Picture"/>
                    <pic:cNvPicPr>
                      <a:picLocks noChangeArrowheads="1" noChangeAspect="1"/>
                    </pic:cNvPicPr>
                  </pic:nvPicPr>
                  <pic:blipFill>
                    <a:blip r:embed="rId13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37" name="Picture"/>
            <a:graphic>
              <a:graphicData uri="http://schemas.openxmlformats.org/drawingml/2006/picture">
                <pic:pic>
                  <pic:nvPicPr>
                    <pic:cNvPr descr="data_check_files/figure-docx/plot-miss-start-24.png" id="138" name="Picture"/>
                    <pic:cNvPicPr>
                      <a:picLocks noChangeArrowheads="1" noChangeAspect="1"/>
                    </pic:cNvPicPr>
                  </pic:nvPicPr>
                  <pic:blipFill>
                    <a:blip r:embed="rId136"/>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40" name="Picture"/>
            <a:graphic>
              <a:graphicData uri="http://schemas.openxmlformats.org/drawingml/2006/picture">
                <pic:pic>
                  <pic:nvPicPr>
                    <pic:cNvPr descr="data_check_files/figure-docx/plot-miss-start-25.png" id="141" name="Picture"/>
                    <pic:cNvPicPr>
                      <a:picLocks noChangeArrowheads="1" noChangeAspect="1"/>
                    </pic:cNvPicPr>
                  </pic:nvPicPr>
                  <pic:blipFill>
                    <a:blip r:embed="rId139"/>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43" name="Picture"/>
            <a:graphic>
              <a:graphicData uri="http://schemas.openxmlformats.org/drawingml/2006/picture">
                <pic:pic>
                  <pic:nvPicPr>
                    <pic:cNvPr descr="data_check_files/figure-docx/plot-miss-start-26.png" id="144" name="Picture"/>
                    <pic:cNvPicPr>
                      <a:picLocks noChangeArrowheads="1" noChangeAspect="1"/>
                    </pic:cNvPicPr>
                  </pic:nvPicPr>
                  <pic:blipFill>
                    <a:blip r:embed="rId142"/>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46" name="Picture"/>
            <a:graphic>
              <a:graphicData uri="http://schemas.openxmlformats.org/drawingml/2006/picture">
                <pic:pic>
                  <pic:nvPicPr>
                    <pic:cNvPr descr="data_check_files/figure-docx/plot-miss-start-27.png" id="147" name="Picture"/>
                    <pic:cNvPicPr>
                      <a:picLocks noChangeArrowheads="1" noChangeAspect="1"/>
                    </pic:cNvPicPr>
                  </pic:nvPicPr>
                  <pic:blipFill>
                    <a:blip r:embed="rId145"/>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drawing>
          <wp:inline>
            <wp:extent cx="5334000" cy="1777999"/>
            <wp:effectExtent b="0" l="0" r="0" t="0"/>
            <wp:docPr descr="" title="" id="149" name="Picture"/>
            <a:graphic>
              <a:graphicData uri="http://schemas.openxmlformats.org/drawingml/2006/picture">
                <pic:pic>
                  <pic:nvPicPr>
                    <pic:cNvPr descr="data_check_files/figure-docx/plot-miss-start-28.png" id="150" name="Picture"/>
                    <pic:cNvPicPr>
                      <a:picLocks noChangeArrowheads="1" noChangeAspect="1"/>
                    </pic:cNvPicPr>
                  </pic:nvPicPr>
                  <pic:blipFill>
                    <a:blip r:embed="rId148"/>
                    <a:stretch>
                      <a:fillRect/>
                    </a:stretch>
                  </pic:blipFill>
                  <pic:spPr bwMode="auto">
                    <a:xfrm>
                      <a:off x="0" y="0"/>
                      <a:ext cx="5334000" cy="1777999"/>
                    </a:xfrm>
                    <a:prstGeom prst="rect">
                      <a:avLst/>
                    </a:prstGeom>
                    <a:noFill/>
                    <a:ln w="9525">
                      <a:noFill/>
                      <a:headEnd/>
                      <a:tailEnd/>
                    </a:ln>
                  </pic:spPr>
                </pic:pic>
              </a:graphicData>
            </a:graphic>
          </wp:inline>
        </w:drawing>
      </w:r>
    </w:p>
    <w:bookmarkEnd w:id="151"/>
    <w:bookmarkStart w:id="152" w:name="closing-practices"/>
    <w:p>
      <w:pPr>
        <w:pStyle w:val="Heading1"/>
      </w:pPr>
      <w:r>
        <w:t xml:space="preserve">4. </w:t>
      </w:r>
      <w:r>
        <w:t xml:space="preserve">“Closing”</w:t>
      </w:r>
      <w:r>
        <w:t xml:space="preserve"> </w:t>
      </w:r>
      <w:r>
        <w:t xml:space="preserve">practices</w:t>
      </w:r>
    </w:p>
    <w:p>
      <w:pPr>
        <w:pStyle w:val="FirstParagraph"/>
      </w:pPr>
      <w:r>
        <w:t xml:space="preserve">Similarly, I defined closing practices as practices with no atorvastatin prescribing at the end of the study period. There were 600 practices that opened during the study period. In order to investigate if there is any pattern to closing practices I plotted their list size per month. I have included a selection of these plots which are indicative of 4 differnet patterns.</w:t>
      </w:r>
    </w:p>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67" Target="media/rId6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70" Target="media/rId70.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hyperlink" Id="rId21" Target="https://github.com/andrewscolm/op_indicator_saturation/blob/master/data" TargetMode="External" /><Relationship Type="http://schemas.openxmlformats.org/officeDocument/2006/relationships/hyperlink" Id="rId20" Target="www.openprescibing.net"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andrewscolm/op_indicator_saturation/blob/master/data" TargetMode="External" /><Relationship Type="http://schemas.openxmlformats.org/officeDocument/2006/relationships/hyperlink" Id="rId20" Target="www.openprescibing.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Prescribing Data Checks: Atorvastatin</dc:title>
  <dc:creator/>
  <cp:keywords/>
  <dcterms:created xsi:type="dcterms:W3CDTF">2025-10-23T11:16:05Z</dcterms:created>
  <dcterms:modified xsi:type="dcterms:W3CDTF">2025-10-23T11:16:05Z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