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Réaliser une analyse en différence de différences (DiD) pour évaluer l'impact ca...</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L'évaluation rigoureuse des politiques éducatives est cruciale pour optimiser le capital humain et éclairer les décisions publiques. Cette étude examine l'impact causal d'une réforme éducative régionale sur les scores aux tests standardisés et le taux d'emploi des jeunes. Utilisant une approche de différence de différences avec des effets fixes, la recherche isole l'effet de la réforme en contrôlant les facteurs confondants et en vérifiant l'hypothèse de tendances parallèles. Les résultats indiquent un effet positif significatif, bien que modéré et hétérogène, sur les scores aux tests, variant selon les contextes locaux. L'impact sur l'emploi des jeunes est moins clair et statistiquement moins robuste, suggérant l'influence d'autres facteurs. La contribution principale réside dans l'analyse fine de l'hétérogénéité des effets et l'identification des facteurs contextuels modérateurs. Cette recherche souligne l'importance d'évaluations contextualisées pour comprendre pleinement l'efficacité des réformes éducatives.</w:t>
        <w:br/>
      </w:r>
    </w:p>
    <w:p>
      <w:pPr>
        <w:pStyle w:val="Heading1"/>
      </w:pPr>
      <w:r>
        <w:t>Introduction</w:t>
      </w:r>
    </w:p>
    <w:p>
      <w:r>
        <w:t>Cette analyse s'intéresse à réaliser une analyse en différence de différences (did) pour évaluer l'impact causal de la réforme éducative sur les scores aux tests standardisés et le taux d'emploi des jeunes. analyser comment cette réforme, mise en place au 8ème trimestre dans certaines régions, a influencé les résultats éducatifs. vérifier l'hypothèse de tendances parallèles avant l'intervention et contrôler pour les facteurs confondants comme le budget éducatif, le ratio élèves/enseignant, le taux de pauvreté et le niveau d'urbanisation. inclure des effets fixes par région et par période pour isoler l'effet causal. analyser également l'hétérogénéité des effets selon les pays et les politiques éducatives préexistantes..</w:t>
      </w:r>
    </w:p>
    <w:p>
      <w:r>
        <w:t>L'évaluation rigoureuse de l'impact des politiques éducatives représente un enjeu central pour les économistes et les décideurs publics. L'éducation, reconnue comme un pilier du développement socio-économique, façonne le capital humain, influe sur la productivité et conditionne la répartition des richesses. L'omniprésence de cette thématique dans le débat public souligne l'importance d'une analyse approfondie des réformes éducatives, non seulement pour comprendre leurs conséquences, mais aussi pour éclairer les choix futurs en matière de politique publique. Au-delà des considérations purement économiques, l'éducation touche à des valeurs fondamentales comme l'égalité des chances et la mobilité sociale, rendant son étude particulièrement délicate et nécessitant une méthodologie rigoureuse. Les enjeux sont considérables, car des politiques éducatives mal conçues peuvent avoir des effets pervers, creusant les inégalités et freinant le développement économique.</w:t>
        <w:br/>
        <w:br/>
        <w:t>Dans un contexte de mondialisation accrue et de progrès technologique rapide, l'adaptation des systèmes éducatifs est devenue une nécessité. La capacité d'un pays à former une main-d'œuvre qualifiée et adaptable est un facteur déterminant de sa compétitivité et de sa capacité à innover. Les réformes éducatives, qu'elles visent à améliorer les curricula, à moderniser les infrastructures, ou à revoir les méthodes pédagogiques, sont donc constamment mises en œuvre à travers le monde. Cependant, l'évaluation de leur efficacité est souvent compromise par la complexité des interactions entre les différents acteurs du système éducatif et par la difficulté à isoler l'effet causal de la réforme sur les résultats scolaires et le marché du travail. L'absence d'une évaluation rigoureuse peut conduire à la persistance de politiques inefficaces, voire contre-productives, gaspillant des ressources précieuses et compromettant les perspectives d'avenir des jeunes générations.</w:t>
        <w:br/>
        <w:br/>
        <w:t>La littérature économique a largement documenté l'importance de l'éducation pour la croissance économique et le développement individuel. Les travaux fondateurs de Becker (1964) et Schultz (1961) ont mis en évidence le rôle du capital humain, acquis notamment par l'éducation, comme facteur essentiel de la productivité et de la prospérité. Ces travaux ont conduit à une multitude d'études empiriques cherchant à quantifier l'impact des investissements éducatifs sur les salaires, l'emploi et la croissance économique. Cependant, l'estimation de l'effet causal de l'éducation se heurte à des problèmes d'endogénéité et de biais de sélection, comme l'a souligné Heckman (1979). En effet, les individus les plus éduqués sont souvent ceux qui ont des compétences innées plus élevées et qui bénéficient d'un environnement familial plus favorable, rendant difficile de distinguer l'effet propre de l'éducation des autres facteurs influençant leurs résultats.</w:t>
        <w:br/>
        <w:br/>
        <w:t>Face à ces défis méthodologiques, les économistes ont développé des techniques d'inférence causale plus sophistiquées, telles que les expériences naturelles et les méthodes de variables instrumentales. La méthode de différence de différences (DiD), en particulier, est devenue un outil privilégié pour évaluer l'impact des politiques éducatives. Cette méthode permet de comparer l'évolution des résultats des individus ou des régions touchées par la réforme (le groupe de traitement) avec celle des individus ou des régions non touchées (le groupe de contrôle), en tenant compte des différences préexistantes entre les groupes. L'hypothèse clé de la méthode DiD est que, en l'absence de la réforme, les deux groupes auraient suivi des tendances parallèles. Cependant, de nombreuses études ont souligné les limites de cette hypothèse et la nécessité de contrôler pour les facteurs confondants potentiels, tels que les caractéristiques socio-économiques des individus et les politiques publiques complémentaires. Par ailleurs, l'hétérogénéité des effets des politiques éducatives selon les contextes nationaux et les politiques préexistantes reste un domaine peu exploré, nécessitant des analyses plus fines et comparatives.</w:t>
        <w:br/>
        <w:br/>
        <w:t>Cette recherche vise à combler certaines de ces lacunes en évaluant l'impact causal d'une réforme éducative spécifique sur les scores aux tests standardisés et le taux d'emploi des jeunes, en utilisant la méthode de différence de différences. Plus précisément, nous cherchons à répondre à la question suivante : quelle est l'influence d'une réforme éducative, mise en place de manière différentielle selon les régions, sur les résultats scolaires et l'insertion professionnelle des jeunes, une fois pris en compte les facteurs confondants et les tendances préexistantes ? Pour répondre à cette question centrale, nous aborderons plusieurs sous-questions : (1) la réforme a-t-elle eu un impact significatif sur les scores aux tests standardisés, après contrôle pour les caractéristiques individuelles et régionales ? (2) la réforme a-t-elle amélioré le taux d'emploi des jeunes, et si oui, dans quelle mesure ? (3) l'impact de la réforme est-il homogène selon les régions et les politiques éducatives préexistantes ?</w:t>
        <w:br/>
        <w:br/>
        <w:t>Notre approche méthodologique s'appuie sur un modèle de différence de différences, enrichi par l'inclusion d'effets fixes par région et par période, afin d'isoler l'effet causal de la réforme. Nous vérifions rigoureusement l'hypothèse de tendances parallèles avant l'intervention et contrôlons pour une série de facteurs confondants, tels que le budget éducatif, le ratio élèves/enseignant, le taux de pauvreté et le niveau d'urbanisation. Les résultats empiriques indiquent que la réforme a eu un effet positif significatif sur les scores aux tests standardisés dans les régions concernées, mais que cet effet est modéré et qu'il varie considérablement selon les contextes locaux. En ce qui concerne l'emploi des jeunes, l'impact de la réforme est moins clair et statistiquement moins robuste, suggérant que d'autres facteurs, tels que les conditions du marché du travail, jouent un rôle prépondérant. La contribution spécifique de cette recherche réside dans son analyse fine de l'hétérogénéité des effets de la réforme et dans son identification des facteurs contextuels qui modèrent son impact.</w:t>
        <w:br/>
        <w:br/>
        <w:t>Le reste de ce rapport est structuré comme suit. La section suivante présente une description détaillée des données et de la méthodologie utilisée. La troisième section expose les principaux résultats empiriques, accompagnés de visualisations et d'analyses de sensibilité. La quatrième section discute les implications économiques de ces résultats et les compare aux conclusions d'autres études. Enfin, la cinquième section conclut en résumant les principales conclusions de la recherche et en suggérant des pistes pour de futures investigations.</w:t>
        <w:br/>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4833140"/>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4833140"/>
                    </a:xfrm>
                    <a:prstGeom prst="rect"/>
                  </pic:spPr>
                </pic:pic>
              </a:graphicData>
            </a:graphic>
          </wp:inline>
        </w:drawing>
      </w:r>
    </w:p>
    <w:p>
      <w:r>
        <w:rPr>
          <w:b/>
        </w:rPr>
        <w:t xml:space="preserve">Interprétation: </w:t>
      </w:r>
      <w:r>
        <w:t>Cette matrice de corrélation montre les relations entre les variables, incluant les contrôles et les résultats de la DiD. On observe une corrélation positive entre les scores aux tests standardisés et le taux d'emploi des jeunes, suggérant que l'amélioration des scores pourrait être associée à de meilleures perspectives d'emploi, ce qui est pertinent pour évaluer l'impact de la réforme. Le taux de pauvreté est négativement corrélé aux scores des tests.</w:t>
      </w:r>
    </w:p>
    <w:p>
      <w:pPr>
        <w:pStyle w:val="Heading2"/>
      </w:pPr>
      <w:r>
        <w:t>Figure 2</w:t>
      </w:r>
    </w:p>
    <w:p>
      <w:pPr>
        <w:jc w:val="center"/>
      </w:pPr>
      <w:r>
        <w:drawing>
          <wp:inline xmlns:a="http://schemas.openxmlformats.org/drawingml/2006/main" xmlns:pic="http://schemas.openxmlformats.org/drawingml/2006/picture">
            <wp:extent cx="5486400" cy="3641547"/>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3641547"/>
                    </a:xfrm>
                    <a:prstGeom prst="rect"/>
                  </pic:spPr>
                </pic:pic>
              </a:graphicData>
            </a:graphic>
          </wp:inline>
        </w:drawing>
      </w:r>
    </w:p>
    <w:p>
      <w:r>
        <w:rPr>
          <w:b/>
        </w:rPr>
        <w:t xml:space="preserve">Interprétation: </w:t>
      </w:r>
      <w:r>
        <w:t>Ces histogrammes montrent la distribution des variables clés nécessaires pour l'analyse DiD : scores aux tests, taux d'emploi des jeunes, budget de l'éducation et ratio élèves/enseignant. Ils permettent d'évaluer visuellement si les distributions de ces variables sont similaires entre les groupes de traitement et de contrôle avant la réforme, ce qui est crucial pour valider l'hypothèse de tendances parallèles. L'examen des distributions du budget et du ratio peut aider à identifier des facteurs confondants potentiels.</w:t>
      </w:r>
    </w:p>
    <w:p>
      <w:pPr>
        <w:pStyle w:val="Heading2"/>
      </w:pPr>
      <w:r>
        <w:t>Figure 3</w:t>
      </w:r>
    </w:p>
    <w:p>
      <w:pPr>
        <w:jc w:val="center"/>
      </w:pPr>
      <w:r>
        <w:drawing>
          <wp:inline xmlns:a="http://schemas.openxmlformats.org/drawingml/2006/main" xmlns:pic="http://schemas.openxmlformats.org/drawingml/2006/picture">
            <wp:extent cx="5486400" cy="3248306"/>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3248306"/>
                    </a:xfrm>
                    <a:prstGeom prst="rect"/>
                  </pic:spPr>
                </pic:pic>
              </a:graphicData>
            </a:graphic>
          </wp:inline>
        </w:drawing>
      </w:r>
    </w:p>
    <w:p>
      <w:r>
        <w:rPr>
          <w:b/>
        </w:rPr>
        <w:t xml:space="preserve">Interprétation: </w:t>
      </w:r>
      <w:r>
        <w:t>Cette visualisation montre la relation entre le budget de l'éducation et les scores aux tests. Elle suggère une faible ou inexistante corrélation positive entre le budget et les scores, ce qui indique que l'augmentation du budget seul n'explique pas entièrement l'amélioration des résultats éducatifs. Cela implique que d'autres facteurs confondants, que l'analyse DiD doit contrôler, pourraient jouer un rôle plus important.</w:t>
        <w:br/>
      </w:r>
    </w:p>
    <w:p>
      <w:pPr>
        <w:pStyle w:val="Heading2"/>
      </w:pPr>
      <w:r>
        <w:t>Figure 4</w:t>
      </w:r>
    </w:p>
    <w:p>
      <w:pPr>
        <w:jc w:val="center"/>
      </w:pPr>
      <w:r>
        <w:drawing>
          <wp:inline xmlns:a="http://schemas.openxmlformats.org/drawingml/2006/main" xmlns:pic="http://schemas.openxmlformats.org/drawingml/2006/picture">
            <wp:extent cx="5486400" cy="3162912"/>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3162912"/>
                    </a:xfrm>
                    <a:prstGeom prst="rect"/>
                  </pic:spPr>
                </pic:pic>
              </a:graphicData>
            </a:graphic>
          </wp:inline>
        </w:drawing>
      </w:r>
    </w:p>
    <w:p>
      <w:r>
        <w:rPr>
          <w:b/>
        </w:rPr>
        <w:t xml:space="preserve">Interprétation: </w:t>
      </w:r>
      <w:r>
        <w:t>Les lycées ont tendance à avoir des scores aux tests légèrement plus élevés que les autres types d'établissements. Cette visualisation permet de comparer les distributions des scores aux tests entre différents types d'établissements avant la réforme, ce qui est crucial pour vérifier l'hypothèse de tendances parallèles dans le cadre de l'analyse DiD.</w:t>
        <w:br/>
      </w:r>
    </w:p>
    <w:p>
      <w:pPr>
        <w:pStyle w:val="Heading2"/>
      </w:pPr>
      <w:r>
        <w:t>Figure 5</w:t>
      </w:r>
    </w:p>
    <w:p>
      <w:pPr>
        <w:jc w:val="center"/>
      </w:pPr>
      <w:r>
        <w:drawing>
          <wp:inline xmlns:a="http://schemas.openxmlformats.org/drawingml/2006/main" xmlns:pic="http://schemas.openxmlformats.org/drawingml/2006/picture">
            <wp:extent cx="5486400" cy="2699142"/>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2699142"/>
                    </a:xfrm>
                    <a:prstGeom prst="rect"/>
                  </pic:spPr>
                </pic:pic>
              </a:graphicData>
            </a:graphic>
          </wp:inline>
        </w:drawing>
      </w:r>
    </w:p>
    <w:p>
      <w:r>
        <w:rPr>
          <w:b/>
        </w:rPr>
        <w:t xml:space="preserve">Interprétation: </w:t>
      </w:r>
      <w:r>
        <w:t>Avant la réforme, les scores aux tests montrent des tendances similaires pour les groupes réformés et non réformés, bien que les scores soient initialement plus bas dans les régions réformées. Cette visualisation soutient l'hypothèse de tendances parallèles, une condition nécessaire pour l'analyse DiD visant à évaluer l'impact de la réforme sur les scores aux tests.</w:t>
      </w:r>
    </w:p>
    <w:p>
      <w:pPr>
        <w:pStyle w:val="Heading2"/>
      </w:pPr>
      <w:r>
        <w:t>Figure 6</w:t>
      </w:r>
    </w:p>
    <w:p>
      <w:pPr>
        <w:jc w:val="center"/>
      </w:pPr>
      <w:r>
        <w:drawing>
          <wp:inline xmlns:a="http://schemas.openxmlformats.org/drawingml/2006/main" xmlns:pic="http://schemas.openxmlformats.org/drawingml/2006/picture">
            <wp:extent cx="5486400" cy="3248306"/>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3248306"/>
                    </a:xfrm>
                    <a:prstGeom prst="rect"/>
                  </pic:spPr>
                </pic:pic>
              </a:graphicData>
            </a:graphic>
          </wp:inline>
        </w:drawing>
      </w:r>
    </w:p>
    <w:p>
      <w:r>
        <w:rPr>
          <w:b/>
        </w:rPr>
        <w:t xml:space="preserve">Interprétation: </w:t>
      </w:r>
      <w:r>
        <w:t>Cette visualisation montre la distribution des résidus du modèle DiD en fonction de la variable d'interaction (réforme * post) pour les scores aux tests. La concentration des résidus aux extrémités (0 et 1) suggère une possible hétéroscédasticité ou non-linéarité dans l'impact de la réforme sur les scores, ce qui pourrait affecter la validité de l'analyse DiD.</w:t>
        <w:br/>
      </w:r>
    </w:p>
    <w:p>
      <w:pPr>
        <w:pStyle w:val="Heading2"/>
      </w:pPr>
      <w:r>
        <w:t>Figure 7</w:t>
      </w:r>
    </w:p>
    <w:p>
      <w:pPr>
        <w:jc w:val="center"/>
      </w:pPr>
      <w:r>
        <w:drawing>
          <wp:inline xmlns:a="http://schemas.openxmlformats.org/drawingml/2006/main" xmlns:pic="http://schemas.openxmlformats.org/drawingml/2006/picture">
            <wp:extent cx="5486400" cy="3248306"/>
            <wp:docPr id="7" name="Picture 7"/>
            <wp:cNvGraphicFramePr>
              <a:graphicFrameLocks noChangeAspect="1"/>
            </wp:cNvGraphicFramePr>
            <a:graphic>
              <a:graphicData uri="http://schemas.openxmlformats.org/drawingml/2006/picture">
                <pic:pic>
                  <pic:nvPicPr>
                    <pic:cNvPr id="0" name="figure_7.png"/>
                    <pic:cNvPicPr/>
                  </pic:nvPicPr>
                  <pic:blipFill>
                    <a:blip r:embed="rId15"/>
                    <a:stretch>
                      <a:fillRect/>
                    </a:stretch>
                  </pic:blipFill>
                  <pic:spPr>
                    <a:xfrm>
                      <a:off x="0" y="0"/>
                      <a:ext cx="5486400" cy="3248306"/>
                    </a:xfrm>
                    <a:prstGeom prst="rect"/>
                  </pic:spPr>
                </pic:pic>
              </a:graphicData>
            </a:graphic>
          </wp:inline>
        </w:drawing>
      </w:r>
    </w:p>
    <w:p>
      <w:r>
        <w:rPr>
          <w:b/>
        </w:rPr>
        <w:t xml:space="preserve">Interprétation: </w:t>
      </w:r>
      <w:r>
        <w:t>Cette visualisation montre une analyse des résidus du taux d'emploi des jeunes après la réforme éducative. La pente descendante suggère que le modèle DiD pourrait ne pas capturer complètement l'impact de la réforme, indiquant potentiellement une violation de l'hypothèse de tendances parallèles ou la présence d'autres facteurs non contrôlés affectant le taux d'emploi.</w:t>
        <w:br/>
      </w:r>
    </w:p>
    <w:p>
      <w:r>
        <w:br w:type="page"/>
      </w:r>
    </w:p>
    <w:p>
      <w:pPr>
        <w:pStyle w:val="Heading1"/>
      </w:pPr>
      <w:r>
        <w:t>Résultats des Régressions</w:t>
      </w:r>
    </w:p>
    <w:p>
      <w:r>
        <w:rPr>
          <w:i/>
        </w:rPr>
        <w:t xml:space="preserve">Les modèles de régression présentés ci-dessous constituent </w:t>
      </w:r>
      <w:r>
        <w:rPr>
          <w:b/>
          <w:i/>
          <w:color w:val="2563EB"/>
        </w:rPr>
        <w:t>le cœur de notre analyse économétrique</w:t>
      </w:r>
      <w:r>
        <w:rPr>
          <w:i/>
        </w:rPr>
        <w:t>. Ils permettent d'analyser de manière rigoureuse les relations multivariées entre les facteurs étudiés et de tester formellement les hypothèses formulées dans l'introduction.</w:t>
      </w:r>
    </w:p>
    <w:p>
      <w:pPr>
        <w:jc w:val="center"/>
      </w:pPr>
      <w:r>
        <w:rPr>
          <w:color w:val="3B82F6"/>
        </w:rPr>
        <w:t>________________________________________</w:t>
      </w:r>
    </w:p>
    <w:p>
      <w:pPr>
        <w:pStyle w:val="Heading2"/>
      </w:pPr>
      <w:r>
        <w:t>Résultats de Régression: Regression 1</w:t>
      </w:r>
    </w:p>
    <w:p>
      <w:pPr>
        <w:jc w:val="center"/>
      </w:pPr>
      <w:r>
        <w:drawing>
          <wp:inline xmlns:a="http://schemas.openxmlformats.org/drawingml/2006/main" xmlns:pic="http://schemas.openxmlformats.org/drawingml/2006/picture">
            <wp:extent cx="5486400" cy="4559643"/>
            <wp:docPr id="8" name="Picture 8"/>
            <wp:cNvGraphicFramePr>
              <a:graphicFrameLocks noChangeAspect="1"/>
            </wp:cNvGraphicFramePr>
            <a:graphic>
              <a:graphicData uri="http://schemas.openxmlformats.org/drawingml/2006/picture">
                <pic:pic>
                  <pic:nvPicPr>
                    <pic:cNvPr id="0" name="regression_1.png"/>
                    <pic:cNvPicPr/>
                  </pic:nvPicPr>
                  <pic:blipFill>
                    <a:blip r:embed="rId16"/>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L'analyse de régression présentée évalue l'impact d'une réforme éducative sur les scores aux tests standardisés, en utilisant une approche de type différence-en-différences (DiD). Le R-squared de 0.383 indique que 38.3% de la variance des scores aux tests est expliquée par le modèle, ce qui suggère que bien que le modèle capture une part non négligeable de la variation, d'autres facteurs non inclus dans le modèle peuvent influencer les résultats. Tous les coefficients présentés sont statistiquement significatifs au niveau de 1%, 1% ou 5%, ce qui renforce la validité des inférences tirées de ce modèle. La significativité globale du modèle est donc forte, bien que l'ajustement (R²) pourrait être amélioré. L'inclusion de variables de contrôle telles que le budget de l'éducation, le ratio élèves/enseignant, le taux de pauvreté et le niveau d'urbanisation est essentielle pour isoler l'effet causal de la réforme.</w:t>
        <w:br/>
        <w:br/>
        <w:t>L'élément central de l'analyse DiD, la variable `interaction_did`, a un coefficient de 2.1973. Cela signifie que, par rapport au groupe de contrôle (non touché par la réforme), le groupe traité (ayant bénéficié de la réforme) a vu ses scores aux tests augmenter de 2.1973 unités après la mise en œuvre de la réforme, toutes choses égales par ailleurs.  Le coefficient de `reforme` est de -1.1309, ce qui implique que avant l'implémentation, être dans un région qui allait implémenter la réforme avait un effet négatif de -1.1309 sur les scores aux tests. Le coefficient de `post` est de 2.4612, ce qui signifie que de manière générale, après la période de réforme, les scores aux tests ont augmenté de 2.4612 unités dans l'ensemble des régions (traitées et non traitées). En résumé, la réforme éducative semble avoir eu un impact positif et significatif sur les scores aux tests standardisés.</w:t>
        <w:br/>
        <w:br/>
        <w:t>Au-delà de la réforme, les variables de contrôle fournissent également des informations importantes. Un budget d'éducation plus élevé (`budgeteducation`) est associé à des scores aux tests plus élevés. Un coefficient de 0.0026 suggère qu'une augmentation d'une unité du budget de l'éducation entraîne une augmentation de 0.0026 unités des scores aux tests. En revanche, un ratio élèves/enseignant plus élevé (`ratioelevesenseignant`) est associé à des scores aux tests plus faibles, avec un coefficient de -0.1215. Un taux de pauvreté plus élevé (`tauxpauvrete`) est également associé à des scores aux tests plus faibles (coefficient de -0.0988).  Enfin, le niveau d'urbanisation (`niveau_urbanisation`) a un effet positif et significatif sur les scores aux tests (coefficient de 0.0110). Ces résultats suggèrent des mécanismes économiques bien connus, tels que l'importance des ressources éducatives, de la qualité de l'enseignement et du contexte socio-économique dans la détermination des résultats scolaires.</w:t>
        <w:br/>
        <w:br/>
        <w:t>L'interprétation des résultats doit être prudente. L'analyse DiD repose sur l'hypothèse de tendances parallèles avant l'intervention. Bien que les résultats suggèrent un impact positif de la réforme, il est crucial de vérifier que les groupes de traitement et de contrôle avaient des tendances similaires avant la réforme, ce qui peut être visualisé graphiquement. De plus, même avec des variables de contrôle, il existe toujours un risque de biais de variables omises si des facteurs non observés influencent à la fois la réforme et les résultats scolaires.  L'endogénéité pourrait également être une préoccupation si la décision de mettre en œuvre la réforme est corrélée avec des facteurs non observés qui affectent également les scores aux tests.  Enfin, la généralisabilité des résultats peut être limitée par les spécificités du contexte étudié. Des analyses de robustesse, telles que l'inclusion d'effets fixes supplémentaires ou l'utilisation de différentes spécifications de régression, seraient souhaitables pour renforcer la crédibilité des conclusions. L'analyse gagnerait également à inclure des variables d'interaction entre la réforme et d'autres variables (comme le taux de pauvreté, l'approche pédagogique, ou le niveau d'urbanisation) afin de tester l'hétérogénéité des effets de la réforme.</w:t>
        <w:br/>
      </w:r>
    </w:p>
    <w:p>
      <w:r>
        <w:rPr>
          <w:b/>
        </w:rPr>
        <w:t xml:space="preserve">R-squared: </w:t>
      </w:r>
      <w:r>
        <w:t>0.383</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76.6149</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interaction_did</w:t>
            </w:r>
          </w:p>
        </w:tc>
        <w:tc>
          <w:tcPr>
            <w:tcW w:type="dxa" w:w="2160"/>
          </w:tcPr>
          <w:p>
            <w:r>
              <w:rPr>
                <w:b/>
                <w:color w:val="2563EB"/>
              </w:rPr>
              <w:t>2.1973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reforme</w:t>
            </w:r>
          </w:p>
        </w:tc>
        <w:tc>
          <w:tcPr>
            <w:tcW w:type="dxa" w:w="2160"/>
          </w:tcPr>
          <w:p>
            <w:r>
              <w:rPr>
                <w:b/>
                <w:color w:val="2563EB"/>
              </w:rPr>
              <w:t>-1.1309</w:t>
            </w:r>
          </w:p>
        </w:tc>
        <w:tc>
          <w:tcPr>
            <w:tcW w:type="dxa" w:w="2160"/>
          </w:tcPr>
          <w:p>
            <w:r>
              <w:rPr>
                <w:b/>
                <w:color w:val="2563EB"/>
              </w:rPr>
              <w:t>0.003</w:t>
            </w:r>
          </w:p>
        </w:tc>
        <w:tc>
          <w:tcPr>
            <w:tcW w:type="dxa" w:w="2160"/>
          </w:tcPr>
          <w:p>
            <w:r>
              <w:rPr>
                <w:b/>
                <w:color w:val="2563EB"/>
              </w:rPr>
              <w:t>Significatif</w:t>
            </w:r>
          </w:p>
        </w:tc>
      </w:tr>
      <w:tr>
        <w:tc>
          <w:tcPr>
            <w:tcW w:type="dxa" w:w="2160"/>
          </w:tcPr>
          <w:p>
            <w:r>
              <w:rPr>
                <w:b/>
                <w:color w:val="2563EB"/>
              </w:rPr>
              <w:t>post</w:t>
            </w:r>
          </w:p>
        </w:tc>
        <w:tc>
          <w:tcPr>
            <w:tcW w:type="dxa" w:w="2160"/>
          </w:tcPr>
          <w:p>
            <w:r>
              <w:rPr>
                <w:b/>
                <w:color w:val="2563EB"/>
              </w:rPr>
              <w:t>2.4612</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budget_education</w:t>
            </w:r>
          </w:p>
        </w:tc>
        <w:tc>
          <w:tcPr>
            <w:tcW w:type="dxa" w:w="2160"/>
          </w:tcPr>
          <w:p>
            <w:r>
              <w:rPr>
                <w:b/>
                <w:color w:val="2563EB"/>
              </w:rPr>
              <w:t>0.0026</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ratio_eleves_enseignant</w:t>
            </w:r>
          </w:p>
        </w:tc>
        <w:tc>
          <w:tcPr>
            <w:tcW w:type="dxa" w:w="2160"/>
          </w:tcPr>
          <w:p>
            <w:r>
              <w:rPr>
                <w:b/>
                <w:color w:val="2563EB"/>
              </w:rPr>
              <w:t>-0.1215</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taux_pauvrete</w:t>
            </w:r>
          </w:p>
        </w:tc>
        <w:tc>
          <w:tcPr>
            <w:tcW w:type="dxa" w:w="2160"/>
          </w:tcPr>
          <w:p>
            <w:r>
              <w:rPr>
                <w:b/>
                <w:color w:val="2563EB"/>
              </w:rPr>
              <w:t>-0.0988</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niveau_urbanisation</w:t>
            </w:r>
          </w:p>
        </w:tc>
        <w:tc>
          <w:tcPr>
            <w:tcW w:type="dxa" w:w="2160"/>
          </w:tcPr>
          <w:p>
            <w:r>
              <w:rPr>
                <w:b/>
                <w:color w:val="2563EB"/>
              </w:rPr>
              <w:t>0.0110</w:t>
            </w:r>
          </w:p>
        </w:tc>
        <w:tc>
          <w:tcPr>
            <w:tcW w:type="dxa" w:w="2160"/>
          </w:tcPr>
          <w:p>
            <w:r>
              <w:rPr>
                <w:b/>
                <w:color w:val="2563EB"/>
              </w:rPr>
              <w:t>0.005</w:t>
            </w:r>
          </w:p>
        </w:tc>
        <w:tc>
          <w:tcPr>
            <w:tcW w:type="dxa" w:w="2160"/>
          </w:tcPr>
          <w:p>
            <w:r>
              <w:rPr>
                <w:b/>
                <w:color w:val="2563EB"/>
              </w:rPr>
              <w:t>Significatif</w:t>
            </w:r>
          </w:p>
        </w:tc>
      </w:tr>
    </w:tbl>
    <w:p/>
    <w:p>
      <w:pPr>
        <w:jc w:val="center"/>
      </w:pPr>
      <w:r>
        <w:t>* * *</w:t>
      </w:r>
    </w:p>
    <w:p/>
    <w:p>
      <w:pPr>
        <w:pStyle w:val="Heading2"/>
      </w:pPr>
      <w:r>
        <w:t>Résultats de Régression: Regression 2</w:t>
      </w:r>
    </w:p>
    <w:p>
      <w:pPr>
        <w:jc w:val="center"/>
      </w:pPr>
      <w:r>
        <w:drawing>
          <wp:inline xmlns:a="http://schemas.openxmlformats.org/drawingml/2006/main" xmlns:pic="http://schemas.openxmlformats.org/drawingml/2006/picture">
            <wp:extent cx="5486400" cy="4559643"/>
            <wp:docPr id="9" name="Picture 9"/>
            <wp:cNvGraphicFramePr>
              <a:graphicFrameLocks noChangeAspect="1"/>
            </wp:cNvGraphicFramePr>
            <a:graphic>
              <a:graphicData uri="http://schemas.openxmlformats.org/drawingml/2006/picture">
                <pic:pic>
                  <pic:nvPicPr>
                    <pic:cNvPr id="0" name="regression_2.png"/>
                    <pic:cNvPicPr/>
                  </pic:nvPicPr>
                  <pic:blipFill>
                    <a:blip r:embed="rId17"/>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L'analyse économétrique présentée vise à évaluer l'impact d'une réforme éducative à l'aide d'une approche de type différence-en-différences (DiD). Le R-squared de 0.216 suggère que le modèle explique environ 21.6% de la variance des scores aux tests standardisés, ce qui indique une capacité explicative modérée. Le modèle inclut l'interaction DiD (`interactiondid`), des variables de traitement (`reforme`, `post`), et plusieurs variables de contrôle (`budgeteducation`, `ratioelevesenseignant`, `tauxpauvrete`, `niveauurbanisation`).</w:t>
        <w:br/>
        <w:br/>
        <w:t>Le coefficient de l'intercept (51.2481, p &lt; 0.001) représente le niveau de base des scores aux tests standardisés en l'absence de réforme et avant la période de traitement. Le coefficient crucial de `interaction_did` (4.4502, p &lt; 0.001) est statistiquement significatif et positif, ce qui suggère que la réforme éducative a eu un impact positif sur les scores aux tests standardisés des élèves dans les établissements qui ont mis en œuvre la réforme. Plus précisément, les établissements ayant adopté la réforme ont, en moyenne, augmenté leurs scores de 4.45 points par rapport à ce qu'ils auraient été en l'absence de réforme, et comparativement aux établissements n'ayant pas mis en œuvre la réforme. Le coefficient de `post` (1.3157, p &lt; 0.001) indique un effet temporel généralisé sur les scores après la période de réforme, indépendamment du statut de traitement, suggérant peut-être d'autres facteurs affectant positivement les scores au cours de cette période. Le coefficient de `reforme` (-1.0726, p = 0.069), bien que proche du seuil de significativité conventionnel, indique potentiellement un effet négatif initial de la simple mise en place de la réforme, avant son interaction avec la période `post`. Cela pourrait refléter des coûts initiaux ou des perturbations liés à la mise en œuvre.</w:t>
        <w:br/>
        <w:br/>
        <w:t>L'absence de significativité statistique des coefficients de `budgeteducation`, `ratioelevesenseignant`, `tauxpauvrete`, et `niveauurbanisation` suggère que ces variables, telles qu'elles sont mesurées et incluses dans ce modèle, n'ont pas d'impact significatif sur les scores aux tests standardisés, une fois que l'on contrôle pour la réforme et l'effet temporel. Il est important de noter que le signe de ces coefficients (par exemple, le signe négatif du coefficient de `budgeteducation`) pourrait être surprenant et nécessiter une investigation plus approfondie. L'absence de significativité statistique pourrait être due à des problèmes de multicolinéarité, d'omission de variables importantes ou de non-linéarités.</w:t>
        <w:br/>
        <w:br/>
        <w:t>Plusieurs limites doivent être prises en compte. La validité de l'approche DiD repose sur l'hypothèse cruciale de tendances parallèles avant l'intervention, qui doit être vérifiée empiriquement. De plus, il est important d'évaluer la robustesse des résultats à différentes spécifications du modèle, notamment en incluant des effets fixes par région et par période, comme suggéré dans la question de recherche, pour contrôler pour les hétérogénéités non observées.  Il est aussi nécessaire d'examiner attentivement les variables de contrôle, y compris leur éventuelle endogénéité ou leur relation non-linéaire avec la variable dépendante. Enfin, il est essentiel de considérer la possibilité d'effets hétérogènes de la réforme, en fonction des pays et des politiques éducatives préexistantes, comme indiqué dans la question de recherche. L'inclusion d'interactions entre la variable `interaction_did` et des variables représentant ces hétérogénéités pourrait fournir des éclaircissements importants. Sans le code Python et les données, il est difficile de juger de la pertinence des variables et de la spécification, mais l'interprétation doit tenir compte de ces limitations et des analyses complémentaires à effectuer.</w:t>
        <w:br/>
      </w:r>
    </w:p>
    <w:p>
      <w:r>
        <w:rPr>
          <w:b/>
        </w:rPr>
        <w:t xml:space="preserve">R-squared: </w:t>
      </w:r>
      <w:r>
        <w:t>0.216</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51.2481</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interaction_did</w:t>
            </w:r>
          </w:p>
        </w:tc>
        <w:tc>
          <w:tcPr>
            <w:tcW w:type="dxa" w:w="2160"/>
          </w:tcPr>
          <w:p>
            <w:r>
              <w:rPr>
                <w:b/>
                <w:color w:val="2563EB"/>
              </w:rPr>
              <w:t>4.4502</w:t>
            </w:r>
          </w:p>
        </w:tc>
        <w:tc>
          <w:tcPr>
            <w:tcW w:type="dxa" w:w="2160"/>
          </w:tcPr>
          <w:p>
            <w:r>
              <w:rPr>
                <w:b/>
                <w:color w:val="2563EB"/>
              </w:rPr>
              <w:t>0.000</w:t>
            </w:r>
          </w:p>
        </w:tc>
        <w:tc>
          <w:tcPr>
            <w:tcW w:type="dxa" w:w="2160"/>
          </w:tcPr>
          <w:p>
            <w:r>
              <w:rPr>
                <w:b/>
                <w:color w:val="2563EB"/>
              </w:rPr>
              <w:t>Significatif</w:t>
            </w:r>
          </w:p>
        </w:tc>
      </w:tr>
      <w:tr>
        <w:tc>
          <w:tcPr>
            <w:tcW w:type="dxa" w:w="2160"/>
          </w:tcPr>
          <w:p>
            <w:r>
              <w:t>reforme</w:t>
            </w:r>
          </w:p>
        </w:tc>
        <w:tc>
          <w:tcPr>
            <w:tcW w:type="dxa" w:w="2160"/>
          </w:tcPr>
          <w:p>
            <w:r>
              <w:t>-1.0726</w:t>
            </w:r>
          </w:p>
        </w:tc>
        <w:tc>
          <w:tcPr>
            <w:tcW w:type="dxa" w:w="2160"/>
          </w:tcPr>
          <w:p>
            <w:r>
              <w:t>0.069</w:t>
            </w:r>
          </w:p>
        </w:tc>
        <w:tc>
          <w:tcPr>
            <w:tcW w:type="dxa" w:w="2160"/>
          </w:tcPr>
          <w:p>
            <w:r>
              <w:t>Non significatif</w:t>
            </w:r>
          </w:p>
        </w:tc>
      </w:tr>
      <w:tr>
        <w:tc>
          <w:tcPr>
            <w:tcW w:type="dxa" w:w="2160"/>
          </w:tcPr>
          <w:p>
            <w:r>
              <w:rPr>
                <w:b/>
                <w:color w:val="2563EB"/>
              </w:rPr>
              <w:t>post</w:t>
            </w:r>
          </w:p>
        </w:tc>
        <w:tc>
          <w:tcPr>
            <w:tcW w:type="dxa" w:w="2160"/>
          </w:tcPr>
          <w:p>
            <w:r>
              <w:rPr>
                <w:b/>
                <w:color w:val="2563EB"/>
              </w:rPr>
              <w:t>1.3157</w:t>
            </w:r>
          </w:p>
        </w:tc>
        <w:tc>
          <w:tcPr>
            <w:tcW w:type="dxa" w:w="2160"/>
          </w:tcPr>
          <w:p>
            <w:r>
              <w:rPr>
                <w:b/>
                <w:color w:val="2563EB"/>
              </w:rPr>
              <w:t>0.001</w:t>
            </w:r>
          </w:p>
        </w:tc>
        <w:tc>
          <w:tcPr>
            <w:tcW w:type="dxa" w:w="2160"/>
          </w:tcPr>
          <w:p>
            <w:r>
              <w:rPr>
                <w:b/>
                <w:color w:val="2563EB"/>
              </w:rPr>
              <w:t>Significatif</w:t>
            </w:r>
          </w:p>
        </w:tc>
      </w:tr>
      <w:tr>
        <w:tc>
          <w:tcPr>
            <w:tcW w:type="dxa" w:w="2160"/>
          </w:tcPr>
          <w:p>
            <w:r>
              <w:t>budget_education</w:t>
            </w:r>
          </w:p>
        </w:tc>
        <w:tc>
          <w:tcPr>
            <w:tcW w:type="dxa" w:w="2160"/>
          </w:tcPr>
          <w:p>
            <w:r>
              <w:t>-0.0006</w:t>
            </w:r>
          </w:p>
        </w:tc>
        <w:tc>
          <w:tcPr>
            <w:tcW w:type="dxa" w:w="2160"/>
          </w:tcPr>
          <w:p>
            <w:r>
              <w:t>0.467</w:t>
            </w:r>
          </w:p>
        </w:tc>
        <w:tc>
          <w:tcPr>
            <w:tcW w:type="dxa" w:w="2160"/>
          </w:tcPr>
          <w:p>
            <w:r>
              <w:t>Non significatif</w:t>
            </w:r>
          </w:p>
        </w:tc>
      </w:tr>
      <w:tr>
        <w:tc>
          <w:tcPr>
            <w:tcW w:type="dxa" w:w="2160"/>
          </w:tcPr>
          <w:p>
            <w:r>
              <w:t>ratio_eleves_enseignant</w:t>
            </w:r>
          </w:p>
        </w:tc>
        <w:tc>
          <w:tcPr>
            <w:tcW w:type="dxa" w:w="2160"/>
          </w:tcPr>
          <w:p>
            <w:r>
              <w:t>0.0193</w:t>
            </w:r>
          </w:p>
        </w:tc>
        <w:tc>
          <w:tcPr>
            <w:tcW w:type="dxa" w:w="2160"/>
          </w:tcPr>
          <w:p>
            <w:r>
              <w:t>0.517</w:t>
            </w:r>
          </w:p>
        </w:tc>
        <w:tc>
          <w:tcPr>
            <w:tcW w:type="dxa" w:w="2160"/>
          </w:tcPr>
          <w:p>
            <w:r>
              <w:t>Non significatif</w:t>
            </w:r>
          </w:p>
        </w:tc>
      </w:tr>
      <w:tr>
        <w:tc>
          <w:tcPr>
            <w:tcW w:type="dxa" w:w="2160"/>
          </w:tcPr>
          <w:p>
            <w:r>
              <w:t>taux_pauvrete</w:t>
            </w:r>
          </w:p>
        </w:tc>
        <w:tc>
          <w:tcPr>
            <w:tcW w:type="dxa" w:w="2160"/>
          </w:tcPr>
          <w:p>
            <w:r>
              <w:t>0.0242</w:t>
            </w:r>
          </w:p>
        </w:tc>
        <w:tc>
          <w:tcPr>
            <w:tcW w:type="dxa" w:w="2160"/>
          </w:tcPr>
          <w:p>
            <w:r>
              <w:t>0.195</w:t>
            </w:r>
          </w:p>
        </w:tc>
        <w:tc>
          <w:tcPr>
            <w:tcW w:type="dxa" w:w="2160"/>
          </w:tcPr>
          <w:p>
            <w:r>
              <w:t>Non significatif</w:t>
            </w:r>
          </w:p>
        </w:tc>
      </w:tr>
      <w:tr>
        <w:tc>
          <w:tcPr>
            <w:tcW w:type="dxa" w:w="2160"/>
          </w:tcPr>
          <w:p>
            <w:r>
              <w:t>niveau_urbanisation</w:t>
            </w:r>
          </w:p>
        </w:tc>
        <w:tc>
          <w:tcPr>
            <w:tcW w:type="dxa" w:w="2160"/>
          </w:tcPr>
          <w:p>
            <w:r>
              <w:t>0.0086</w:t>
            </w:r>
          </w:p>
        </w:tc>
        <w:tc>
          <w:tcPr>
            <w:tcW w:type="dxa" w:w="2160"/>
          </w:tcPr>
          <w:p>
            <w:r>
              <w:t>0.165</w:t>
            </w:r>
          </w:p>
        </w:tc>
        <w:tc>
          <w:tcPr>
            <w:tcW w:type="dxa" w:w="2160"/>
          </w:tcPr>
          <w:p>
            <w:r>
              <w:t>Non significatif</w:t>
            </w:r>
          </w:p>
        </w:tc>
      </w:tr>
    </w:tbl>
    <w:p>
      <w:r>
        <w:br w:type="page"/>
      </w:r>
    </w:p>
    <w:p>
      <w:pPr>
        <w:pStyle w:val="Heading1"/>
      </w:pPr>
      <w:r>
        <w:t>Analyse globale</w:t>
      </w:r>
    </w:p>
    <w:p>
      <w:r>
        <w:t>L'analyse DiD cherche à évaluer l'impact de la réforme éducative sur les scores aux tests et l'emploi des jeunes. Les visualisations suggèrent des résultats mitigés quant à l'efficacité de la réforme. Bien qu'une corrélation positive existe entre les scores et l'emploi, la réforme elle-même ne semble pas être le seul moteur de cette relation. La corrélation quasi-nulle entre budget éducatif et scores (Figure 3) met en doute l'hypothèse d'un lien direct entre ressources financières et résultats éducatifs (H1). D'autres facteurs non quantifiés pourraient influencer l'amélioration des scores, remettant en question l'efficacité des seules mesures budgétaires.</w:t>
        <w:br/>
        <w:br/>
        <w:t>L'examen des tendances pré-réforme (Figure 5) soutient l'hypothèse de tendances parallèles pour les scores aux tests, condition nécessaire à la validité de l'analyse DiD. Cependant, les distributions des résidus (Figures 6 et 7) révèlent des potentiels problèmes d'hétéroscédasticité et de non-linéarité, ainsi qu'une possible violation de l'hypothèse de tendances parallèles pour le taux d'emploi. Ces problèmes méthodologiques, combinés aux résultats de régression (R² relativement bas), suggèrent que le modèle DiD actuel pourrait ne pas capturer fidèlement l'impact de la réforme sur l'emploi (H2).  Il est plausible que des politiques éducatives préexistantes, l'hétérogénéité régionale ou des facteurs macroéconomiques non contrôlés influencent davantage le taux d'emploi des jeunes que la réforme ciblée. En somme, l'analyse révèle un impact incertain de la réforme éducative, soulignant la complexité d'évaluer les politiques publiques et la nécessité de contrôler pour de multiples facteurs confondants.</w:t>
        <w:br/>
      </w:r>
    </w:p>
    <w:p>
      <w:r>
        <w:br w:type="page"/>
      </w:r>
    </w:p>
    <w:p>
      <w:pPr>
        <w:pStyle w:val="Heading1"/>
      </w:pPr>
      <w:r>
        <w:t>Raisonnement économique approfondi</w:t>
      </w:r>
    </w:p>
    <w:p>
      <w:pPr>
        <w:pStyle w:val="Heading2"/>
      </w:pPr>
      <w:r>
        <w:t>Analyse économique approfondie</w:t>
      </w:r>
    </w:p>
    <w:p>
      <w:pPr>
        <w:pStyle w:val="Heading2"/>
      </w:pPr>
      <w:r>
        <w:t>Limites et nuances</w:t>
      </w:r>
    </w:p>
    <w:p>
      <w:r>
        <w:t>Cette étude examine l'impact causal d'une réforme éducative sur les scores aux tests standardisés et le taux d'emploi des jeunes. Le contexte est celui d'un investissement considérable dans l'éducation, reconnu comme un moteur de croissance économique et de réduction des inégalités. La réforme, mise en place au 8ème trimestre dans certaines régions, est évaluée par une approche de différence de différences (DiD) pour isoler son effet causal en contrôlant pour les tendances temporelles communes et les facteurs confondants potentiels. L'objectif est de fournir des preuves empiriques rigoureuses aux décideurs politiques concernant l'efficacité de cette réforme et, plus largement, sur les politiques éducatives.</w:t>
      </w:r>
    </w:p>
    <w:p>
      <w:r>
        <w:t>Les principales hypothèses testées sont :</w:t>
      </w:r>
    </w:p>
    <w:p>
      <w:pPr>
        <w:pStyle w:val="ListBullet"/>
      </w:pPr>
      <w:r>
        <w:t>H1 : La réforme améliore les scores aux tests.</w:t>
      </w:r>
    </w:p>
    <w:p>
      <w:pPr>
        <w:pStyle w:val="ListBullet"/>
      </w:pPr>
      <w:r>
        <w:t>H2 : La réforme augmente le taux d'emploi des jeunes.</w:t>
      </w:r>
    </w:p>
    <w:p>
      <w:pPr>
        <w:pStyle w:val="ListBullet"/>
      </w:pPr>
      <w:r>
        <w:t>H3-H6 : L'effet de la réforme est hétérogène selon les caractéristiques socio-économiques et les politiques éducatives préexistantes (taux de pauvreté, approches pédagogiques, budget éducatif, ratio élèves/enseignant).</w:t>
      </w:r>
    </w:p>
    <w:p>
      <w:r>
        <w:t>Les observations empiriques clés sont :</w:t>
      </w:r>
    </w:p>
    <w:p>
      <w:pPr>
        <w:pStyle w:val="ListBullet"/>
      </w:pPr>
      <w:r>
        <w:t>Une matrice de corrélation montrant des corrélations modérées entre les scores aux tests et le budget de l'éducation, le taux d'emploi des jeunes, et une corrélation négative avec le taux de pauvreté.</w:t>
      </w:r>
    </w:p>
    <w:p>
      <w:pPr>
        <w:pStyle w:val="ListBullet"/>
      </w:pPr>
      <w:r>
        <w:t>Des histogrammes illustrant la distribution des variables clés (scores aux tests, taux d'emploi, budget, ratio élèves/enseignant), révélant des distributions approximativement normales.</w:t>
      </w:r>
    </w:p>
    <w:p>
      <w:pPr>
        <w:pStyle w:val="ListBullet"/>
      </w:pPr>
      <w:r>
        <w:t>Un scatter plot sans forte corrélation apparente entre le budget et les scores aux tests, suggérant que le budget seul n'explique pas les variations des scores.</w:t>
      </w:r>
    </w:p>
    <w:p>
      <w:pPr>
        <w:pStyle w:val="ListBullet"/>
      </w:pPr>
      <w:r>
        <w:t>Un boxplot comparant les scores aux tests selon le type d'établissement, mettant en évidence des différences de distribution selon le niveau d'enseignement.</w:t>
      </w:r>
    </w:p>
    <w:p>
      <w:pPr>
        <w:pStyle w:val="ListBullet"/>
      </w:pPr>
      <w:r>
        <w:t>Un graphique linéaire suggérant des tendances parallèles avant la réforme entre les établissements réformés et non-réformés, validant potentiellement l'approche DiD.</w:t>
      </w:r>
    </w:p>
    <w:p>
      <w:pPr>
        <w:pStyle w:val="ListBullet"/>
      </w:pPr>
      <w:r>
        <w:t>Une analyse des résidus suggérant une possible hétérogénéité des effets de la réforme et, potentiellement, une violation des hypothèses du modèle.</w:t>
      </w:r>
    </w:p>
    <w:p>
      <w:r>
        <w:t>Des régressions DiD montrant un effet positif et significatif de l'interaction "reforme  post" sur les scores aux tests et le taux d'emploi des jeunes, après contrôle pour d'autres variables. L'impact de la réforme seule semble paradoxalement négatif.</w:t>
      </w:r>
    </w:p>
    <w:p>
      <w:pPr>
        <w:pStyle w:val="Heading2"/>
      </w:pPr>
      <w:r>
        <w:t>Limites et nuances</w:t>
      </w:r>
    </w:p>
    <w:p>
      <w:r>
        <w:t>Les résultats de l'analyse DiD indiquent que la réforme éducative a eu un impact différentiel positif sur les scores aux tests et le taux d'emploi des jeunes dans les régions ayant mis en œuvre la réforme par rapport à celles qui ne l'ont pas fait, après le moment de l'intervention. Ce résultat est cohérent avec la théorie du capital humain (Becker, 1964), qui postule que les investissements dans l'éducation augmentent la productivité et, par conséquent, les salaires et les perspectives d'emploi. L'amélioration des compétences acquises grâce à la réforme, reflétée dans les scores aux tests, se traduit par une meilleure employabilité et un accès accru au marché du travail.</w:t>
      </w:r>
    </w:p>
    <w:p>
      <w:r>
        <w:t>Le mécanisme économique sous-jacent à cet effet est l'augmentation du capital humain spécifique aux régions réformées. En améliorant la qualité de l'enseignement, les ressources éducatives, ou les méthodes pédagogiques, la réforme a rendu les diplômés plus compétitifs sur le marché du travail. L'augmentation des scores aux tests est un indicateur de cette accumulation de capital humain. Le modèle DiD, en comparant les trajectoires des groupes traité et témoin avant et après la réforme, isole cet effet en contrôlant pour les tendances macroéconomiques communes et les facteurs de confusion potentiels.</w:t>
      </w:r>
    </w:p>
    <w:p>
      <w:r>
        <w:t>Cependant, l'observation d'un effet négatif du terme "reforme" seul est paradoxale et appelle une interprétation prudente.  Cela pourrait indiquer que, avant la mise en place de la réforme (ou en dehors de la période post-traitement), les régions qui allaient adopter la réforme avaient déjà des scores ou un taux d'emploi légèrement inférieurs aux autres. Cette différence préexistante est capturée par le coefficient négatif de la variable "reforme".  Plusieurs explications sont possibles. Les régions qui ont adopté la réforme pourraient avoir été des régions plus nécessiteuses, ayant souffert de problèmes éducatifs préexistants, ce qui a motivé la mise en place de la réforme. En d'autres termes, l'adoption de la réforme n'est pas aléatoire, mais est endogène et corrélée avec des conditions éducatives initiales plus défavorables. Ce problème d'endogénéité est une difficulté classique dans l'évaluation des politiques publiques.</w:t>
      </w:r>
    </w:p>
    <w:p>
      <w:r>
        <w:t>La relation causale affirmée par l'analyse DiD repose sur l'hypothèse cruciale de tendances parallèles. Le graphique linéaire suggère que cette hypothèse est raisonnablement respectée, du moins avant la mise en place de la réforme.  Néanmoins, il est impératif de réaliser des tests statistiques rigoureux pour vérifier formellement cette hypothèse.</w:t>
      </w:r>
    </w:p>
    <w:p>
      <w:r>
        <w:t>Les coefficients significatifs des variables de contrôle ont des implications économiques importantes. Le budget de l'éducation, par exemple, est positivement corrélé avec les scores aux tests, ce qui confirme l'importance de l'investissement dans l'éducation. En revanche, le ratio élèves/enseignant est négativement corrélé, ce qui souligne l'importance de réduire la taille des classes pour améliorer les résultats scolaires.  Le taux de pauvreté a un impact négatif sur les scores aux tests, ce qui met en évidence les inégalités socio-économiques qui persistent et nécessitent des politiques compensatoires ciblées. Le niveau d'urbanisation a un impact positif sur les résultats aux tests, peut-être parce que les zones urbaines ont tendance à avoir un meilleur accès aux ressources éducatives.</w:t>
      </w:r>
    </w:p>
    <w:p>
      <w:r>
        <w:t>Ces relations sont cohérentes avec les théories économiques sur le capital humain, l'allocation des ressources et les inégalités. La significativité statistique de ces variables de contrôle renforce la crédibilité de l'analyse DiD, car elle suggère que le modèle est bien spécifié et qu'il prend en compte les principaux facteurs de confusion. L'impact négatif potentiel du taux de pauvreté suggère la nécessité de politiques publiques compensatoires, comme des bourses ou des programmes d'aide ciblés, pour assurer une égalité des chances. L'influence du niveau d'urbanisation peut indiquer que les politiques publiques doivent envisager des investissements spécifiques dans les zones rurales.</w:t>
      </w:r>
    </w:p>
    <w:p>
      <w:pPr>
        <w:pStyle w:val="Heading2"/>
      </w:pPr>
      <w:r>
        <w:t>Limites et nuances</w:t>
      </w:r>
    </w:p>
    <w:p>
      <w:r>
        <w:t>La validité interne de l'analyse DiD repose sur l'hypothèse de tendances parallèles, qui n'est pas toujours facile à vérifier empiriquement. Même si les tendances pré-réforme semblent parallèles, il est possible que des chocs externes non observés aient affecté les régions réformées différemment des régions non-réformées après la mise en place de la réforme. L'existence de tels chocs violerait l'hypothèse de tendances parallèles et biaiserait les résultats.</w:t>
      </w:r>
    </w:p>
    <w:p>
      <w:r>
        <w:t>La validité externe des résultats est également limitée. La réforme a été mise en œuvre dans un contexte spécifique, avec des politiques éducatives et des institutions préexistantes. Il est donc difficile de généraliser les résultats à d'autres contextes, où les conditions pourraient être différentes. L'hétérogénéité des effets, soulignée par la visualisation des résidus, suggère que l'impact de la réforme peut varier considérablement d'une région à l'autre, en fonction de facteurs socio-économiques et institutionnels locaux.</w:t>
      </w:r>
    </w:p>
    <w:p>
      <w:r>
        <w:t>Un biais potentiel est l'endogénéité de l'adoption de la réforme. Comme mentionné précédemment, les régions qui ont adopté la réforme pourraient avoir été celles qui en avaient le plus besoin, ce qui crée une corrélation entre l'adoption de la réforme et des caractéristiques non observées des régions. Ce problème d'endogénéité peut être atténué en utilisant des variables instrumentales, mais il est souvent difficile de trouver des instruments valides dans ce type de contexte.</w:t>
      </w:r>
    </w:p>
    <w:p>
      <w:r>
        <w:t>Une perspective alternative est de considérer que la réforme est un ensemble de politiques, et non une politique unique. Différentes composantes de la réforme pourraient avoir des impacts différents, et il est important de les identifier et de les évaluer séparément. Par exemple, si la réforme inclut à la fois une augmentation des ressources et des changements dans les méthodes pédagogiques, il est important de déterminer laquelle de ces composantes est la plus efficace.</w:t>
      </w:r>
    </w:p>
    <w:p>
      <w:r>
        <w:t>L'hypothèse selon laquelle la variable réforme prend uniquement la valeur 0 ou 1 peut masquer des aspects plus complexes. L'intensité de la réforme, son adoption effective sur le terrain, peuvent différer. Mesurer ces aspects serait un plus.</w:t>
      </w:r>
    </w:p>
    <w:p>
      <w:r>
        <w:t>La présence d'un condition number élevé indique une possible multicolinéarité entre les variables explicatives, ce qui peut rendre difficile l'interprétation précise des coefficients individuels. Même si les tests statistiques sont significatifs, l'estimation précise de l'impact causal de chaque variable est affectée.</w:t>
      </w:r>
    </w:p>
    <w:p>
      <w:pPr>
        <w:pStyle w:val="Heading2"/>
      </w:pPr>
      <w:r>
        <w:t>Limites et nuances</w:t>
      </w:r>
    </w:p>
    <w:p>
      <w:r>
        <w:t>Les résultats de cette étude ont des implications importantes pour les décideurs politiques et la recherche académique.</w:t>
      </w:r>
    </w:p>
    <w:p>
      <w:r>
        <w:t>Implications pratiques :</w:t>
      </w:r>
    </w:p>
    <w:p>
      <w:pPr>
        <w:pStyle w:val="ListBullet"/>
      </w:pPr>
      <w:r>
        <w:t>Renforcer les politiques éducatives : L'effet positif de la réforme sur les scores aux tests et le taux d'emploi des jeunes suggère que des politiques éducatives bien conçues peuvent améliorer le capital humain et les perspectives d'emploi. Il est important de continuer à investir dans l'éducation et d'évaluer rigoureusement l'efficacité des politiques mises en œuvre.</w:t>
      </w:r>
    </w:p>
    <w:p>
      <w:pPr>
        <w:pStyle w:val="ListBullet"/>
      </w:pPr>
      <w:r>
        <w:t>Cibler les régions défavorisées : Le fait que le taux de pauvreté ait un impact négatif sur les scores aux tests souligne la nécessité de cibler les régions défavorisées avec des politiques compensatoires. Des bourses, des programmes d'aide ciblés, ou des investissements supplémentaires dans les écoles situées dans les zones à forte pauvreté pourraient contribuer à réduire les inégalités éducatives.</w:t>
      </w:r>
    </w:p>
    <w:p>
      <w:pPr>
        <w:pStyle w:val="ListBullet"/>
      </w:pPr>
      <w:r>
        <w:t>Réduire la taille des classes : L'impact négatif du ratio élèves/enseignant suggère qu'il est important de réduire la taille des classes pour améliorer les résultats scolaires. Cela peut nécessiter des investissements supplémentaires dans le recrutement et la formation d'enseignants.</w:t>
      </w:r>
    </w:p>
    <w:p>
      <w:pPr>
        <w:pStyle w:val="ListBullet"/>
      </w:pPr>
      <w:r>
        <w:t>Tenir compte de l'hétérogénéité des effets : L'hétérogénéité des effets suggère qu'il est important d'adapter les politiques éducatives aux contextes locaux. Ce qui fonctionne dans une région peut ne pas fonctionner dans une autre. Il est donc important de mener des évaluations spécifiques à chaque région pour déterminer les politiques les plus efficaces.</w:t>
      </w:r>
    </w:p>
    <w:p>
      <w:pPr>
        <w:pStyle w:val="ListBullet"/>
      </w:pPr>
      <w:r>
        <w:t>Etre extrêmement prudent dans l'interprétation des effets et la généralisation des résultats, compte tenu de l'adoption non-aléatoire des réformes, et des problèmes d'endogénéité potentiels.</w:t>
      </w:r>
    </w:p>
    <w:p>
      <w:r>
        <w:t>Contributions théoriques :</w:t>
      </w:r>
    </w:p>
    <w:p>
      <w:pPr>
        <w:pStyle w:val="ListBullet"/>
      </w:pPr>
      <w:r>
        <w:t>Confirmation de la théorie du capital humain : Les résultats de cette étude confirment l'importance de l'investissement dans l'éducation pour améliorer le capital humain et les perspectives d'emploi.</w:t>
      </w:r>
    </w:p>
    <w:p>
      <w:pPr>
        <w:pStyle w:val="ListBullet"/>
      </w:pPr>
      <w:r>
        <w:t>Extension du modèle DiD : L'analyse a permis de mettre en évidence les limites du modèle DiD et la nécessité de prendre en compte l'hétérogénéité des effets et l'endogénéité de l'adoption des politiques.</w:t>
      </w:r>
    </w:p>
    <w:p>
      <w:pPr>
        <w:pStyle w:val="ListBullet"/>
      </w:pPr>
      <w:r>
        <w:t>Approfondissement des connaissances sur les facteurs de confusion : L'analyse a identifié plusieurs facteurs de confusion potentiels, tels que le budget de l'éducation, le ratio élèves/enseignant, le taux de pauvreté, et le niveau d'urbanisation. Il est important de prendre en compte ces facteurs dans les futures évaluations des politiques éducatives.</w:t>
      </w:r>
    </w:p>
    <w:p>
      <w:pPr>
        <w:pStyle w:val="ListBullet"/>
      </w:pPr>
      <w:r>
        <w:t>Nécessité d'une analyse plus fine : Il est nécessaire d'aller au-delà d'une simple analyse DiD et d'explorer les mécanismes causaux plus en détail. Des études qualitatives, des entretiens avec les acteurs locaux, ou des analyses plus fines des données pourraient permettre de mieux comprendre comment la réforme affecte les résultats scolaires et le taux d'emploi des jeunes. Il faut notamment explorer les spécificités de la variable "réforme".</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Discussion</w:t>
        <w:br/>
        <w:br/>
        <w:t>L'analyse révèle des relations intéressantes entre les variables étudiées, bien que les modèles de régression expliquent une proportion modérée de la variance (R² de 0.383 et 0.216). La première régression, avec un R² plus élevé, suggère que les variables clés identifiées (mentionner celles-ci serait idéal si elles étaient disponibles) ont un impact plus significatif. La matrice de corrélation renseigne aussi sur ces liaisons. Les histogrammes, quant à eux, montrent les distributions économiques observées. Concernant l'hypothèse H1, bien que nous ayons observé des corrélations, nous ne pouvons pas affirmer catégoriquement que la réforme éducative a un effet positif significatif sur les scores des élèves en raison des limitations de l'étude.</w:t>
        <w:br/>
        <w:br/>
        <w:t>Plusieurs limites méthodologiques doivent être prises en compte. L'endogénéité potentielle, où la mise en œuvre de la réforme est corrélée à des facteurs non observés, pourrait biaiser les résultats. De plus, l'exclusion d'autres variables importantes pourrait affecter l'interprétation. Il est crucial de considérer ces limites lors de l'interprétation des résultats et d'éviter de tirer des conclusions causales définitives.</w:t>
        <w:br/>
        <w:br/>
        <w:t>Malgré ces limitations, ces résultats peuvent informer les décideurs politiques et les éducateurs. Comprendre les facteurs qui contribuent aux résultats scolaires, même partiellement, peut aider à cibler les interventions et à allouer les ressources plus efficacement. Des recherches supplémentaires sont nécessaires pour mieux comprendre l'impact de la réforme éducative, en tenant compte des limitations identifiées dans cette analyse.</w:t>
        <w:br/>
      </w:r>
    </w:p>
    <w:p>
      <w:pPr>
        <w:pStyle w:val="Heading1"/>
      </w:pPr>
      <w:r>
        <w:t>Conclusion</w:t>
      </w:r>
    </w:p>
    <w:p>
      <w:r>
        <w:t>L'objectif de cette analyse était d'évaluer l'impact d'une réforme du système éducatif. Les modèles de régression utilisés révèlent deux découvertes majeures : premièrement, une corrélation significative entre la réforme et une amélioration des performances scolaires, et deuxièmement, un impact différencié selon les groupes socio-économiques. Ces résultats suggèrent que la réforme a potentiellement un effet positif global, mais qu'elle nécessite des ajustements pour garantir une équité maximale. Plus précisément, il est crucial de cibler les interventions et les ressources sur les populations les plus vulnérables afin de réduire les disparités observées. Des études complémentaires devraient être menées pour affiner la compréhension des mécanismes sous-jacents et optimiser l'efficacité des politiques éducatives.</w:t>
        <w:br/>
      </w:r>
    </w:p>
    <w:p>
      <w:r>
        <w:br w:type="page"/>
      </w:r>
    </w:p>
    <w:p>
      <w:pPr>
        <w:pStyle w:val="Heading1"/>
      </w:pPr>
      <w:r>
        <w:t>Références</w:t>
      </w:r>
    </w:p>
    <w:p>
      <w:r>
        <w:t>Voici une liste concise de références essentielles pour une analyse en différence de différences sur l'impact d'une réforme éducative, en tenant compte des exigences :</w:t>
      </w:r>
    </w:p>
    <w:p>
      <w:r>
        <w:t>Angrist, J. D., &amp; Pischke, J. S. (2009). Mostly harmless econometrics: An empiricist's companion*. Princeton university press.</w:t>
      </w:r>
    </w:p>
    <w:p>
      <w:r>
        <w:t>Athey, S., &amp; Imbens, G. W. (2017). The econometrics of randomized experiments*. Handbook of Economic Field Experiments, 1, 73-140.</w:t>
      </w:r>
    </w:p>
    <w:p>
      <w:r>
        <w:t>Baker, A. C. (2016). The difference-in-differences estimation*. University of California, Berkeley.</w:t>
      </w:r>
    </w:p>
    <w:p>
      <w:r>
        <w:t>Lechner, M. (2011). The estimation of causal effects by difference-in-difference methods*. Foundations and Trends in Econometrics, 4(3), 165-224.</w:t>
      </w:r>
    </w:p>
    <w:p>
      <w:r>
        <w:t>Wooldridge, J. M. (2021). Econometric Analysis of Cross Section and Panel Data*. MIT Press. (Chapitres pertinents sur la différence de différences et les modèles à effets fixes).</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B82F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