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Briefing: Partnership Scoring Product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Sponsor</w:t>
      </w:r>
      <w:r w:rsidDel="00000000" w:rsidR="00000000" w:rsidRPr="00000000">
        <w:rPr>
          <w:rtl w:val="0"/>
        </w:rPr>
        <w:t xml:space="preserve">:Andrei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develop a robust, automated product for scoring potential YouTube partnerships.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brand, Zero to Mastery, values quality education, community-driven growth, career-focused learning, and up-to-date tech stacks.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partners who share these values and have an audience of motivated learners in programming, software engineering, or tech career advice.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each YouTube channel’s focus, engagement level, and audience alignment with our brand.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Examine a few videos from each channel for deeper insights (views, comments, sentiment).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channel’s external sentiment using Google or similar sources.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Score the partnership based on how well it fits our brand, with a concise justification.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Implementation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Return key findings and a score (0–10) for easy decision-making and a report detailing the recommendation.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working prototype soon.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keep it straightforward and consistent with our brand objectives.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on clear, actionable outputs.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goal is to speed up partnership assessments and ensure we select channels that match Zero to Mastery’s core values.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Keep me updated on progress.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you,</w:t>
        <w:br w:type="textWrapping"/>
        <w:t xml:space="preserve">Andrei</w:t>
        <w:br w:type="textWrapping"/>
        <w:t xml:space="preserve">Zero to Mastery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