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95227" w14:textId="5AAA98FF" w:rsidR="007B308D" w:rsidRDefault="00C463CE" w:rsidP="00402F5F">
      <w:pPr>
        <w:spacing w:after="0" w:line="240" w:lineRule="auto"/>
        <w:jc w:val="center"/>
        <w:rPr>
          <w:b/>
          <w:sz w:val="24"/>
          <w:u w:val="single"/>
        </w:rPr>
      </w:pPr>
      <w:r>
        <w:rPr>
          <w:b/>
          <w:sz w:val="24"/>
          <w:u w:val="single"/>
        </w:rPr>
        <w:t xml:space="preserve">High-Speed </w:t>
      </w:r>
      <w:r w:rsidR="00402F5F">
        <w:rPr>
          <w:b/>
          <w:sz w:val="24"/>
          <w:u w:val="single"/>
        </w:rPr>
        <w:t>Adder</w:t>
      </w:r>
      <w:r>
        <w:rPr>
          <w:b/>
          <w:sz w:val="24"/>
          <w:u w:val="single"/>
        </w:rPr>
        <w:t>s</w:t>
      </w:r>
    </w:p>
    <w:p w14:paraId="6E56B712" w14:textId="6E745DD7" w:rsidR="00402F5F" w:rsidRDefault="00402F5F" w:rsidP="00402F5F">
      <w:pPr>
        <w:spacing w:after="0" w:line="240" w:lineRule="auto"/>
        <w:jc w:val="center"/>
        <w:rPr>
          <w:b/>
          <w:szCs w:val="20"/>
          <w:u w:val="single"/>
        </w:rPr>
      </w:pPr>
    </w:p>
    <w:p w14:paraId="0140F5EC" w14:textId="68C31A01" w:rsidR="00C463CE" w:rsidRPr="00C463CE" w:rsidRDefault="00C463CE" w:rsidP="00C463CE">
      <w:pPr>
        <w:spacing w:after="0" w:line="240" w:lineRule="auto"/>
        <w:rPr>
          <w:b/>
          <w:szCs w:val="20"/>
        </w:rPr>
      </w:pPr>
      <w:r>
        <w:rPr>
          <w:b/>
          <w:szCs w:val="20"/>
        </w:rPr>
        <w:t>Kogge-Stone Adder:</w:t>
      </w:r>
    </w:p>
    <w:p w14:paraId="5AFAE764" w14:textId="77777777" w:rsidR="00C463CE" w:rsidRPr="00C463CE" w:rsidRDefault="00C463CE" w:rsidP="00402F5F">
      <w:pPr>
        <w:spacing w:after="0" w:line="240" w:lineRule="auto"/>
        <w:jc w:val="center"/>
        <w:rPr>
          <w:b/>
          <w:szCs w:val="20"/>
          <w:u w:val="single"/>
        </w:rPr>
      </w:pPr>
    </w:p>
    <w:p w14:paraId="782969FD" w14:textId="7395926C" w:rsidR="00402F5F" w:rsidRDefault="00402F5F" w:rsidP="00402F5F">
      <w:pPr>
        <w:spacing w:after="0" w:line="240" w:lineRule="auto"/>
      </w:pPr>
      <w:r w:rsidRPr="00402F5F">
        <w:t xml:space="preserve">The Kogge-Stone adder (KSA) is a parallel prefix form carry look-ahead adder. It is widely considered to be the fastest adder and is widely used in industry for high-performance arithmetic circuits. </w:t>
      </w:r>
      <w:r w:rsidR="002273C7">
        <w:t>Parallel prefix adders are used because they pre-compute and generate the necessary signals, they have less delay compared to traditional adders, and they also work with the associative law.</w:t>
      </w:r>
    </w:p>
    <w:p w14:paraId="4C1F2668" w14:textId="62113048" w:rsidR="002273C7" w:rsidRDefault="002273C7" w:rsidP="00402F5F">
      <w:pPr>
        <w:spacing w:after="0" w:line="240" w:lineRule="auto"/>
      </w:pPr>
    </w:p>
    <w:p w14:paraId="48762574" w14:textId="10AAF917" w:rsidR="002273C7" w:rsidRDefault="002273C7" w:rsidP="00402F5F">
      <w:pPr>
        <w:spacing w:after="0" w:line="240" w:lineRule="auto"/>
      </w:pPr>
      <w:r>
        <w:t xml:space="preserve">The functioning of a KSA can be understood by analyzing in in terms of three </w:t>
      </w:r>
      <w:r w:rsidR="00103E4E">
        <w:t>vertical</w:t>
      </w:r>
      <w:r>
        <w:t xml:space="preserve"> stages: the pre-processing stage, the prefix stage, and the final computation stage. </w:t>
      </w:r>
      <w:r w:rsidR="00103E4E">
        <w:t xml:space="preserve">Each stage produces a “propagate” and a “generate” bit. A </w:t>
      </w:r>
      <w:r w:rsidR="0087273F">
        <w:t>schematic of a 4-bit KSA with sample inputs is shown in Figure 1 below.</w:t>
      </w:r>
    </w:p>
    <w:p w14:paraId="0A22B150" w14:textId="6FF90840" w:rsidR="0087273F" w:rsidRDefault="0087273F" w:rsidP="00402F5F">
      <w:pPr>
        <w:spacing w:after="0" w:line="240" w:lineRule="auto"/>
      </w:pPr>
    </w:p>
    <w:p w14:paraId="1FF14DDD" w14:textId="77777777" w:rsidR="0087273F" w:rsidRDefault="0087273F" w:rsidP="0087273F">
      <w:pPr>
        <w:keepNext/>
        <w:spacing w:after="0" w:line="240" w:lineRule="auto"/>
        <w:jc w:val="center"/>
      </w:pPr>
      <w:r>
        <w:rPr>
          <w:noProof/>
        </w:rPr>
        <w:drawing>
          <wp:inline distT="0" distB="0" distL="0" distR="0" wp14:anchorId="506BC3FC" wp14:editId="6D41ABEC">
            <wp:extent cx="3523834" cy="48039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9742" cy="4839295"/>
                    </a:xfrm>
                    <a:prstGeom prst="rect">
                      <a:avLst/>
                    </a:prstGeom>
                    <a:noFill/>
                    <a:ln>
                      <a:noFill/>
                    </a:ln>
                  </pic:spPr>
                </pic:pic>
              </a:graphicData>
            </a:graphic>
          </wp:inline>
        </w:drawing>
      </w:r>
    </w:p>
    <w:p w14:paraId="3FBE7650" w14:textId="4B5AAE3D" w:rsidR="0087273F" w:rsidRDefault="0087273F" w:rsidP="0087273F">
      <w:pPr>
        <w:pStyle w:val="Caption"/>
        <w:spacing w:after="0"/>
        <w:jc w:val="center"/>
        <w:rPr>
          <w:i w:val="0"/>
        </w:rPr>
      </w:pPr>
      <w:r w:rsidRPr="0087273F">
        <w:rPr>
          <w:b/>
          <w:i w:val="0"/>
        </w:rPr>
        <w:t xml:space="preserve">Figure </w:t>
      </w:r>
      <w:r w:rsidRPr="0087273F">
        <w:rPr>
          <w:b/>
          <w:i w:val="0"/>
        </w:rPr>
        <w:fldChar w:fldCharType="begin"/>
      </w:r>
      <w:r w:rsidRPr="0087273F">
        <w:rPr>
          <w:b/>
          <w:i w:val="0"/>
        </w:rPr>
        <w:instrText xml:space="preserve"> SEQ Figure \* ARABIC </w:instrText>
      </w:r>
      <w:r w:rsidRPr="0087273F">
        <w:rPr>
          <w:b/>
          <w:i w:val="0"/>
        </w:rPr>
        <w:fldChar w:fldCharType="separate"/>
      </w:r>
      <w:r w:rsidR="00776924">
        <w:rPr>
          <w:b/>
          <w:i w:val="0"/>
          <w:noProof/>
        </w:rPr>
        <w:t>1</w:t>
      </w:r>
      <w:r w:rsidRPr="0087273F">
        <w:rPr>
          <w:b/>
          <w:i w:val="0"/>
        </w:rPr>
        <w:fldChar w:fldCharType="end"/>
      </w:r>
      <w:r>
        <w:rPr>
          <w:b/>
          <w:i w:val="0"/>
        </w:rPr>
        <w:t xml:space="preserve">: </w:t>
      </w:r>
      <w:r>
        <w:rPr>
          <w:i w:val="0"/>
        </w:rPr>
        <w:t xml:space="preserve">The schematic of a 4-bit KSA with inputs </w:t>
      </w:r>
      <m:oMath>
        <m:r>
          <w:rPr>
            <w:rFonts w:ascii="Cambria Math" w:hAnsi="Cambria Math"/>
          </w:rPr>
          <m:t>A=1001</m:t>
        </m:r>
      </m:oMath>
      <w:r>
        <w:rPr>
          <w:rFonts w:eastAsiaTheme="minorEastAsia"/>
          <w:i w:val="0"/>
        </w:rPr>
        <w:t xml:space="preserve"> and </w:t>
      </w:r>
      <m:oMath>
        <m:r>
          <w:rPr>
            <w:rFonts w:ascii="Cambria Math" w:eastAsiaTheme="minorEastAsia" w:hAnsi="Cambria Math"/>
          </w:rPr>
          <m:t>B=1100</m:t>
        </m:r>
      </m:oMath>
      <w:r w:rsidR="00BA4174">
        <w:rPr>
          <w:rFonts w:eastAsiaTheme="minorEastAsia"/>
          <w:i w:val="0"/>
        </w:rPr>
        <w:t>, and a carry-in of zero (</w:t>
      </w:r>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in</m:t>
            </m:r>
          </m:sub>
        </m:sSub>
        <m:r>
          <w:rPr>
            <w:rFonts w:ascii="Cambria Math" w:eastAsiaTheme="minorEastAsia" w:hAnsi="Cambria Math"/>
          </w:rPr>
          <m:t>=0</m:t>
        </m:r>
      </m:oMath>
      <w:r w:rsidR="00BA4174">
        <w:rPr>
          <w:rFonts w:eastAsiaTheme="minorEastAsia"/>
          <w:i w:val="0"/>
        </w:rPr>
        <w:t>)</w:t>
      </w:r>
      <w:r>
        <w:rPr>
          <w:i w:val="0"/>
        </w:rPr>
        <w:t>.</w:t>
      </w:r>
    </w:p>
    <w:p w14:paraId="7DA4AB74" w14:textId="77777777" w:rsidR="0087273F" w:rsidRPr="0087273F" w:rsidRDefault="0087273F" w:rsidP="0087273F">
      <w:pPr>
        <w:spacing w:after="0" w:line="240" w:lineRule="auto"/>
      </w:pPr>
    </w:p>
    <w:p w14:paraId="342717BE" w14:textId="7F150221" w:rsidR="002273C7" w:rsidRDefault="0087273F" w:rsidP="0087273F">
      <w:pPr>
        <w:spacing w:after="0" w:line="240" w:lineRule="auto"/>
        <w:rPr>
          <w:u w:val="single"/>
        </w:rPr>
      </w:pPr>
      <w:r>
        <w:rPr>
          <w:u w:val="single"/>
        </w:rPr>
        <w:t>Pre-processing stage:</w:t>
      </w:r>
    </w:p>
    <w:p w14:paraId="63FF95B6" w14:textId="5F1F4C58" w:rsidR="0087273F" w:rsidRDefault="0087273F" w:rsidP="0087273F">
      <w:pPr>
        <w:spacing w:after="0" w:line="240" w:lineRule="auto"/>
        <w:rPr>
          <w:u w:val="single"/>
        </w:rPr>
      </w:pPr>
    </w:p>
    <w:p w14:paraId="108025BB" w14:textId="37DF635E" w:rsidR="0087273F" w:rsidRDefault="0087273F" w:rsidP="0087273F">
      <w:pPr>
        <w:spacing w:after="0" w:line="240" w:lineRule="auto"/>
      </w:pPr>
      <w:r>
        <w:t>The pre-processing stage is illustrated by the red cells in Figure 1. The calculation</w:t>
      </w:r>
      <w:r w:rsidR="00BA4174">
        <w:t>s</w:t>
      </w:r>
      <w:r>
        <w:t xml:space="preserve"> of </w:t>
      </w:r>
      <m:oMath>
        <m:r>
          <w:rPr>
            <w:rFonts w:ascii="Cambria Math" w:hAnsi="Cambria Math"/>
          </w:rPr>
          <m:t>P</m:t>
        </m:r>
      </m:oMath>
      <w:r>
        <w:rPr>
          <w:vertAlign w:val="subscript"/>
        </w:rPr>
        <w:t xml:space="preserve"> </w:t>
      </w:r>
      <w:r>
        <w:t xml:space="preserve">(the propagate bit) and </w:t>
      </w:r>
      <m:oMath>
        <m:r>
          <w:rPr>
            <w:rFonts w:ascii="Cambria Math" w:hAnsi="Cambria Math"/>
          </w:rPr>
          <m:t>G</m:t>
        </m:r>
      </m:oMath>
      <w:r>
        <w:t xml:space="preserve"> (the generate bit) </w:t>
      </w:r>
      <w:r w:rsidR="00BA4174">
        <w:t>are</w:t>
      </w:r>
      <w:r>
        <w:t xml:space="preserve"> based on the following two equations, where </w:t>
      </w:r>
      <m:oMath>
        <m:r>
          <w:rPr>
            <w:rFonts w:ascii="Cambria Math" w:hAnsi="Cambria Math"/>
          </w:rPr>
          <m:t>i∈[0, 1, 2, 3]</m:t>
        </m:r>
      </m:oMath>
      <w:r>
        <w:t>:</w:t>
      </w:r>
    </w:p>
    <w:p w14:paraId="38F6B7DB" w14:textId="6BF82AAB" w:rsidR="0087273F" w:rsidRDefault="0087273F" w:rsidP="0087273F">
      <w:pPr>
        <w:spacing w:after="0" w:line="240" w:lineRule="auto"/>
      </w:pPr>
    </w:p>
    <w:p w14:paraId="2A89C15B" w14:textId="49E6E787" w:rsidR="0087273F" w:rsidRPr="0087273F" w:rsidRDefault="00BA4174" w:rsidP="0087273F">
      <w:pPr>
        <w:spacing w:after="0" w:line="240" w:lineRule="auto"/>
        <w:jc w:val="center"/>
        <w:rPr>
          <w:rFonts w:eastAsiaTheme="minorEastAsia"/>
          <w:i/>
        </w:rPr>
      </w:pPr>
      <m:oMathPara>
        <m:oMath>
          <m:r>
            <w:rPr>
              <w:rFonts w:ascii="Cambria Math" w:hAnsi="Cambria Math"/>
            </w:rPr>
            <w:lastRenderedPageBreak/>
            <m:t>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m:rPr>
              <m:sty m:val="p"/>
            </m:rPr>
            <w:rPr>
              <w:rFonts w:ascii="Cambria Math" w:eastAsiaTheme="minorEastAsia" w:hAnsi="Cambria Math"/>
            </w:rPr>
            <m:t xml:space="preserve">XOR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m:oMathPara>
    </w:p>
    <w:p w14:paraId="7A142D83" w14:textId="45352A5A" w:rsidR="0087273F" w:rsidRPr="0087273F" w:rsidRDefault="00BA4174" w:rsidP="0087273F">
      <w:pPr>
        <w:spacing w:after="0" w:line="240" w:lineRule="auto"/>
        <w:jc w:val="center"/>
        <w:rPr>
          <w:rFonts w:eastAsiaTheme="minorEastAsia"/>
          <w:i/>
        </w:rPr>
      </w:pPr>
      <m:oMathPara>
        <m:oMath>
          <m:r>
            <w:rPr>
              <w:rFonts w:ascii="Cambria Math" w:hAnsi="Cambria Math"/>
            </w:rPr>
            <m:t>G=</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eastAsiaTheme="minorEastAsia" w:hAnsi="Cambria Math"/>
            </w:rPr>
            <m:t xml:space="preserve"> </m:t>
          </m:r>
          <m:r>
            <m:rPr>
              <m:sty m:val="p"/>
            </m:rPr>
            <w:rPr>
              <w:rFonts w:ascii="Cambria Math" w:eastAsiaTheme="minorEastAsia" w:hAnsi="Cambria Math"/>
            </w:rPr>
            <m:t xml:space="preserve">AND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oMath>
      </m:oMathPara>
    </w:p>
    <w:p w14:paraId="32782A87" w14:textId="32D468E1" w:rsidR="0087273F" w:rsidRDefault="0087273F" w:rsidP="0087273F">
      <w:pPr>
        <w:spacing w:after="0" w:line="240" w:lineRule="auto"/>
        <w:rPr>
          <w:u w:val="single"/>
        </w:rPr>
      </w:pPr>
      <w:r>
        <w:rPr>
          <w:u w:val="single"/>
        </w:rPr>
        <w:t>Prefix stage:</w:t>
      </w:r>
    </w:p>
    <w:p w14:paraId="19C85802" w14:textId="35E4F727" w:rsidR="0087273F" w:rsidRDefault="0087273F" w:rsidP="0087273F">
      <w:pPr>
        <w:spacing w:after="0" w:line="240" w:lineRule="auto"/>
        <w:rPr>
          <w:u w:val="single"/>
        </w:rPr>
      </w:pPr>
    </w:p>
    <w:p w14:paraId="0813289F" w14:textId="4E3B7C49" w:rsidR="00BA4174" w:rsidRDefault="00BA4174" w:rsidP="0087273F">
      <w:pPr>
        <w:spacing w:after="0" w:line="240" w:lineRule="auto"/>
        <w:rPr>
          <w:rFonts w:eastAsiaTheme="minorEastAsia"/>
        </w:rPr>
      </w:pPr>
      <w:r>
        <w:t xml:space="preserve">The yellow cells make up the prefix stage in Figure 1. The calculations of </w:t>
      </w:r>
      <m:oMath>
        <m:r>
          <w:rPr>
            <w:rFonts w:ascii="Cambria Math" w:hAnsi="Cambria Math"/>
          </w:rPr>
          <m:t>P</m:t>
        </m:r>
      </m:oMath>
      <w:r>
        <w:rPr>
          <w:rFonts w:eastAsiaTheme="minorEastAsia"/>
        </w:rPr>
        <w:t xml:space="preserve"> and </w:t>
      </w:r>
      <m:oMath>
        <m:r>
          <w:rPr>
            <w:rFonts w:ascii="Cambria Math" w:eastAsiaTheme="minorEastAsia" w:hAnsi="Cambria Math"/>
          </w:rPr>
          <m:t>G</m:t>
        </m:r>
      </m:oMath>
      <w:r>
        <w:rPr>
          <w:rFonts w:eastAsiaTheme="minorEastAsia"/>
        </w:rPr>
        <w:t xml:space="preserve"> are based on the following equations:</w:t>
      </w:r>
    </w:p>
    <w:p w14:paraId="5B1BD143" w14:textId="5537E1E3" w:rsidR="00BA4174" w:rsidRDefault="00BA4174" w:rsidP="0087273F">
      <w:pPr>
        <w:spacing w:after="0" w:line="240" w:lineRule="auto"/>
        <w:rPr>
          <w:rFonts w:eastAsiaTheme="minorEastAsia"/>
        </w:rPr>
      </w:pPr>
    </w:p>
    <w:p w14:paraId="5BE1A68B" w14:textId="782CEDA0" w:rsidR="00BA4174" w:rsidRPr="00BA4174" w:rsidRDefault="00BA4174" w:rsidP="0087273F">
      <w:pPr>
        <w:spacing w:after="0" w:line="240" w:lineRule="auto"/>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 </m:t>
          </m:r>
          <m:r>
            <m:rPr>
              <m:sty m:val="p"/>
            </m:rPr>
            <w:rPr>
              <w:rFonts w:ascii="Cambria Math" w:eastAsiaTheme="minorEastAsia" w:hAnsi="Cambria Math"/>
            </w:rPr>
            <m:t xml:space="preserve">AND </m:t>
          </m:r>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 prev</m:t>
              </m:r>
            </m:sub>
          </m:sSub>
        </m:oMath>
      </m:oMathPara>
    </w:p>
    <w:p w14:paraId="6EA4F8F3" w14:textId="557DE0C9" w:rsidR="00BA4174" w:rsidRPr="00BA4174" w:rsidRDefault="00BA4174" w:rsidP="0087273F">
      <w:pPr>
        <w:spacing w:after="0" w:line="240" w:lineRule="auto"/>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 </m:t>
              </m:r>
              <m:r>
                <m:rPr>
                  <m:sty m:val="p"/>
                </m:rPr>
                <w:rPr>
                  <w:rFonts w:ascii="Cambria Math" w:eastAsiaTheme="minorEastAsia" w:hAnsi="Cambria Math"/>
                </w:rPr>
                <m:t xml:space="preserve">AND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 prev</m:t>
                  </m:r>
                </m:sub>
              </m:sSub>
            </m:e>
          </m:d>
          <m:r>
            <w:rPr>
              <w:rFonts w:ascii="Cambria Math" w:eastAsiaTheme="minorEastAsia" w:hAnsi="Cambria Math"/>
            </w:rPr>
            <m:t xml:space="preserve"> </m:t>
          </m:r>
          <m:r>
            <m:rPr>
              <m:sty m:val="p"/>
            </m:rPr>
            <w:rPr>
              <w:rFonts w:ascii="Cambria Math" w:eastAsiaTheme="minorEastAsia" w:hAnsi="Cambria Math"/>
            </w:rPr>
            <m:t xml:space="preserve">OR </m:t>
          </m:r>
          <m:sSub>
            <m:sSubPr>
              <m:ctrlPr>
                <w:rPr>
                  <w:rFonts w:ascii="Cambria Math" w:eastAsiaTheme="minorEastAsia" w:hAnsi="Cambria Math"/>
                </w:rPr>
              </m:ctrlPr>
            </m:sSubPr>
            <m:e>
              <m:r>
                <w:rPr>
                  <w:rFonts w:ascii="Cambria Math" w:eastAsiaTheme="minorEastAsia" w:hAnsi="Cambria Math"/>
                </w:rPr>
                <m:t>G</m:t>
              </m:r>
            </m:e>
            <m:sub>
              <m:r>
                <w:rPr>
                  <w:rFonts w:ascii="Cambria Math" w:eastAsiaTheme="minorEastAsia" w:hAnsi="Cambria Math"/>
                </w:rPr>
                <m:t>i</m:t>
              </m:r>
            </m:sub>
          </m:sSub>
          <m:r>
            <m:rPr>
              <m:sty m:val="p"/>
            </m:rPr>
            <w:rPr>
              <w:rFonts w:ascii="Cambria Math" w:eastAsiaTheme="minorEastAsia" w:hAnsi="Cambria Math"/>
            </w:rPr>
            <m:t>.</m:t>
          </m:r>
        </m:oMath>
      </m:oMathPara>
    </w:p>
    <w:p w14:paraId="59255350" w14:textId="07FA0B2B" w:rsidR="00BA4174" w:rsidRDefault="00BA4174" w:rsidP="0087273F">
      <w:pPr>
        <w:spacing w:after="0" w:line="240" w:lineRule="auto"/>
        <w:rPr>
          <w:rFonts w:eastAsiaTheme="minorEastAsia"/>
        </w:rPr>
      </w:pPr>
    </w:p>
    <w:p w14:paraId="1E8B21B4" w14:textId="6ABA4687" w:rsidR="00BA4174" w:rsidRDefault="00BA4174" w:rsidP="00424055">
      <w:pPr>
        <w:spacing w:after="0" w:line="240" w:lineRule="auto"/>
        <w:rPr>
          <w:rFonts w:eastAsiaTheme="minorEastAsia"/>
        </w:rPr>
      </w:pPr>
      <w:r>
        <w:rPr>
          <w:rFonts w:eastAsiaTheme="minorEastAsia"/>
        </w:rPr>
        <w:t xml:space="preserve">Note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Pr>
          <w:rFonts w:eastAsiaTheme="minorEastAsia"/>
        </w:rPr>
        <w:t xml:space="preserve"> here refer to the propagate and generate bits directly vertical to the current cell, while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 prev</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 prev</m:t>
            </m:r>
          </m:sub>
        </m:sSub>
      </m:oMath>
      <w:r>
        <w:rPr>
          <w:rFonts w:eastAsiaTheme="minorEastAsia"/>
        </w:rPr>
        <w:t xml:space="preserve"> are diagonal.</w:t>
      </w:r>
    </w:p>
    <w:p w14:paraId="0730862F" w14:textId="6B986415" w:rsidR="00D67AC4" w:rsidRDefault="00D67AC4" w:rsidP="00424055">
      <w:pPr>
        <w:spacing w:after="0" w:line="240" w:lineRule="auto"/>
        <w:rPr>
          <w:rFonts w:eastAsiaTheme="minorEastAsia"/>
        </w:rPr>
      </w:pPr>
    </w:p>
    <w:p w14:paraId="69C42302" w14:textId="77777777" w:rsidR="00D67AC4" w:rsidRDefault="00D67AC4" w:rsidP="00D67AC4">
      <w:pPr>
        <w:spacing w:after="0" w:line="240" w:lineRule="auto"/>
      </w:pPr>
      <w:r>
        <w:t>The green cells in Figure 1 can be thought of as intermediate steps of the prefix stage. The propagate and generate bits are simply the corresponding bits directly vertical to the cell:</w:t>
      </w:r>
    </w:p>
    <w:p w14:paraId="247FFB50" w14:textId="77777777" w:rsidR="00D67AC4" w:rsidRDefault="00D67AC4" w:rsidP="00D67AC4">
      <w:pPr>
        <w:spacing w:after="0" w:line="240" w:lineRule="auto"/>
      </w:pPr>
    </w:p>
    <w:p w14:paraId="5CD90201" w14:textId="77777777" w:rsidR="00D67AC4" w:rsidRPr="00424055" w:rsidRDefault="00D67AC4" w:rsidP="00D67AC4">
      <w:pPr>
        <w:spacing w:after="0" w:line="240" w:lineRule="auto"/>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0C2EC751" w14:textId="77777777" w:rsidR="00D67AC4" w:rsidRPr="00424055" w:rsidRDefault="00D67AC4" w:rsidP="00D67AC4">
      <w:pPr>
        <w:spacing w:after="0" w:line="240" w:lineRule="auto"/>
        <w:rPr>
          <w:rFonts w:eastAsiaTheme="minorEastAsia"/>
        </w:rPr>
      </w:pPr>
      <m:oMathPara>
        <m:oMath>
          <m:r>
            <w:rPr>
              <w:rFonts w:ascii="Cambria Math" w:hAnsi="Cambria Math"/>
            </w:rPr>
            <m:t>G=</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oMath>
      </m:oMathPara>
    </w:p>
    <w:p w14:paraId="3ECAE650" w14:textId="08F253AC" w:rsidR="00BA4174" w:rsidRDefault="00BA4174" w:rsidP="00424055">
      <w:pPr>
        <w:spacing w:after="0" w:line="240" w:lineRule="auto"/>
        <w:rPr>
          <w:rFonts w:eastAsiaTheme="minorEastAsia"/>
        </w:rPr>
      </w:pPr>
    </w:p>
    <w:p w14:paraId="5380A155" w14:textId="3F92ADF3" w:rsidR="00BA4174" w:rsidRDefault="00BA4174" w:rsidP="00424055">
      <w:pPr>
        <w:spacing w:after="0" w:line="240" w:lineRule="auto"/>
        <w:rPr>
          <w:rFonts w:eastAsiaTheme="minorEastAsia"/>
          <w:u w:val="single"/>
        </w:rPr>
      </w:pPr>
      <w:r>
        <w:rPr>
          <w:rFonts w:eastAsiaTheme="minorEastAsia"/>
          <w:u w:val="single"/>
        </w:rPr>
        <w:t>Final computation stage:</w:t>
      </w:r>
    </w:p>
    <w:p w14:paraId="7928085C" w14:textId="0FD59D66" w:rsidR="00BA4174" w:rsidRDefault="00BA4174" w:rsidP="00424055">
      <w:pPr>
        <w:spacing w:after="0" w:line="240" w:lineRule="auto"/>
        <w:rPr>
          <w:rFonts w:eastAsiaTheme="minorEastAsia"/>
          <w:u w:val="single"/>
        </w:rPr>
      </w:pPr>
    </w:p>
    <w:p w14:paraId="1103FBCB" w14:textId="0D9FD433" w:rsidR="00BA4174" w:rsidRPr="00BA4174" w:rsidRDefault="00BA4174" w:rsidP="00424055">
      <w:pPr>
        <w:spacing w:after="0" w:line="240" w:lineRule="auto"/>
        <w:rPr>
          <w:rFonts w:eastAsiaTheme="minorEastAsia"/>
        </w:rPr>
      </w:pPr>
      <w:r>
        <w:rPr>
          <w:rFonts w:eastAsiaTheme="minorEastAsia"/>
        </w:rPr>
        <w:t>The sum and carry bits are computed in th</w:t>
      </w:r>
      <w:r w:rsidR="00424055">
        <w:rPr>
          <w:rFonts w:eastAsiaTheme="minorEastAsia"/>
        </w:rPr>
        <w:t>e</w:t>
      </w:r>
      <w:r>
        <w:rPr>
          <w:rFonts w:eastAsiaTheme="minorEastAsia"/>
        </w:rPr>
        <w:t xml:space="preserve"> final stage. </w:t>
      </w:r>
      <w:r w:rsidR="00424055">
        <w:rPr>
          <w:rFonts w:eastAsiaTheme="minorEastAsia"/>
        </w:rPr>
        <w:t xml:space="preserve">Each </w:t>
      </w:r>
      <w:r>
        <w:rPr>
          <w:rFonts w:eastAsiaTheme="minorEastAsia"/>
        </w:rPr>
        <w:t xml:space="preserve">carry bit </w:t>
      </w:r>
      <w:r w:rsidR="00424055">
        <w:rPr>
          <w:rFonts w:eastAsiaTheme="minorEastAsia"/>
        </w:rPr>
        <w:t>corresponds directly to a generate bit while each sum bit is a function of the propagate bit and the previous carry bit:</w:t>
      </w:r>
    </w:p>
    <w:p w14:paraId="115F5C1A" w14:textId="77777777" w:rsidR="002273C7" w:rsidRPr="00424055" w:rsidRDefault="002273C7" w:rsidP="00424055">
      <w:pPr>
        <w:spacing w:after="0" w:line="240" w:lineRule="auto"/>
        <w:rPr>
          <w:sz w:val="20"/>
        </w:rPr>
      </w:pPr>
    </w:p>
    <w:p w14:paraId="735470F5" w14:textId="2D831BB0" w:rsidR="00402F5F" w:rsidRPr="00424055" w:rsidRDefault="00D95FBB" w:rsidP="00424055">
      <w:pPr>
        <w:spacing w:after="0" w:line="240" w:lineRule="auto"/>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m:oMathPara>
    </w:p>
    <w:p w14:paraId="19C9FE4A" w14:textId="2CE8E7E8" w:rsidR="00424055" w:rsidRPr="00424055" w:rsidRDefault="00D95FBB" w:rsidP="00424055">
      <w:pPr>
        <w:spacing w:after="0" w:line="240" w:lineRule="auto"/>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r>
            <m:rPr>
              <m:sty m:val="p"/>
            </m:rPr>
            <w:rPr>
              <w:rFonts w:ascii="Cambria Math" w:hAnsi="Cambria Math"/>
            </w:rPr>
            <m:t xml:space="preserve">XOR </m:t>
          </m:r>
          <m:sSub>
            <m:sSubPr>
              <m:ctrlPr>
                <w:rPr>
                  <w:rFonts w:ascii="Cambria Math" w:hAnsi="Cambria Math"/>
                  <w:i/>
                </w:rPr>
              </m:ctrlPr>
            </m:sSubPr>
            <m:e>
              <m:r>
                <w:rPr>
                  <w:rFonts w:ascii="Cambria Math" w:hAnsi="Cambria Math"/>
                </w:rPr>
                <m:t>C</m:t>
              </m:r>
            </m:e>
            <m:sub>
              <m:r>
                <w:rPr>
                  <w:rFonts w:ascii="Cambria Math" w:hAnsi="Cambria Math"/>
                </w:rPr>
                <m:t>i-1</m:t>
              </m:r>
            </m:sub>
          </m:sSub>
          <m:r>
            <m:rPr>
              <m:sty m:val="p"/>
            </m:rPr>
            <w:rPr>
              <w:rFonts w:ascii="Cambria Math" w:hAnsi="Cambria Math"/>
            </w:rPr>
            <m:t>.</m:t>
          </m:r>
        </m:oMath>
      </m:oMathPara>
    </w:p>
    <w:p w14:paraId="2559C2D0" w14:textId="64A954FD" w:rsidR="00424055" w:rsidRDefault="00424055" w:rsidP="00424055">
      <w:pPr>
        <w:spacing w:after="0" w:line="240" w:lineRule="auto"/>
      </w:pPr>
    </w:p>
    <w:p w14:paraId="4F2E5828" w14:textId="2E0E05F0" w:rsidR="00D67AC4" w:rsidRPr="00D67AC4" w:rsidRDefault="00D67AC4" w:rsidP="00424055">
      <w:pPr>
        <w:spacing w:after="0" w:line="240" w:lineRule="auto"/>
        <w:rPr>
          <w:u w:val="single"/>
        </w:rPr>
      </w:pPr>
      <w:r>
        <w:rPr>
          <w:u w:val="single"/>
        </w:rPr>
        <w:t>Expansion:</w:t>
      </w:r>
    </w:p>
    <w:p w14:paraId="4AA038AE" w14:textId="77777777" w:rsidR="00D67AC4" w:rsidRDefault="00D67AC4" w:rsidP="00424055">
      <w:pPr>
        <w:spacing w:after="0" w:line="240" w:lineRule="auto"/>
      </w:pPr>
    </w:p>
    <w:p w14:paraId="03F1B0EB" w14:textId="366FA7A3" w:rsidR="00D67AC4" w:rsidRDefault="00D67AC4" w:rsidP="00424055">
      <w:pPr>
        <w:spacing w:after="0" w:line="240" w:lineRule="auto"/>
      </w:pPr>
      <w:r>
        <w:t>The KSA can be expanded to support higher-bit additions. The schematic of a 16-bit adder is shown in Figure 2 below.</w:t>
      </w:r>
    </w:p>
    <w:p w14:paraId="747EF0C7" w14:textId="44E7F6F5" w:rsidR="00D67AC4" w:rsidRDefault="00D67AC4" w:rsidP="00424055">
      <w:pPr>
        <w:spacing w:after="0" w:line="240" w:lineRule="auto"/>
      </w:pPr>
    </w:p>
    <w:p w14:paraId="558BD139" w14:textId="77777777" w:rsidR="00D67AC4" w:rsidRDefault="00D67AC4" w:rsidP="00D67AC4">
      <w:pPr>
        <w:keepNext/>
        <w:spacing w:after="0" w:line="240" w:lineRule="auto"/>
        <w:jc w:val="center"/>
      </w:pPr>
      <w:r>
        <w:rPr>
          <w:noProof/>
        </w:rPr>
        <w:drawing>
          <wp:inline distT="0" distB="0" distL="0" distR="0" wp14:anchorId="78E11434" wp14:editId="6DD108B9">
            <wp:extent cx="5838825" cy="2314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38825" cy="2314575"/>
                    </a:xfrm>
                    <a:prstGeom prst="rect">
                      <a:avLst/>
                    </a:prstGeom>
                  </pic:spPr>
                </pic:pic>
              </a:graphicData>
            </a:graphic>
          </wp:inline>
        </w:drawing>
      </w:r>
    </w:p>
    <w:p w14:paraId="11F9E7CE" w14:textId="48B37968" w:rsidR="00D67AC4" w:rsidRDefault="00D67AC4" w:rsidP="00D67AC4">
      <w:pPr>
        <w:pStyle w:val="Caption"/>
        <w:spacing w:after="0"/>
        <w:jc w:val="center"/>
        <w:rPr>
          <w:i w:val="0"/>
        </w:rPr>
      </w:pPr>
      <w:r w:rsidRPr="00D67AC4">
        <w:rPr>
          <w:b/>
          <w:i w:val="0"/>
        </w:rPr>
        <w:t xml:space="preserve">Figure </w:t>
      </w:r>
      <w:r w:rsidRPr="00D67AC4">
        <w:rPr>
          <w:b/>
          <w:i w:val="0"/>
        </w:rPr>
        <w:fldChar w:fldCharType="begin"/>
      </w:r>
      <w:r w:rsidRPr="00D67AC4">
        <w:rPr>
          <w:b/>
          <w:i w:val="0"/>
        </w:rPr>
        <w:instrText xml:space="preserve"> SEQ Figure \* ARABIC </w:instrText>
      </w:r>
      <w:r w:rsidRPr="00D67AC4">
        <w:rPr>
          <w:b/>
          <w:i w:val="0"/>
        </w:rPr>
        <w:fldChar w:fldCharType="separate"/>
      </w:r>
      <w:r w:rsidR="00776924">
        <w:rPr>
          <w:b/>
          <w:i w:val="0"/>
          <w:noProof/>
        </w:rPr>
        <w:t>2</w:t>
      </w:r>
      <w:r w:rsidRPr="00D67AC4">
        <w:rPr>
          <w:b/>
          <w:i w:val="0"/>
        </w:rPr>
        <w:fldChar w:fldCharType="end"/>
      </w:r>
      <w:r>
        <w:rPr>
          <w:b/>
          <w:i w:val="0"/>
        </w:rPr>
        <w:t xml:space="preserve">: </w:t>
      </w:r>
      <w:r>
        <w:rPr>
          <w:i w:val="0"/>
        </w:rPr>
        <w:t xml:space="preserve">The schematic of a 16-bit </w:t>
      </w:r>
      <w:r w:rsidR="0000262C">
        <w:rPr>
          <w:i w:val="0"/>
        </w:rPr>
        <w:t>KSA</w:t>
      </w:r>
      <w:r>
        <w:rPr>
          <w:i w:val="0"/>
        </w:rPr>
        <w:t>.</w:t>
      </w:r>
    </w:p>
    <w:p w14:paraId="38917250" w14:textId="6A231D9F" w:rsidR="00D67AC4" w:rsidRDefault="00D67AC4" w:rsidP="00D67AC4">
      <w:pPr>
        <w:spacing w:after="0" w:line="240" w:lineRule="auto"/>
      </w:pPr>
    </w:p>
    <w:p w14:paraId="60344BBB" w14:textId="0E4E4BF7" w:rsidR="00D67AC4" w:rsidRDefault="00D67AC4" w:rsidP="00D67AC4">
      <w:pPr>
        <w:spacing w:after="0" w:line="240" w:lineRule="auto"/>
        <w:rPr>
          <w:rFonts w:eastAsiaTheme="minorEastAsia"/>
        </w:rPr>
      </w:pPr>
      <w:r>
        <w:lastRenderedPageBreak/>
        <w:t xml:space="preserve">Note how with each passing level in the prefix stage the distance between a cell and the connected diagonal cell in the previous level increases by </w:t>
      </w:r>
      <m:oMath>
        <m:sSup>
          <m:sSupPr>
            <m:ctrlPr>
              <w:rPr>
                <w:rFonts w:ascii="Cambria Math" w:hAnsi="Cambria Math"/>
                <w:i/>
              </w:rPr>
            </m:ctrlPr>
          </m:sSupPr>
          <m:e>
            <m:r>
              <w:rPr>
                <w:rFonts w:ascii="Cambria Math" w:hAnsi="Cambria Math"/>
              </w:rPr>
              <m:t>2</m:t>
            </m:r>
          </m:e>
          <m:sup>
            <m:r>
              <w:rPr>
                <w:rFonts w:ascii="Cambria Math" w:hAnsi="Cambria Math"/>
              </w:rPr>
              <m:t>m-1</m:t>
            </m:r>
          </m:sup>
        </m:sSup>
      </m:oMath>
      <w:r>
        <w:rPr>
          <w:rFonts w:eastAsiaTheme="minorEastAsia"/>
        </w:rPr>
        <w:t xml:space="preserve">, where </w:t>
      </w:r>
      <m:oMath>
        <m:r>
          <w:rPr>
            <w:rFonts w:ascii="Cambria Math" w:eastAsiaTheme="minorEastAsia" w:hAnsi="Cambria Math"/>
          </w:rPr>
          <m:t>m</m:t>
        </m:r>
      </m:oMath>
      <w:r>
        <w:rPr>
          <w:rFonts w:eastAsiaTheme="minorEastAsia"/>
        </w:rPr>
        <w:t xml:space="preserve"> is the current level number with the first level being one. </w:t>
      </w:r>
      <w:r w:rsidR="003F19DD">
        <w:rPr>
          <w:rFonts w:eastAsiaTheme="minorEastAsia"/>
        </w:rPr>
        <w:t xml:space="preserve">Similarly, </w:t>
      </w:r>
      <w:r w:rsidR="0026038C">
        <w:rPr>
          <w:rFonts w:eastAsiaTheme="minorEastAsia"/>
        </w:rPr>
        <w:t xml:space="preserve">each level in the prefix stage has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m-1</m:t>
            </m:r>
          </m:sup>
        </m:sSup>
      </m:oMath>
      <w:r w:rsidR="0026038C">
        <w:rPr>
          <w:rFonts w:eastAsiaTheme="minorEastAsia"/>
        </w:rPr>
        <w:t xml:space="preserve"> green cells, or cells where the propagate and generate bits directly above are simply carried through.</w:t>
      </w:r>
      <w:r w:rsidR="005176ED">
        <w:rPr>
          <w:rFonts w:eastAsiaTheme="minorEastAsia"/>
        </w:rPr>
        <w:t xml:space="preserve"> Finally, the number of required levels in the prefix stage can be computed by taking the base-2 logarithm of the adder size (</w:t>
      </w:r>
      <m:oMath>
        <m:r>
          <w:rPr>
            <w:rFonts w:ascii="Cambria Math" w:eastAsiaTheme="minorEastAsia" w:hAnsi="Cambria Math"/>
          </w:rPr>
          <m:t>n</m:t>
        </m:r>
      </m:oMath>
      <w:r w:rsidR="005176ED">
        <w:rPr>
          <w:rFonts w:eastAsiaTheme="minorEastAsia"/>
        </w:rPr>
        <w:t>):</w:t>
      </w:r>
    </w:p>
    <w:p w14:paraId="6CC5032B" w14:textId="7AA38595" w:rsidR="005176ED" w:rsidRDefault="005176ED" w:rsidP="00D67AC4">
      <w:pPr>
        <w:spacing w:after="0" w:line="240" w:lineRule="auto"/>
        <w:rPr>
          <w:rFonts w:eastAsiaTheme="minorEastAsia"/>
        </w:rPr>
      </w:pPr>
    </w:p>
    <w:p w14:paraId="6E4897B1" w14:textId="37338433" w:rsidR="005176ED" w:rsidRPr="005176ED" w:rsidRDefault="005176ED" w:rsidP="00D67AC4">
      <w:pPr>
        <w:spacing w:after="0" w:line="240" w:lineRule="auto"/>
        <w:rPr>
          <w:rFonts w:eastAsiaTheme="minorEastAsia"/>
        </w:rPr>
      </w:pPr>
      <m:oMathPara>
        <m:oMath>
          <m:r>
            <w:rPr>
              <w:rFonts w:ascii="Cambria Math" w:eastAsiaTheme="minorEastAsia" w:hAnsi="Cambria Math"/>
            </w:rPr>
            <m:t xml:space="preserve"># </m:t>
          </m:r>
          <m:r>
            <m:rPr>
              <m:sty m:val="p"/>
            </m:rPr>
            <w:rPr>
              <w:rFonts w:ascii="Cambria Math" w:eastAsiaTheme="minorEastAsia" w:hAnsi="Cambria Math"/>
            </w:rPr>
            <m:t>of levels in prefix stage=</m:t>
          </m:r>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r>
            <w:rPr>
              <w:rFonts w:ascii="Cambria Math" w:eastAsiaTheme="minorEastAsia" w:hAnsi="Cambria Math"/>
            </w:rPr>
            <m:t>.</m:t>
          </m:r>
        </m:oMath>
      </m:oMathPara>
    </w:p>
    <w:p w14:paraId="0A7A447E" w14:textId="0FA2444F" w:rsidR="00475326" w:rsidRDefault="00475326" w:rsidP="00D67AC4">
      <w:pPr>
        <w:spacing w:after="0" w:line="240" w:lineRule="auto"/>
      </w:pPr>
    </w:p>
    <w:p w14:paraId="5F233675" w14:textId="70638AFA" w:rsidR="00475326" w:rsidRDefault="00475326" w:rsidP="00D67AC4">
      <w:pPr>
        <w:spacing w:after="0" w:line="240" w:lineRule="auto"/>
        <w:rPr>
          <w:u w:val="single"/>
        </w:rPr>
      </w:pPr>
      <w:r>
        <w:rPr>
          <w:u w:val="single"/>
        </w:rPr>
        <w:t>Enhancements:</w:t>
      </w:r>
    </w:p>
    <w:p w14:paraId="35D7823F" w14:textId="27AC743E" w:rsidR="00475326" w:rsidRDefault="00475326" w:rsidP="00D67AC4">
      <w:pPr>
        <w:spacing w:after="0" w:line="240" w:lineRule="auto"/>
        <w:rPr>
          <w:u w:val="single"/>
        </w:rPr>
      </w:pPr>
    </w:p>
    <w:p w14:paraId="1DF441B2" w14:textId="5EC986D2" w:rsidR="00475326" w:rsidRPr="00475326" w:rsidRDefault="00475326" w:rsidP="00D67AC4">
      <w:pPr>
        <w:spacing w:after="0" w:line="240" w:lineRule="auto"/>
      </w:pPr>
      <w:r>
        <w:t xml:space="preserve">Enhancements to the original implementation include increasing the radix and sparsity of the adder. The </w:t>
      </w:r>
      <w:r>
        <w:rPr>
          <w:i/>
        </w:rPr>
        <w:t xml:space="preserve">radix </w:t>
      </w:r>
      <w:r>
        <w:t xml:space="preserve">of the adder refers to how many results from the previous level of computation are used to generate the next one. The original implementation uses radix-2, although it is possible to create radix-4 and higher. Doing so increases the power and delay of each level, but reduces the number of required levels. In the sparse KSA, the </w:t>
      </w:r>
      <w:r>
        <w:rPr>
          <w:i/>
        </w:rPr>
        <w:t xml:space="preserve">sparsity </w:t>
      </w:r>
      <w:r>
        <w:t xml:space="preserve">of the adder refers to how many carry bits are generated by the carry tree. Generating every carry bit is called sparsity-1, whereas generating every other is sparsity-2 and every fourth is sparsity-4. </w:t>
      </w:r>
      <w:r w:rsidRPr="00475326">
        <w:t>The resulting carries are then used as the carry-in inputs for much shorter ripple carry adders or some other adder design, which generates the final sum bits. Increasing sparsity reduces the total needed computation and can reduce the amount of routing congestion.</w:t>
      </w:r>
      <w:r>
        <w:t xml:space="preserve"> Figure 2 is an example of a KSA with sparsity-4. Cells eliminated by sparsity are shown as transparent. </w:t>
      </w:r>
      <w:r w:rsidR="00423D02">
        <w:t>The</w:t>
      </w:r>
      <w:r w:rsidR="00423D02" w:rsidRPr="00423D02">
        <w:t xml:space="preserve"> power and area of the carry generation is improved significantly, and routing congestion is substantially reduced. Each generated carry feeds a multiplexer for a carry select adder or the carry-in of a ripple carry adder.</w:t>
      </w:r>
    </w:p>
    <w:p w14:paraId="2CAE927A" w14:textId="074F5D70" w:rsidR="00424055" w:rsidRDefault="00424055" w:rsidP="00D67AC4">
      <w:pPr>
        <w:spacing w:after="0" w:line="240" w:lineRule="auto"/>
        <w:rPr>
          <w:sz w:val="20"/>
        </w:rPr>
      </w:pPr>
    </w:p>
    <w:p w14:paraId="0AC04F6F" w14:textId="26EF3354" w:rsidR="00A2674F" w:rsidRDefault="00A2674F" w:rsidP="00D67AC4">
      <w:pPr>
        <w:spacing w:after="0" w:line="240" w:lineRule="auto"/>
        <w:rPr>
          <w:u w:val="single"/>
        </w:rPr>
      </w:pPr>
      <w:r>
        <w:rPr>
          <w:u w:val="single"/>
        </w:rPr>
        <w:t>4-Bit KSA Implementation:</w:t>
      </w:r>
    </w:p>
    <w:p w14:paraId="454D5DB8" w14:textId="44114199" w:rsidR="00A2674F" w:rsidRDefault="00A2674F" w:rsidP="00D67AC4">
      <w:pPr>
        <w:spacing w:after="0" w:line="240" w:lineRule="auto"/>
        <w:rPr>
          <w:u w:val="single"/>
        </w:rPr>
      </w:pPr>
    </w:p>
    <w:p w14:paraId="650E57AE" w14:textId="34B1CD33" w:rsidR="00A2674F" w:rsidRDefault="002B2B5B" w:rsidP="00D67AC4">
      <w:pPr>
        <w:spacing w:after="0" w:line="240" w:lineRule="auto"/>
      </w:pPr>
      <w:r>
        <w:t xml:space="preserve">Sample </w:t>
      </w:r>
      <w:r w:rsidR="00A2674F">
        <w:t xml:space="preserve">Verilog code for the implementation of </w:t>
      </w:r>
      <w:r>
        <w:t>the</w:t>
      </w:r>
      <w:r w:rsidR="00A2674F">
        <w:t xml:space="preserve"> 4-bit KSA is provided below.</w:t>
      </w:r>
    </w:p>
    <w:p w14:paraId="06D1196D" w14:textId="1EC91D2D" w:rsidR="00A2674F" w:rsidRDefault="00A2674F" w:rsidP="00D67AC4">
      <w:pPr>
        <w:spacing w:after="0" w:line="240" w:lineRule="auto"/>
      </w:pPr>
    </w:p>
    <w:p w14:paraId="24711221" w14:textId="46747AF2" w:rsidR="00A2674F" w:rsidRDefault="00A2674F" w:rsidP="00D67AC4">
      <w:pPr>
        <w:spacing w:after="0" w:line="240" w:lineRule="auto"/>
        <w:rPr>
          <w:rFonts w:ascii="Courier New" w:hAnsi="Courier New" w:cs="Courier New"/>
        </w:rPr>
      </w:pPr>
      <w:r>
        <w:rPr>
          <w:rFonts w:ascii="Courier New" w:hAnsi="Courier New" w:cs="Courier New"/>
        </w:rPr>
        <w:t>S0 = (A0^B0)^Cin;</w:t>
      </w:r>
    </w:p>
    <w:p w14:paraId="5109741F" w14:textId="04C96329" w:rsidR="00A2674F" w:rsidRDefault="00A2674F" w:rsidP="00D67AC4">
      <w:pPr>
        <w:spacing w:after="0" w:line="240" w:lineRule="auto"/>
        <w:rPr>
          <w:rFonts w:ascii="Courier New" w:hAnsi="Courier New" w:cs="Courier New"/>
        </w:rPr>
      </w:pPr>
      <w:r>
        <w:rPr>
          <w:rFonts w:ascii="Courier New" w:hAnsi="Courier New" w:cs="Courier New"/>
        </w:rPr>
        <w:t>S1 = (A1^B1)^((A0&amp;B0)|(A0</w:t>
      </w:r>
      <w:r w:rsidR="00961351">
        <w:rPr>
          <w:rFonts w:ascii="Courier New" w:hAnsi="Courier New" w:cs="Courier New"/>
        </w:rPr>
        <w:t>^</w:t>
      </w:r>
      <w:r>
        <w:rPr>
          <w:rFonts w:ascii="Courier New" w:hAnsi="Courier New" w:cs="Courier New"/>
        </w:rPr>
        <w:t>B0</w:t>
      </w:r>
      <w:r w:rsidR="008169F3">
        <w:rPr>
          <w:rFonts w:ascii="Courier New" w:hAnsi="Courier New" w:cs="Courier New"/>
        </w:rPr>
        <w:t>)</w:t>
      </w:r>
      <w:r>
        <w:rPr>
          <w:rFonts w:ascii="Courier New" w:hAnsi="Courier New" w:cs="Courier New"/>
        </w:rPr>
        <w:t>&amp;Cin);</w:t>
      </w:r>
    </w:p>
    <w:p w14:paraId="2C1AB456" w14:textId="542C6B30" w:rsidR="00A2674F" w:rsidRDefault="00A2674F" w:rsidP="00D67AC4">
      <w:pPr>
        <w:spacing w:after="0" w:line="240" w:lineRule="auto"/>
        <w:rPr>
          <w:rFonts w:ascii="Courier New" w:hAnsi="Courier New" w:cs="Courier New"/>
        </w:rPr>
      </w:pPr>
      <w:r>
        <w:rPr>
          <w:rFonts w:ascii="Courier New" w:hAnsi="Courier New" w:cs="Courier New"/>
        </w:rPr>
        <w:t>S2 = (A2^B2)^(((A1^B1)&amp;((A0&amp;B0)|(A0^B0)&amp;Cin))|(A1&amp;B1));</w:t>
      </w:r>
    </w:p>
    <w:p w14:paraId="42D89C78" w14:textId="77777777" w:rsidR="002B2B5B" w:rsidRDefault="00A2674F" w:rsidP="00D67AC4">
      <w:pPr>
        <w:spacing w:after="0" w:line="240" w:lineRule="auto"/>
        <w:rPr>
          <w:rFonts w:ascii="Courier New" w:hAnsi="Courier New" w:cs="Courier New"/>
        </w:rPr>
      </w:pPr>
      <w:r>
        <w:rPr>
          <w:rFonts w:ascii="Courier New" w:hAnsi="Courier New" w:cs="Courier New"/>
        </w:rPr>
        <w:t>S3 = (A3^B3)^((((A2^B2)&amp;(A1^B1))&amp;((A0</w:t>
      </w:r>
      <w:r w:rsidR="002B2B5B">
        <w:rPr>
          <w:rFonts w:ascii="Courier New" w:hAnsi="Courier New" w:cs="Courier New"/>
        </w:rPr>
        <w:t>&amp;B0)|(A0^B0)&amp;Cin))|(((A2^B2)</w:t>
      </w:r>
    </w:p>
    <w:p w14:paraId="7560B006" w14:textId="4C3CF913" w:rsidR="002B2B5B" w:rsidRDefault="002B2B5B" w:rsidP="00D67AC4">
      <w:pPr>
        <w:spacing w:after="0" w:line="240" w:lineRule="auto"/>
        <w:rPr>
          <w:rFonts w:ascii="Courier New" w:hAnsi="Courier New" w:cs="Courier New"/>
        </w:rPr>
      </w:pPr>
      <w:r>
        <w:rPr>
          <w:rFonts w:ascii="Courier New" w:hAnsi="Courier New" w:cs="Courier New"/>
        </w:rPr>
        <w:t xml:space="preserve">     &amp;(A1&amp;B1))|(A2&amp;B2)));</w:t>
      </w:r>
    </w:p>
    <w:p w14:paraId="15ACD3D1" w14:textId="02F8A987" w:rsidR="002B2B5B" w:rsidRDefault="002B2B5B" w:rsidP="00D67AC4">
      <w:pPr>
        <w:spacing w:after="0" w:line="240" w:lineRule="auto"/>
        <w:rPr>
          <w:rFonts w:ascii="Courier New" w:hAnsi="Courier New" w:cs="Courier New"/>
        </w:rPr>
      </w:pPr>
      <w:r>
        <w:rPr>
          <w:rFonts w:ascii="Courier New" w:hAnsi="Courier New" w:cs="Courier New"/>
        </w:rPr>
        <w:t>Cout = (A3&amp;B3)|(A3^B3)&amp;((((A2^B2)&amp;(A1^B1))&amp;((A0&amp;B0)|(A0^B0)&amp;Cin))</w:t>
      </w:r>
    </w:p>
    <w:p w14:paraId="188C6415" w14:textId="041277AD" w:rsidR="002B2B5B" w:rsidRDefault="002B2B5B" w:rsidP="00D67AC4">
      <w:pPr>
        <w:spacing w:after="0" w:line="240" w:lineRule="auto"/>
        <w:rPr>
          <w:rFonts w:ascii="Courier New" w:hAnsi="Courier New" w:cs="Courier New"/>
        </w:rPr>
      </w:pPr>
      <w:r>
        <w:rPr>
          <w:rFonts w:ascii="Courier New" w:hAnsi="Courier New" w:cs="Courier New"/>
        </w:rPr>
        <w:t xml:space="preserve">       |(((A2^B2)&amp;(A1&amp;B1))|(A2&amp;B2))); </w:t>
      </w:r>
    </w:p>
    <w:p w14:paraId="5385D002" w14:textId="156D29AD" w:rsidR="00C463CE" w:rsidRDefault="00C463CE" w:rsidP="00D67AC4">
      <w:pPr>
        <w:spacing w:after="0" w:line="240" w:lineRule="auto"/>
        <w:rPr>
          <w:rFonts w:ascii="Courier New" w:hAnsi="Courier New" w:cs="Courier New"/>
        </w:rPr>
      </w:pPr>
    </w:p>
    <w:p w14:paraId="17E47FEE" w14:textId="340C9C23" w:rsidR="00DC7337" w:rsidRDefault="00DC7337" w:rsidP="00D67AC4">
      <w:pPr>
        <w:spacing w:after="0" w:line="240" w:lineRule="auto"/>
        <w:rPr>
          <w:rFonts w:ascii="Courier New" w:hAnsi="Courier New" w:cs="Courier New"/>
        </w:rPr>
      </w:pPr>
    </w:p>
    <w:p w14:paraId="62CEB9EA" w14:textId="2FBF1FA0" w:rsidR="00DC7337" w:rsidRDefault="00DC7337" w:rsidP="00D67AC4">
      <w:pPr>
        <w:spacing w:after="0" w:line="240" w:lineRule="auto"/>
        <w:rPr>
          <w:rFonts w:ascii="Courier New" w:hAnsi="Courier New" w:cs="Courier New"/>
        </w:rPr>
      </w:pPr>
    </w:p>
    <w:p w14:paraId="522CF9E4" w14:textId="227B8595" w:rsidR="00DC7337" w:rsidRDefault="00DC7337" w:rsidP="00D67AC4">
      <w:pPr>
        <w:spacing w:after="0" w:line="240" w:lineRule="auto"/>
        <w:rPr>
          <w:rFonts w:ascii="Courier New" w:hAnsi="Courier New" w:cs="Courier New"/>
        </w:rPr>
      </w:pPr>
    </w:p>
    <w:p w14:paraId="77C0723A" w14:textId="2CEB17C1" w:rsidR="00DC7337" w:rsidRDefault="00DC7337" w:rsidP="00D67AC4">
      <w:pPr>
        <w:spacing w:after="0" w:line="240" w:lineRule="auto"/>
        <w:rPr>
          <w:rFonts w:ascii="Courier New" w:hAnsi="Courier New" w:cs="Courier New"/>
        </w:rPr>
      </w:pPr>
    </w:p>
    <w:p w14:paraId="51FB042E" w14:textId="25DC33FA" w:rsidR="00DC7337" w:rsidRDefault="00DC7337" w:rsidP="00D67AC4">
      <w:pPr>
        <w:spacing w:after="0" w:line="240" w:lineRule="auto"/>
        <w:rPr>
          <w:rFonts w:ascii="Courier New" w:hAnsi="Courier New" w:cs="Courier New"/>
        </w:rPr>
      </w:pPr>
    </w:p>
    <w:p w14:paraId="0BC2BA71" w14:textId="48773281" w:rsidR="00DC7337" w:rsidRDefault="00DC7337" w:rsidP="00D67AC4">
      <w:pPr>
        <w:spacing w:after="0" w:line="240" w:lineRule="auto"/>
        <w:rPr>
          <w:rFonts w:ascii="Courier New" w:hAnsi="Courier New" w:cs="Courier New"/>
        </w:rPr>
      </w:pPr>
    </w:p>
    <w:p w14:paraId="1FD95435" w14:textId="6F804AD2" w:rsidR="00DC7337" w:rsidRDefault="00DC7337" w:rsidP="00D67AC4">
      <w:pPr>
        <w:spacing w:after="0" w:line="240" w:lineRule="auto"/>
        <w:rPr>
          <w:rFonts w:ascii="Courier New" w:hAnsi="Courier New" w:cs="Courier New"/>
        </w:rPr>
      </w:pPr>
    </w:p>
    <w:p w14:paraId="27C344C4" w14:textId="0931CB07" w:rsidR="00DC7337" w:rsidRDefault="00DC7337" w:rsidP="00D67AC4">
      <w:pPr>
        <w:spacing w:after="0" w:line="240" w:lineRule="auto"/>
        <w:rPr>
          <w:rFonts w:ascii="Courier New" w:hAnsi="Courier New" w:cs="Courier New"/>
        </w:rPr>
      </w:pPr>
    </w:p>
    <w:p w14:paraId="56468B61" w14:textId="6B5DFF26" w:rsidR="00DC7337" w:rsidRDefault="00DC7337" w:rsidP="00D67AC4">
      <w:pPr>
        <w:spacing w:after="0" w:line="240" w:lineRule="auto"/>
        <w:rPr>
          <w:rFonts w:ascii="Courier New" w:hAnsi="Courier New" w:cs="Courier New"/>
        </w:rPr>
      </w:pPr>
    </w:p>
    <w:p w14:paraId="101238C3" w14:textId="2618504E" w:rsidR="00DC7337" w:rsidRDefault="00DC7337" w:rsidP="00D67AC4">
      <w:pPr>
        <w:spacing w:after="0" w:line="240" w:lineRule="auto"/>
        <w:rPr>
          <w:rFonts w:ascii="Courier New" w:hAnsi="Courier New" w:cs="Courier New"/>
        </w:rPr>
      </w:pPr>
    </w:p>
    <w:p w14:paraId="0DCD9469" w14:textId="22C32BFB" w:rsidR="00DC7337" w:rsidRDefault="00DC7337" w:rsidP="00D67AC4">
      <w:pPr>
        <w:spacing w:after="0" w:line="240" w:lineRule="auto"/>
        <w:rPr>
          <w:rFonts w:ascii="Courier New" w:hAnsi="Courier New" w:cs="Courier New"/>
        </w:rPr>
      </w:pPr>
    </w:p>
    <w:p w14:paraId="347AF9A0" w14:textId="6CC746DD" w:rsidR="00DC7337" w:rsidRDefault="00DC7337" w:rsidP="00D67AC4">
      <w:pPr>
        <w:spacing w:after="0" w:line="240" w:lineRule="auto"/>
        <w:rPr>
          <w:rFonts w:ascii="Courier New" w:hAnsi="Courier New" w:cs="Courier New"/>
        </w:rPr>
      </w:pPr>
    </w:p>
    <w:p w14:paraId="33F68106" w14:textId="12C09D06" w:rsidR="00DC7337" w:rsidRDefault="00DC7337" w:rsidP="00D67AC4">
      <w:pPr>
        <w:spacing w:after="0" w:line="240" w:lineRule="auto"/>
        <w:rPr>
          <w:rFonts w:ascii="Courier New" w:hAnsi="Courier New" w:cs="Courier New"/>
        </w:rPr>
      </w:pPr>
    </w:p>
    <w:p w14:paraId="02549A7E" w14:textId="77777777" w:rsidR="00DC7337" w:rsidRDefault="00DC7337" w:rsidP="00D67AC4">
      <w:pPr>
        <w:spacing w:after="0" w:line="240" w:lineRule="auto"/>
        <w:rPr>
          <w:rFonts w:ascii="Courier New" w:hAnsi="Courier New" w:cs="Courier New"/>
        </w:rPr>
      </w:pPr>
    </w:p>
    <w:p w14:paraId="733E928D" w14:textId="2F038532" w:rsidR="00C463CE" w:rsidRDefault="00C463CE" w:rsidP="00D67AC4">
      <w:pPr>
        <w:spacing w:after="0" w:line="240" w:lineRule="auto"/>
        <w:rPr>
          <w:rFonts w:cstheme="minorHAnsi"/>
          <w:b/>
          <w:bCs/>
        </w:rPr>
      </w:pPr>
      <w:r>
        <w:rPr>
          <w:rFonts w:cstheme="minorHAnsi"/>
          <w:b/>
          <w:bCs/>
        </w:rPr>
        <w:lastRenderedPageBreak/>
        <w:t>Brent-Kung Adder:</w:t>
      </w:r>
    </w:p>
    <w:p w14:paraId="35198C15" w14:textId="301FCEF5" w:rsidR="00C463CE" w:rsidRDefault="00C463CE" w:rsidP="00D67AC4">
      <w:pPr>
        <w:spacing w:after="0" w:line="240" w:lineRule="auto"/>
        <w:rPr>
          <w:rFonts w:cstheme="minorHAnsi"/>
          <w:b/>
          <w:bCs/>
        </w:rPr>
      </w:pPr>
    </w:p>
    <w:p w14:paraId="4F5351DD" w14:textId="1186EE05" w:rsidR="00C463CE" w:rsidRDefault="00C463CE" w:rsidP="00D67AC4">
      <w:pPr>
        <w:spacing w:after="0" w:line="240" w:lineRule="auto"/>
        <w:rPr>
          <w:rFonts w:cstheme="minorHAnsi"/>
        </w:rPr>
      </w:pPr>
      <w:r>
        <w:rPr>
          <w:rFonts w:cstheme="minorHAnsi"/>
        </w:rPr>
        <w:t xml:space="preserve">The Brent-Kung adder (BKA) is similar to the KSA in that the pre-processing, prefix stage, and final processing stage cells are calculated </w:t>
      </w:r>
      <w:r w:rsidR="0000262C">
        <w:rPr>
          <w:rFonts w:cstheme="minorHAnsi"/>
        </w:rPr>
        <w:t xml:space="preserve">in the exact same way. The difference between the two adders lies in </w:t>
      </w:r>
      <w:r w:rsidR="007E4F2A">
        <w:rPr>
          <w:rFonts w:cstheme="minorHAnsi"/>
        </w:rPr>
        <w:t xml:space="preserve">the </w:t>
      </w:r>
      <w:r w:rsidR="0000262C">
        <w:rPr>
          <w:rFonts w:cstheme="minorHAnsi"/>
        </w:rPr>
        <w:t>fan-out and the number of cells required for implementation. For instance, take the schematic of a 16-bit BKA shown in Figure 3 below.</w:t>
      </w:r>
    </w:p>
    <w:p w14:paraId="0C24BB15" w14:textId="7829CAF3" w:rsidR="0000262C" w:rsidRDefault="0000262C" w:rsidP="00D67AC4">
      <w:pPr>
        <w:spacing w:after="0" w:line="240" w:lineRule="auto"/>
        <w:rPr>
          <w:rFonts w:cstheme="minorHAnsi"/>
        </w:rPr>
      </w:pPr>
    </w:p>
    <w:p w14:paraId="4118C149" w14:textId="77777777" w:rsidR="0000262C" w:rsidRDefault="0000262C" w:rsidP="0000262C">
      <w:pPr>
        <w:keepNext/>
        <w:spacing w:after="0" w:line="240" w:lineRule="auto"/>
        <w:jc w:val="center"/>
      </w:pPr>
      <w:r>
        <w:rPr>
          <w:noProof/>
        </w:rPr>
        <w:drawing>
          <wp:inline distT="0" distB="0" distL="0" distR="0" wp14:anchorId="72BA0EA4" wp14:editId="1EEFBEA9">
            <wp:extent cx="5943600" cy="40760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76065"/>
                    </a:xfrm>
                    <a:prstGeom prst="rect">
                      <a:avLst/>
                    </a:prstGeom>
                  </pic:spPr>
                </pic:pic>
              </a:graphicData>
            </a:graphic>
          </wp:inline>
        </w:drawing>
      </w:r>
    </w:p>
    <w:p w14:paraId="765BC090" w14:textId="675DCD8B" w:rsidR="0000262C" w:rsidRDefault="0000262C" w:rsidP="0000262C">
      <w:pPr>
        <w:pStyle w:val="Caption"/>
        <w:spacing w:after="0"/>
        <w:jc w:val="center"/>
        <w:rPr>
          <w:i w:val="0"/>
          <w:iCs w:val="0"/>
        </w:rPr>
      </w:pPr>
      <w:r w:rsidRPr="0000262C">
        <w:rPr>
          <w:b/>
          <w:bCs/>
          <w:i w:val="0"/>
          <w:iCs w:val="0"/>
        </w:rPr>
        <w:t xml:space="preserve">Figure </w:t>
      </w:r>
      <w:r w:rsidRPr="0000262C">
        <w:rPr>
          <w:b/>
          <w:bCs/>
          <w:i w:val="0"/>
          <w:iCs w:val="0"/>
        </w:rPr>
        <w:fldChar w:fldCharType="begin"/>
      </w:r>
      <w:r w:rsidRPr="0000262C">
        <w:rPr>
          <w:b/>
          <w:bCs/>
          <w:i w:val="0"/>
          <w:iCs w:val="0"/>
        </w:rPr>
        <w:instrText xml:space="preserve"> SEQ Figure \* ARABIC </w:instrText>
      </w:r>
      <w:r w:rsidRPr="0000262C">
        <w:rPr>
          <w:b/>
          <w:bCs/>
          <w:i w:val="0"/>
          <w:iCs w:val="0"/>
        </w:rPr>
        <w:fldChar w:fldCharType="separate"/>
      </w:r>
      <w:r w:rsidR="00776924">
        <w:rPr>
          <w:b/>
          <w:bCs/>
          <w:i w:val="0"/>
          <w:iCs w:val="0"/>
          <w:noProof/>
        </w:rPr>
        <w:t>3</w:t>
      </w:r>
      <w:r w:rsidRPr="0000262C">
        <w:rPr>
          <w:b/>
          <w:bCs/>
          <w:i w:val="0"/>
          <w:iCs w:val="0"/>
        </w:rPr>
        <w:fldChar w:fldCharType="end"/>
      </w:r>
      <w:r>
        <w:rPr>
          <w:b/>
          <w:bCs/>
          <w:i w:val="0"/>
          <w:iCs w:val="0"/>
        </w:rPr>
        <w:t xml:space="preserve">: </w:t>
      </w:r>
      <w:r>
        <w:rPr>
          <w:i w:val="0"/>
          <w:iCs w:val="0"/>
        </w:rPr>
        <w:t>The schematic of a 16-bit BKA.</w:t>
      </w:r>
    </w:p>
    <w:p w14:paraId="1F95BD52" w14:textId="209B7309" w:rsidR="0000262C" w:rsidRDefault="0000262C" w:rsidP="0000262C">
      <w:pPr>
        <w:spacing w:after="0" w:line="240" w:lineRule="auto"/>
      </w:pPr>
    </w:p>
    <w:p w14:paraId="3FB68719" w14:textId="02D6A3FD" w:rsidR="008B74F1" w:rsidRDefault="0000262C" w:rsidP="0000262C">
      <w:pPr>
        <w:spacing w:after="0" w:line="240" w:lineRule="auto"/>
        <w:rPr>
          <w:rFonts w:eastAsiaTheme="minorEastAsia"/>
        </w:rPr>
      </w:pPr>
      <w:r>
        <w:t>The white cells on the top row of Figure 3 constitute the pre-processing stage while the black cells make up the prefix stage. The white cells</w:t>
      </w:r>
      <w:r w:rsidR="008B74F1">
        <w:t xml:space="preserve"> in the middle are the intermediate steps of the prefix stage. Comparing this schematic to that of the 16-bit KSA in Figure 2, it can be seen that the BKA requires fewer cells to implement than the KSA, which makes the BKA </w:t>
      </w:r>
      <w:r w:rsidR="00304A36">
        <w:t>a simpler design</w:t>
      </w:r>
      <w:r w:rsidR="008B74F1">
        <w:t xml:space="preserve">. </w:t>
      </w:r>
      <w:r w:rsidR="00D47B49">
        <w:t xml:space="preserve">This also means that the BKA consumes less power than the KSA. </w:t>
      </w:r>
      <w:r w:rsidR="008B74F1">
        <w:t xml:space="preserve">However, the BKA has a </w:t>
      </w:r>
      <w:r w:rsidR="007E4F2A">
        <w:t>larger</w:t>
      </w:r>
      <w:r w:rsidR="008B74F1">
        <w:t xml:space="preserve"> fan-out than the KSA (while the fan-out of any KSA is only limited to 2, the fan-out of BKA can go as high as </w:t>
      </w:r>
      <m:oMath>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r>
          <w:rPr>
            <w:rFonts w:ascii="Cambria Math" w:eastAsiaTheme="minorEastAsia" w:hAnsi="Cambria Math"/>
          </w:rPr>
          <m:t>+1</m:t>
        </m:r>
      </m:oMath>
      <w:r w:rsidR="008B74F1">
        <w:rPr>
          <w:rFonts w:eastAsiaTheme="minorEastAsia"/>
        </w:rPr>
        <w:t xml:space="preserve">, where </w:t>
      </w:r>
      <m:oMath>
        <m:r>
          <w:rPr>
            <w:rFonts w:ascii="Cambria Math" w:eastAsiaTheme="minorEastAsia" w:hAnsi="Cambria Math"/>
          </w:rPr>
          <m:t>n</m:t>
        </m:r>
      </m:oMath>
      <w:r w:rsidR="008B74F1">
        <w:rPr>
          <w:rFonts w:eastAsiaTheme="minorEastAsia"/>
        </w:rPr>
        <w:t xml:space="preserve"> is the adder size). A </w:t>
      </w:r>
      <w:r w:rsidR="007E4F2A">
        <w:rPr>
          <w:rFonts w:eastAsiaTheme="minorEastAsia"/>
        </w:rPr>
        <w:t>large</w:t>
      </w:r>
      <w:r w:rsidR="008B74F1">
        <w:rPr>
          <w:rFonts w:eastAsiaTheme="minorEastAsia"/>
        </w:rPr>
        <w:t xml:space="preserve"> fan-out </w:t>
      </w:r>
      <w:r w:rsidR="00AC3AFD">
        <w:rPr>
          <w:rFonts w:eastAsiaTheme="minorEastAsia"/>
        </w:rPr>
        <w:t xml:space="preserve">may </w:t>
      </w:r>
      <w:r w:rsidR="008B74F1">
        <w:rPr>
          <w:rFonts w:eastAsiaTheme="minorEastAsia"/>
        </w:rPr>
        <w:t>not a good thing as it may split and weaken the current propagating through the adder.</w:t>
      </w:r>
      <w:r w:rsidR="00AC3AFD">
        <w:rPr>
          <w:rFonts w:eastAsiaTheme="minorEastAsia"/>
        </w:rPr>
        <w:t xml:space="preserve"> </w:t>
      </w:r>
      <w:r w:rsidR="00FE2FD1">
        <w:rPr>
          <w:rFonts w:eastAsiaTheme="minorEastAsia"/>
        </w:rPr>
        <w:t xml:space="preserve">Furthermore, the BKA requires </w:t>
      </w:r>
      <w:r w:rsidR="00767292">
        <w:rPr>
          <w:rFonts w:eastAsiaTheme="minorEastAsia"/>
        </w:rPr>
        <w:t>two</w:t>
      </w:r>
      <w:r w:rsidR="00FE2FD1">
        <w:rPr>
          <w:rFonts w:eastAsiaTheme="minorEastAsia"/>
        </w:rPr>
        <w:t xml:space="preserve"> </w:t>
      </w:r>
      <w:r w:rsidR="00767292">
        <w:rPr>
          <w:rFonts w:eastAsiaTheme="minorEastAsia"/>
        </w:rPr>
        <w:t>additional</w:t>
      </w:r>
      <w:r w:rsidR="00FE2FD1">
        <w:rPr>
          <w:rFonts w:eastAsiaTheme="minorEastAsia"/>
        </w:rPr>
        <w:t xml:space="preserve"> logic level, increasing delay.</w:t>
      </w:r>
    </w:p>
    <w:p w14:paraId="06B1C6FD" w14:textId="6D2B7A60" w:rsidR="00304A36" w:rsidRDefault="00304A36" w:rsidP="0000262C">
      <w:pPr>
        <w:spacing w:after="0" w:line="240" w:lineRule="auto"/>
        <w:rPr>
          <w:rFonts w:eastAsiaTheme="minorEastAsia"/>
        </w:rPr>
      </w:pPr>
    </w:p>
    <w:p w14:paraId="3802A3FF" w14:textId="1F90F5BF" w:rsidR="00304A36" w:rsidRDefault="00304A36" w:rsidP="0000262C">
      <w:pPr>
        <w:spacing w:after="0" w:line="240" w:lineRule="auto"/>
        <w:rPr>
          <w:rFonts w:eastAsiaTheme="minorEastAsia"/>
        </w:rPr>
      </w:pPr>
      <w:r>
        <w:rPr>
          <w:rFonts w:eastAsiaTheme="minorEastAsia"/>
        </w:rPr>
        <w:t xml:space="preserve">A final observation of the BKA concerns the bit-location of the maximum fan-out. It can be seen in Figure 3 that bit 7 has the greatest fan-out at 5. Bit 7 also happens to be just before the mid-way point of 16 bits. This holds true for any BKA; the bit with the </w:t>
      </w:r>
      <w:r w:rsidR="007E4F2A">
        <w:rPr>
          <w:rFonts w:eastAsiaTheme="minorEastAsia"/>
        </w:rPr>
        <w:t>highest</w:t>
      </w:r>
      <w:r>
        <w:rPr>
          <w:rFonts w:eastAsiaTheme="minorEastAsia"/>
        </w:rPr>
        <w:t xml:space="preserve"> fan-out is located at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oMath>
      <w:r>
        <w:rPr>
          <w:rFonts w:eastAsiaTheme="minorEastAsia"/>
        </w:rPr>
        <w:t xml:space="preserve">, with </w:t>
      </w:r>
      <m:oMath>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r>
          <w:rPr>
            <w:rFonts w:ascii="Cambria Math" w:eastAsiaTheme="minorEastAsia" w:hAnsi="Cambria Math"/>
          </w:rPr>
          <m:t>+1</m:t>
        </m:r>
      </m:oMath>
      <w:r>
        <w:rPr>
          <w:rFonts w:eastAsiaTheme="minorEastAsia"/>
        </w:rPr>
        <w:t xml:space="preserve"> being the fan-out. Again, </w:t>
      </w:r>
      <m:oMath>
        <m:r>
          <w:rPr>
            <w:rFonts w:ascii="Cambria Math" w:eastAsiaTheme="minorEastAsia" w:hAnsi="Cambria Math"/>
          </w:rPr>
          <m:t>n</m:t>
        </m:r>
      </m:oMath>
      <w:r>
        <w:rPr>
          <w:rFonts w:eastAsiaTheme="minorEastAsia"/>
        </w:rPr>
        <w:t xml:space="preserve"> refers to the adder size.</w:t>
      </w:r>
      <w:r w:rsidR="007E4F2A">
        <w:rPr>
          <w:rFonts w:eastAsiaTheme="minorEastAsia"/>
        </w:rPr>
        <w:t xml:space="preserve"> This bit may also be thought of as the “trunk” of the </w:t>
      </w:r>
      <w:r w:rsidR="009F3D56">
        <w:rPr>
          <w:rFonts w:eastAsiaTheme="minorEastAsia"/>
        </w:rPr>
        <w:t xml:space="preserve">inverse carry tree that constitutes the bottom half of the BKA. </w:t>
      </w:r>
    </w:p>
    <w:p w14:paraId="4B2AAD42" w14:textId="77777777" w:rsidR="00DC7337" w:rsidRDefault="00DC7337" w:rsidP="0000262C">
      <w:pPr>
        <w:spacing w:after="0" w:line="240" w:lineRule="auto"/>
        <w:rPr>
          <w:rFonts w:eastAsiaTheme="minorEastAsia"/>
          <w:u w:val="single"/>
        </w:rPr>
      </w:pPr>
    </w:p>
    <w:p w14:paraId="0698D1F3" w14:textId="49AB495F" w:rsidR="0000262C" w:rsidRDefault="00AC3AFD" w:rsidP="0000262C">
      <w:pPr>
        <w:spacing w:after="0" w:line="240" w:lineRule="auto"/>
        <w:rPr>
          <w:rFonts w:eastAsiaTheme="minorEastAsia"/>
          <w:u w:val="single"/>
        </w:rPr>
      </w:pPr>
      <w:r>
        <w:rPr>
          <w:rFonts w:eastAsiaTheme="minorEastAsia"/>
          <w:u w:val="single"/>
        </w:rPr>
        <w:lastRenderedPageBreak/>
        <w:t>Enhancements:</w:t>
      </w:r>
    </w:p>
    <w:p w14:paraId="603A8FAD" w14:textId="41A6C5D3" w:rsidR="00AC3AFD" w:rsidRDefault="00AC3AFD" w:rsidP="0000262C">
      <w:pPr>
        <w:spacing w:after="0" w:line="240" w:lineRule="auto"/>
        <w:rPr>
          <w:rFonts w:eastAsiaTheme="minorEastAsia"/>
          <w:u w:val="single"/>
        </w:rPr>
      </w:pPr>
    </w:p>
    <w:p w14:paraId="360011A9" w14:textId="115C1A64" w:rsidR="00AC3AFD" w:rsidRDefault="008B37D5" w:rsidP="0000262C">
      <w:pPr>
        <w:spacing w:after="0" w:line="240" w:lineRule="auto"/>
      </w:pPr>
      <w:r>
        <w:t xml:space="preserve">Just like the KSA, the BKA can be enhanced by increasing the radix. Doing so can reduce the complexity of the design by reducing the number of cells </w:t>
      </w:r>
      <w:r w:rsidR="00217C1E">
        <w:t xml:space="preserve">or logic levels require; however, increasing radix </w:t>
      </w:r>
      <w:r w:rsidR="00DC7337">
        <w:t xml:space="preserve">in a BKA may </w:t>
      </w:r>
      <w:r w:rsidR="00217C1E">
        <w:t>also increase fan-out. An example of a mixed-radix 32-bit BKA is shown in Figure 4 below.</w:t>
      </w:r>
    </w:p>
    <w:p w14:paraId="30CA0924" w14:textId="51CD668B" w:rsidR="00217C1E" w:rsidRDefault="00217C1E" w:rsidP="0000262C">
      <w:pPr>
        <w:spacing w:after="0" w:line="240" w:lineRule="auto"/>
      </w:pPr>
    </w:p>
    <w:p w14:paraId="01F91C14" w14:textId="77777777" w:rsidR="004774CC" w:rsidRDefault="004774CC" w:rsidP="004774CC">
      <w:pPr>
        <w:keepNext/>
        <w:spacing w:after="0" w:line="240" w:lineRule="auto"/>
        <w:jc w:val="center"/>
      </w:pPr>
      <w:r>
        <w:rPr>
          <w:noProof/>
        </w:rPr>
        <w:drawing>
          <wp:inline distT="0" distB="0" distL="0" distR="0" wp14:anchorId="3350A189" wp14:editId="2AA43CBE">
            <wp:extent cx="5943600" cy="3228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28340"/>
                    </a:xfrm>
                    <a:prstGeom prst="rect">
                      <a:avLst/>
                    </a:prstGeom>
                  </pic:spPr>
                </pic:pic>
              </a:graphicData>
            </a:graphic>
          </wp:inline>
        </w:drawing>
      </w:r>
    </w:p>
    <w:p w14:paraId="4FE3D2BD" w14:textId="7309F45F" w:rsidR="00217C1E" w:rsidRDefault="004774CC" w:rsidP="004774CC">
      <w:pPr>
        <w:pStyle w:val="Caption"/>
        <w:spacing w:after="0"/>
        <w:jc w:val="center"/>
        <w:rPr>
          <w:i w:val="0"/>
          <w:iCs w:val="0"/>
        </w:rPr>
      </w:pPr>
      <w:r w:rsidRPr="004774CC">
        <w:rPr>
          <w:b/>
          <w:bCs/>
          <w:i w:val="0"/>
          <w:iCs w:val="0"/>
        </w:rPr>
        <w:t xml:space="preserve">Figure </w:t>
      </w:r>
      <w:r w:rsidRPr="004774CC">
        <w:rPr>
          <w:b/>
          <w:bCs/>
          <w:i w:val="0"/>
          <w:iCs w:val="0"/>
        </w:rPr>
        <w:fldChar w:fldCharType="begin"/>
      </w:r>
      <w:r w:rsidRPr="004774CC">
        <w:rPr>
          <w:b/>
          <w:bCs/>
          <w:i w:val="0"/>
          <w:iCs w:val="0"/>
        </w:rPr>
        <w:instrText xml:space="preserve"> SEQ Figure \* ARABIC </w:instrText>
      </w:r>
      <w:r w:rsidRPr="004774CC">
        <w:rPr>
          <w:b/>
          <w:bCs/>
          <w:i w:val="0"/>
          <w:iCs w:val="0"/>
        </w:rPr>
        <w:fldChar w:fldCharType="separate"/>
      </w:r>
      <w:r w:rsidR="00776924">
        <w:rPr>
          <w:b/>
          <w:bCs/>
          <w:i w:val="0"/>
          <w:iCs w:val="0"/>
          <w:noProof/>
        </w:rPr>
        <w:t>4</w:t>
      </w:r>
      <w:r w:rsidRPr="004774CC">
        <w:rPr>
          <w:b/>
          <w:bCs/>
          <w:i w:val="0"/>
          <w:iCs w:val="0"/>
        </w:rPr>
        <w:fldChar w:fldCharType="end"/>
      </w:r>
      <w:r>
        <w:rPr>
          <w:b/>
          <w:bCs/>
          <w:i w:val="0"/>
          <w:iCs w:val="0"/>
        </w:rPr>
        <w:t xml:space="preserve">: </w:t>
      </w:r>
      <w:r>
        <w:rPr>
          <w:i w:val="0"/>
          <w:iCs w:val="0"/>
        </w:rPr>
        <w:t>The schematic of a mixed-radix 32-bit BKA.</w:t>
      </w:r>
    </w:p>
    <w:p w14:paraId="003185FA" w14:textId="06ED712F" w:rsidR="004774CC" w:rsidRDefault="004774CC" w:rsidP="004774CC">
      <w:pPr>
        <w:spacing w:after="0" w:line="240" w:lineRule="auto"/>
      </w:pPr>
    </w:p>
    <w:p w14:paraId="5E1BD5BD" w14:textId="02B786CE" w:rsidR="004774CC" w:rsidRDefault="004774CC" w:rsidP="004774CC">
      <w:pPr>
        <w:spacing w:after="0" w:line="240" w:lineRule="auto"/>
      </w:pPr>
      <w:r>
        <w:t>While increasing the radix of the first level of the prefix stage to 4 has reduced the number of required cells from 57 down to 55 for the BKA in Figure 4, it has also increased the maximum fan-out from 6</w:t>
      </w:r>
      <w:r w:rsidR="00DC7337">
        <w:t>, as a 32-bit BKA would normally have, to 8.</w:t>
      </w:r>
    </w:p>
    <w:p w14:paraId="55BB34B3" w14:textId="09E199C8" w:rsidR="00DC7337" w:rsidRDefault="00DC7337" w:rsidP="004774CC">
      <w:pPr>
        <w:spacing w:after="0" w:line="240" w:lineRule="auto"/>
      </w:pPr>
    </w:p>
    <w:p w14:paraId="2ED548ED" w14:textId="475B7993" w:rsidR="00DC7337" w:rsidRDefault="00DC7337" w:rsidP="004774CC">
      <w:pPr>
        <w:spacing w:after="0" w:line="240" w:lineRule="auto"/>
      </w:pPr>
    </w:p>
    <w:p w14:paraId="1B53CF33" w14:textId="7940A659" w:rsidR="00DC7337" w:rsidRDefault="00DC7337" w:rsidP="004774CC">
      <w:pPr>
        <w:spacing w:after="0" w:line="240" w:lineRule="auto"/>
      </w:pPr>
    </w:p>
    <w:p w14:paraId="403AA7D5" w14:textId="254567D4" w:rsidR="00DC7337" w:rsidRDefault="00DC7337" w:rsidP="004774CC">
      <w:pPr>
        <w:spacing w:after="0" w:line="240" w:lineRule="auto"/>
      </w:pPr>
    </w:p>
    <w:p w14:paraId="72ACF47F" w14:textId="702CAD16" w:rsidR="00DC7337" w:rsidRDefault="00DC7337" w:rsidP="004774CC">
      <w:pPr>
        <w:spacing w:after="0" w:line="240" w:lineRule="auto"/>
      </w:pPr>
    </w:p>
    <w:p w14:paraId="7CF9160E" w14:textId="7AD01B08" w:rsidR="00DC7337" w:rsidRDefault="00DC7337" w:rsidP="004774CC">
      <w:pPr>
        <w:spacing w:after="0" w:line="240" w:lineRule="auto"/>
      </w:pPr>
    </w:p>
    <w:p w14:paraId="1CA9FD2A" w14:textId="40620674" w:rsidR="00DC7337" w:rsidRDefault="00DC7337" w:rsidP="004774CC">
      <w:pPr>
        <w:spacing w:after="0" w:line="240" w:lineRule="auto"/>
      </w:pPr>
    </w:p>
    <w:p w14:paraId="0B9E73F3" w14:textId="58D2E2A7" w:rsidR="00DC7337" w:rsidRDefault="00DC7337" w:rsidP="004774CC">
      <w:pPr>
        <w:spacing w:after="0" w:line="240" w:lineRule="auto"/>
      </w:pPr>
    </w:p>
    <w:p w14:paraId="2D4E1568" w14:textId="27981079" w:rsidR="00DC7337" w:rsidRDefault="00DC7337" w:rsidP="004774CC">
      <w:pPr>
        <w:spacing w:after="0" w:line="240" w:lineRule="auto"/>
      </w:pPr>
    </w:p>
    <w:p w14:paraId="0FBCB5B2" w14:textId="559328EE" w:rsidR="00DC7337" w:rsidRDefault="00DC7337" w:rsidP="004774CC">
      <w:pPr>
        <w:spacing w:after="0" w:line="240" w:lineRule="auto"/>
      </w:pPr>
    </w:p>
    <w:p w14:paraId="0996264E" w14:textId="60482AC4" w:rsidR="00DC7337" w:rsidRDefault="00DC7337" w:rsidP="004774CC">
      <w:pPr>
        <w:spacing w:after="0" w:line="240" w:lineRule="auto"/>
      </w:pPr>
    </w:p>
    <w:p w14:paraId="4B9D9664" w14:textId="779F5776" w:rsidR="00DC7337" w:rsidRDefault="00DC7337" w:rsidP="004774CC">
      <w:pPr>
        <w:spacing w:after="0" w:line="240" w:lineRule="auto"/>
      </w:pPr>
    </w:p>
    <w:p w14:paraId="36EB419A" w14:textId="7A4094F9" w:rsidR="00DC7337" w:rsidRDefault="00DC7337" w:rsidP="004774CC">
      <w:pPr>
        <w:spacing w:after="0" w:line="240" w:lineRule="auto"/>
      </w:pPr>
    </w:p>
    <w:p w14:paraId="1AA0011B" w14:textId="07572AF9" w:rsidR="00DC7337" w:rsidRDefault="00DC7337" w:rsidP="004774CC">
      <w:pPr>
        <w:spacing w:after="0" w:line="240" w:lineRule="auto"/>
      </w:pPr>
    </w:p>
    <w:p w14:paraId="361854D8" w14:textId="5E7BB9C2" w:rsidR="00DC7337" w:rsidRDefault="00DC7337" w:rsidP="004774CC">
      <w:pPr>
        <w:spacing w:after="0" w:line="240" w:lineRule="auto"/>
      </w:pPr>
    </w:p>
    <w:p w14:paraId="4B9238C5" w14:textId="4398A99E" w:rsidR="00DC7337" w:rsidRDefault="00DC7337" w:rsidP="004774CC">
      <w:pPr>
        <w:spacing w:after="0" w:line="240" w:lineRule="auto"/>
      </w:pPr>
    </w:p>
    <w:p w14:paraId="52AFFA40" w14:textId="442039A6" w:rsidR="00DC7337" w:rsidRDefault="00DC7337" w:rsidP="004774CC">
      <w:pPr>
        <w:spacing w:after="0" w:line="240" w:lineRule="auto"/>
      </w:pPr>
    </w:p>
    <w:p w14:paraId="6CDCD467" w14:textId="77777777" w:rsidR="00DC7337" w:rsidRDefault="00DC7337" w:rsidP="004774CC">
      <w:pPr>
        <w:spacing w:after="0" w:line="240" w:lineRule="auto"/>
      </w:pPr>
    </w:p>
    <w:p w14:paraId="2E12AB0F" w14:textId="3F459E75" w:rsidR="00DC7337" w:rsidRDefault="00DC7337" w:rsidP="004774CC">
      <w:pPr>
        <w:spacing w:after="0" w:line="240" w:lineRule="auto"/>
        <w:rPr>
          <w:b/>
          <w:bCs/>
        </w:rPr>
      </w:pPr>
      <w:r>
        <w:rPr>
          <w:b/>
          <w:bCs/>
        </w:rPr>
        <w:lastRenderedPageBreak/>
        <w:t>Han-Carlson Adder:</w:t>
      </w:r>
    </w:p>
    <w:p w14:paraId="335C99AD" w14:textId="0280607C" w:rsidR="00DC7337" w:rsidRDefault="00DC7337" w:rsidP="004774CC">
      <w:pPr>
        <w:spacing w:after="0" w:line="240" w:lineRule="auto"/>
        <w:rPr>
          <w:b/>
          <w:bCs/>
        </w:rPr>
      </w:pPr>
    </w:p>
    <w:p w14:paraId="12023856" w14:textId="6E7E9965" w:rsidR="00DC7337" w:rsidRDefault="00F45ADE" w:rsidP="004774CC">
      <w:pPr>
        <w:spacing w:after="0" w:line="240" w:lineRule="auto"/>
      </w:pPr>
      <w:r>
        <w:t>The Han-Carlson adder (HCA) can be thought of as a sparsity-2 KSA. An example of a 16-bit HCA is shown in Figure 5 below.</w:t>
      </w:r>
    </w:p>
    <w:p w14:paraId="09CFA9D0" w14:textId="7EB2363F" w:rsidR="00F45ADE" w:rsidRDefault="00F45ADE" w:rsidP="004774CC">
      <w:pPr>
        <w:spacing w:after="0" w:line="240" w:lineRule="auto"/>
      </w:pPr>
    </w:p>
    <w:p w14:paraId="47DFA31E" w14:textId="77777777" w:rsidR="00F45ADE" w:rsidRDefault="00F45ADE" w:rsidP="00F45ADE">
      <w:pPr>
        <w:keepNext/>
        <w:spacing w:after="0" w:line="240" w:lineRule="auto"/>
        <w:jc w:val="center"/>
      </w:pPr>
      <w:r>
        <w:rPr>
          <w:noProof/>
        </w:rPr>
        <w:drawing>
          <wp:inline distT="0" distB="0" distL="0" distR="0" wp14:anchorId="7F6C6F37" wp14:editId="2BF6C64C">
            <wp:extent cx="5920105" cy="3295272"/>
            <wp:effectExtent l="0" t="0" r="444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175" cy="3305887"/>
                    </a:xfrm>
                    <a:prstGeom prst="rect">
                      <a:avLst/>
                    </a:prstGeom>
                  </pic:spPr>
                </pic:pic>
              </a:graphicData>
            </a:graphic>
          </wp:inline>
        </w:drawing>
      </w:r>
    </w:p>
    <w:p w14:paraId="15D81D1B" w14:textId="74A297A9" w:rsidR="00F45ADE" w:rsidRDefault="00F45ADE" w:rsidP="00F45ADE">
      <w:pPr>
        <w:pStyle w:val="Caption"/>
        <w:spacing w:after="0"/>
        <w:jc w:val="center"/>
        <w:rPr>
          <w:i w:val="0"/>
          <w:iCs w:val="0"/>
        </w:rPr>
      </w:pPr>
      <w:r w:rsidRPr="00F45ADE">
        <w:rPr>
          <w:b/>
          <w:bCs/>
          <w:i w:val="0"/>
          <w:iCs w:val="0"/>
        </w:rPr>
        <w:t xml:space="preserve">Figure </w:t>
      </w:r>
      <w:r w:rsidRPr="00F45ADE">
        <w:rPr>
          <w:b/>
          <w:bCs/>
          <w:i w:val="0"/>
          <w:iCs w:val="0"/>
        </w:rPr>
        <w:fldChar w:fldCharType="begin"/>
      </w:r>
      <w:r w:rsidRPr="00F45ADE">
        <w:rPr>
          <w:b/>
          <w:bCs/>
          <w:i w:val="0"/>
          <w:iCs w:val="0"/>
        </w:rPr>
        <w:instrText xml:space="preserve"> SEQ Figure \* ARABIC </w:instrText>
      </w:r>
      <w:r w:rsidRPr="00F45ADE">
        <w:rPr>
          <w:b/>
          <w:bCs/>
          <w:i w:val="0"/>
          <w:iCs w:val="0"/>
        </w:rPr>
        <w:fldChar w:fldCharType="separate"/>
      </w:r>
      <w:r w:rsidR="00776924">
        <w:rPr>
          <w:b/>
          <w:bCs/>
          <w:i w:val="0"/>
          <w:iCs w:val="0"/>
          <w:noProof/>
        </w:rPr>
        <w:t>5</w:t>
      </w:r>
      <w:r w:rsidRPr="00F45ADE">
        <w:rPr>
          <w:b/>
          <w:bCs/>
          <w:i w:val="0"/>
          <w:iCs w:val="0"/>
        </w:rPr>
        <w:fldChar w:fldCharType="end"/>
      </w:r>
      <w:r>
        <w:rPr>
          <w:b/>
          <w:bCs/>
          <w:i w:val="0"/>
          <w:iCs w:val="0"/>
        </w:rPr>
        <w:t xml:space="preserve">: </w:t>
      </w:r>
      <w:r>
        <w:rPr>
          <w:i w:val="0"/>
          <w:iCs w:val="0"/>
        </w:rPr>
        <w:t>The schematic of a 16-bit HCA.</w:t>
      </w:r>
    </w:p>
    <w:p w14:paraId="2F795E22" w14:textId="5E1D0DC6" w:rsidR="00F45ADE" w:rsidRDefault="00F45ADE" w:rsidP="00F45ADE">
      <w:pPr>
        <w:spacing w:after="0" w:line="240" w:lineRule="auto"/>
      </w:pPr>
    </w:p>
    <w:p w14:paraId="1BA65374" w14:textId="329E0EAB" w:rsidR="00F45ADE" w:rsidRDefault="00F45ADE" w:rsidP="00F45ADE">
      <w:pPr>
        <w:spacing w:after="0" w:line="240" w:lineRule="auto"/>
      </w:pPr>
      <w:r>
        <w:t>The white cells on the top row of Figure 5 constitute the pre-processing stage while the black cells make up the prefix stage. The white cells in the middle are the intermediate steps of the prefix stage. While the HCA halves the number of wires required at every level of the prefix stage (compare with Figure 2), reducing complexity, it also adds an additional logic level. This additional logic layer increases delay.</w:t>
      </w:r>
      <w:r w:rsidR="00B307B9">
        <w:t xml:space="preserve"> On the other hand, the HCA requires fewer prefix stage cells to implement than the KSA (32 vs. 49 for a 16-bit adder, for example), reducing power consumption.</w:t>
      </w:r>
      <w:r>
        <w:t xml:space="preserve"> </w:t>
      </w:r>
    </w:p>
    <w:p w14:paraId="5261B99A" w14:textId="0A1A3332" w:rsidR="00D47B49" w:rsidRDefault="00D47B49" w:rsidP="00F45ADE">
      <w:pPr>
        <w:spacing w:after="0" w:line="240" w:lineRule="auto"/>
      </w:pPr>
    </w:p>
    <w:p w14:paraId="38E28870" w14:textId="77777777" w:rsidR="00FE2FD1" w:rsidRDefault="00FE2FD1" w:rsidP="00F45ADE">
      <w:pPr>
        <w:spacing w:after="0" w:line="240" w:lineRule="auto"/>
        <w:rPr>
          <w:b/>
          <w:bCs/>
        </w:rPr>
      </w:pPr>
    </w:p>
    <w:p w14:paraId="38335160" w14:textId="77777777" w:rsidR="00FE2FD1" w:rsidRDefault="00FE2FD1" w:rsidP="00F45ADE">
      <w:pPr>
        <w:spacing w:after="0" w:line="240" w:lineRule="auto"/>
        <w:rPr>
          <w:b/>
          <w:bCs/>
        </w:rPr>
      </w:pPr>
    </w:p>
    <w:p w14:paraId="6FC4F1E5" w14:textId="77777777" w:rsidR="00FE2FD1" w:rsidRDefault="00FE2FD1" w:rsidP="00F45ADE">
      <w:pPr>
        <w:spacing w:after="0" w:line="240" w:lineRule="auto"/>
        <w:rPr>
          <w:b/>
          <w:bCs/>
        </w:rPr>
      </w:pPr>
    </w:p>
    <w:p w14:paraId="7379CD22" w14:textId="77777777" w:rsidR="00FE2FD1" w:rsidRDefault="00FE2FD1" w:rsidP="00F45ADE">
      <w:pPr>
        <w:spacing w:after="0" w:line="240" w:lineRule="auto"/>
        <w:rPr>
          <w:b/>
          <w:bCs/>
        </w:rPr>
      </w:pPr>
    </w:p>
    <w:p w14:paraId="261DF5ED" w14:textId="77777777" w:rsidR="00FE2FD1" w:rsidRDefault="00FE2FD1" w:rsidP="00F45ADE">
      <w:pPr>
        <w:spacing w:after="0" w:line="240" w:lineRule="auto"/>
        <w:rPr>
          <w:b/>
          <w:bCs/>
        </w:rPr>
      </w:pPr>
    </w:p>
    <w:p w14:paraId="7E3F22A5" w14:textId="77777777" w:rsidR="00FE2FD1" w:rsidRDefault="00FE2FD1" w:rsidP="00F45ADE">
      <w:pPr>
        <w:spacing w:after="0" w:line="240" w:lineRule="auto"/>
        <w:rPr>
          <w:b/>
          <w:bCs/>
        </w:rPr>
      </w:pPr>
    </w:p>
    <w:p w14:paraId="27BEA744" w14:textId="77777777" w:rsidR="00FE2FD1" w:rsidRDefault="00FE2FD1" w:rsidP="00F45ADE">
      <w:pPr>
        <w:spacing w:after="0" w:line="240" w:lineRule="auto"/>
        <w:rPr>
          <w:b/>
          <w:bCs/>
        </w:rPr>
      </w:pPr>
    </w:p>
    <w:p w14:paraId="6B1E1C81" w14:textId="77777777" w:rsidR="00FE2FD1" w:rsidRDefault="00FE2FD1" w:rsidP="00F45ADE">
      <w:pPr>
        <w:spacing w:after="0" w:line="240" w:lineRule="auto"/>
        <w:rPr>
          <w:b/>
          <w:bCs/>
        </w:rPr>
      </w:pPr>
    </w:p>
    <w:p w14:paraId="7A15ADDB" w14:textId="77777777" w:rsidR="00FE2FD1" w:rsidRDefault="00FE2FD1" w:rsidP="00F45ADE">
      <w:pPr>
        <w:spacing w:after="0" w:line="240" w:lineRule="auto"/>
        <w:rPr>
          <w:b/>
          <w:bCs/>
        </w:rPr>
      </w:pPr>
    </w:p>
    <w:p w14:paraId="3550DB12" w14:textId="77777777" w:rsidR="00FE2FD1" w:rsidRDefault="00FE2FD1" w:rsidP="00F45ADE">
      <w:pPr>
        <w:spacing w:after="0" w:line="240" w:lineRule="auto"/>
        <w:rPr>
          <w:b/>
          <w:bCs/>
        </w:rPr>
      </w:pPr>
    </w:p>
    <w:p w14:paraId="32DC3C97" w14:textId="77777777" w:rsidR="00FE2FD1" w:rsidRDefault="00FE2FD1" w:rsidP="00F45ADE">
      <w:pPr>
        <w:spacing w:after="0" w:line="240" w:lineRule="auto"/>
        <w:rPr>
          <w:b/>
          <w:bCs/>
        </w:rPr>
      </w:pPr>
    </w:p>
    <w:p w14:paraId="05F0B141" w14:textId="77777777" w:rsidR="00FE2FD1" w:rsidRDefault="00FE2FD1" w:rsidP="00F45ADE">
      <w:pPr>
        <w:spacing w:after="0" w:line="240" w:lineRule="auto"/>
        <w:rPr>
          <w:b/>
          <w:bCs/>
        </w:rPr>
      </w:pPr>
    </w:p>
    <w:p w14:paraId="330CC55F" w14:textId="77777777" w:rsidR="00FE2FD1" w:rsidRDefault="00FE2FD1" w:rsidP="00F45ADE">
      <w:pPr>
        <w:spacing w:after="0" w:line="240" w:lineRule="auto"/>
        <w:rPr>
          <w:b/>
          <w:bCs/>
        </w:rPr>
      </w:pPr>
    </w:p>
    <w:p w14:paraId="7764F116" w14:textId="77777777" w:rsidR="00FE2FD1" w:rsidRDefault="00FE2FD1" w:rsidP="00F45ADE">
      <w:pPr>
        <w:spacing w:after="0" w:line="240" w:lineRule="auto"/>
        <w:rPr>
          <w:b/>
          <w:bCs/>
        </w:rPr>
      </w:pPr>
    </w:p>
    <w:p w14:paraId="6F1CDD68" w14:textId="77777777" w:rsidR="00FE2FD1" w:rsidRDefault="00FE2FD1" w:rsidP="00F45ADE">
      <w:pPr>
        <w:spacing w:after="0" w:line="240" w:lineRule="auto"/>
        <w:rPr>
          <w:b/>
          <w:bCs/>
        </w:rPr>
      </w:pPr>
    </w:p>
    <w:p w14:paraId="757909C0" w14:textId="5210A640" w:rsidR="00B81423" w:rsidRDefault="00B81423" w:rsidP="00F45ADE">
      <w:pPr>
        <w:spacing w:after="0" w:line="240" w:lineRule="auto"/>
        <w:rPr>
          <w:b/>
          <w:bCs/>
        </w:rPr>
      </w:pPr>
      <w:r>
        <w:rPr>
          <w:b/>
          <w:bCs/>
        </w:rPr>
        <w:lastRenderedPageBreak/>
        <w:t>Spanning Tree Adder:</w:t>
      </w:r>
    </w:p>
    <w:p w14:paraId="63C6D651" w14:textId="5E18BEEF" w:rsidR="00B81423" w:rsidRDefault="00B81423" w:rsidP="00F45ADE">
      <w:pPr>
        <w:spacing w:after="0" w:line="240" w:lineRule="auto"/>
        <w:rPr>
          <w:b/>
          <w:bCs/>
        </w:rPr>
      </w:pPr>
    </w:p>
    <w:p w14:paraId="7661CB09" w14:textId="71E6A1A0" w:rsidR="00B81423" w:rsidRDefault="00B81423" w:rsidP="00F45ADE">
      <w:pPr>
        <w:spacing w:after="0" w:line="240" w:lineRule="auto"/>
      </w:pPr>
      <w:r>
        <w:t>The schematic of a 16-bit Spanning Tree adder (STA) as described by Lynch and Swartzlander is shown in Figure 6 below.</w:t>
      </w:r>
    </w:p>
    <w:p w14:paraId="37D35EC0" w14:textId="42E6CDAE" w:rsidR="00B81423" w:rsidRDefault="00B81423" w:rsidP="00F45ADE">
      <w:pPr>
        <w:spacing w:after="0" w:line="240" w:lineRule="auto"/>
      </w:pPr>
    </w:p>
    <w:p w14:paraId="1D39778B" w14:textId="4032C440" w:rsidR="00F1613C" w:rsidRDefault="00DA7641" w:rsidP="00F1613C">
      <w:pPr>
        <w:keepNext/>
        <w:spacing w:after="0" w:line="240" w:lineRule="auto"/>
        <w:jc w:val="center"/>
      </w:pPr>
      <w:r>
        <w:rPr>
          <w:noProof/>
        </w:rPr>
        <w:drawing>
          <wp:inline distT="0" distB="0" distL="0" distR="0" wp14:anchorId="1667FA06" wp14:editId="4C104E86">
            <wp:extent cx="5943600" cy="3093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93720"/>
                    </a:xfrm>
                    <a:prstGeom prst="rect">
                      <a:avLst/>
                    </a:prstGeom>
                    <a:noFill/>
                    <a:ln>
                      <a:noFill/>
                    </a:ln>
                  </pic:spPr>
                </pic:pic>
              </a:graphicData>
            </a:graphic>
          </wp:inline>
        </w:drawing>
      </w:r>
    </w:p>
    <w:p w14:paraId="2B6D7590" w14:textId="6C022356" w:rsidR="00B81423" w:rsidRDefault="00F1613C" w:rsidP="00F1613C">
      <w:pPr>
        <w:pStyle w:val="Caption"/>
        <w:spacing w:after="0"/>
        <w:jc w:val="center"/>
        <w:rPr>
          <w:i w:val="0"/>
          <w:iCs w:val="0"/>
        </w:rPr>
      </w:pPr>
      <w:r w:rsidRPr="00F1613C">
        <w:rPr>
          <w:b/>
          <w:bCs/>
          <w:i w:val="0"/>
          <w:iCs w:val="0"/>
        </w:rPr>
        <w:t xml:space="preserve">Figure </w:t>
      </w:r>
      <w:r w:rsidRPr="00F1613C">
        <w:rPr>
          <w:b/>
          <w:bCs/>
          <w:i w:val="0"/>
          <w:iCs w:val="0"/>
        </w:rPr>
        <w:fldChar w:fldCharType="begin"/>
      </w:r>
      <w:r w:rsidRPr="00F1613C">
        <w:rPr>
          <w:b/>
          <w:bCs/>
          <w:i w:val="0"/>
          <w:iCs w:val="0"/>
        </w:rPr>
        <w:instrText xml:space="preserve"> SEQ Figure \* ARABIC </w:instrText>
      </w:r>
      <w:r w:rsidRPr="00F1613C">
        <w:rPr>
          <w:b/>
          <w:bCs/>
          <w:i w:val="0"/>
          <w:iCs w:val="0"/>
        </w:rPr>
        <w:fldChar w:fldCharType="separate"/>
      </w:r>
      <w:r w:rsidR="00776924">
        <w:rPr>
          <w:b/>
          <w:bCs/>
          <w:i w:val="0"/>
          <w:iCs w:val="0"/>
          <w:noProof/>
        </w:rPr>
        <w:t>6</w:t>
      </w:r>
      <w:r w:rsidRPr="00F1613C">
        <w:rPr>
          <w:b/>
          <w:bCs/>
          <w:i w:val="0"/>
          <w:iCs w:val="0"/>
        </w:rPr>
        <w:fldChar w:fldCharType="end"/>
      </w:r>
      <w:r>
        <w:rPr>
          <w:b/>
          <w:bCs/>
          <w:i w:val="0"/>
          <w:iCs w:val="0"/>
        </w:rPr>
        <w:t xml:space="preserve">: </w:t>
      </w:r>
      <w:r>
        <w:rPr>
          <w:i w:val="0"/>
          <w:iCs w:val="0"/>
        </w:rPr>
        <w:t>The schematic of a 16-bit STA.</w:t>
      </w:r>
    </w:p>
    <w:p w14:paraId="73F98995" w14:textId="471FFECE" w:rsidR="00F1613C" w:rsidRDefault="00F1613C" w:rsidP="00F1613C">
      <w:pPr>
        <w:spacing w:after="0" w:line="240" w:lineRule="auto"/>
      </w:pPr>
    </w:p>
    <w:p w14:paraId="317F1169" w14:textId="49E62191" w:rsidR="00F1613C" w:rsidRDefault="00F1613C" w:rsidP="00F1613C">
      <w:pPr>
        <w:spacing w:after="0" w:line="240" w:lineRule="auto"/>
      </w:pPr>
      <w:r>
        <w:t xml:space="preserve">Figure 6 above shows that the STA relies on multiple “MCC” modules to generate the carry </w:t>
      </w:r>
      <w:r w:rsidR="00F35354">
        <w:t>bit</w:t>
      </w:r>
      <w:r>
        <w:t xml:space="preserve"> (c8). The MCC or Manchester carry chain is a variation of the carry-lookahead adder that uses shared logic to lower the transistor count. An MCC generates the intermediate carries by tapping off nodes in the gate that calculates the most significant carry value. </w:t>
      </w:r>
      <w:r w:rsidR="00DA7641">
        <w:t>Typically, the input to an MCC does not exceed 4 bits</w:t>
      </w:r>
      <w:r w:rsidR="00D95FBB">
        <w:t xml:space="preserve"> for sizing and delay purposes</w:t>
      </w:r>
      <w:r w:rsidR="00DA7641">
        <w:t>. The schematic of an MCC is shown in Figure 7 below.</w:t>
      </w:r>
    </w:p>
    <w:p w14:paraId="277B3577" w14:textId="3CBEE249" w:rsidR="00DA7641" w:rsidRDefault="00DA7641" w:rsidP="00F1613C">
      <w:pPr>
        <w:spacing w:after="0" w:line="240" w:lineRule="auto"/>
      </w:pPr>
    </w:p>
    <w:p w14:paraId="168F1459" w14:textId="77777777" w:rsidR="00776924" w:rsidRDefault="00776924" w:rsidP="00776924">
      <w:pPr>
        <w:keepNext/>
        <w:spacing w:after="0" w:line="240" w:lineRule="auto"/>
        <w:jc w:val="center"/>
      </w:pPr>
      <w:r>
        <w:rPr>
          <w:noProof/>
        </w:rPr>
        <w:lastRenderedPageBreak/>
        <w:drawing>
          <wp:inline distT="0" distB="0" distL="0" distR="0" wp14:anchorId="3FAD203F" wp14:editId="6FBAEEC5">
            <wp:extent cx="3248025" cy="4905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8025" cy="4905375"/>
                    </a:xfrm>
                    <a:prstGeom prst="rect">
                      <a:avLst/>
                    </a:prstGeom>
                  </pic:spPr>
                </pic:pic>
              </a:graphicData>
            </a:graphic>
          </wp:inline>
        </w:drawing>
      </w:r>
    </w:p>
    <w:p w14:paraId="01FBCC03" w14:textId="0F0751C9" w:rsidR="00DA7641" w:rsidRDefault="00776924" w:rsidP="00776924">
      <w:pPr>
        <w:pStyle w:val="Caption"/>
        <w:spacing w:after="0"/>
        <w:jc w:val="center"/>
        <w:rPr>
          <w:i w:val="0"/>
          <w:iCs w:val="0"/>
        </w:rPr>
      </w:pPr>
      <w:r w:rsidRPr="00776924">
        <w:rPr>
          <w:b/>
          <w:bCs/>
          <w:i w:val="0"/>
          <w:iCs w:val="0"/>
        </w:rPr>
        <w:t xml:space="preserve">Figure </w:t>
      </w:r>
      <w:r w:rsidRPr="00776924">
        <w:rPr>
          <w:b/>
          <w:bCs/>
          <w:i w:val="0"/>
          <w:iCs w:val="0"/>
        </w:rPr>
        <w:fldChar w:fldCharType="begin"/>
      </w:r>
      <w:r w:rsidRPr="00776924">
        <w:rPr>
          <w:b/>
          <w:bCs/>
          <w:i w:val="0"/>
          <w:iCs w:val="0"/>
        </w:rPr>
        <w:instrText xml:space="preserve"> SEQ Figure \* ARABIC </w:instrText>
      </w:r>
      <w:r w:rsidRPr="00776924">
        <w:rPr>
          <w:b/>
          <w:bCs/>
          <w:i w:val="0"/>
          <w:iCs w:val="0"/>
        </w:rPr>
        <w:fldChar w:fldCharType="separate"/>
      </w:r>
      <w:r>
        <w:rPr>
          <w:b/>
          <w:bCs/>
          <w:i w:val="0"/>
          <w:iCs w:val="0"/>
          <w:noProof/>
        </w:rPr>
        <w:t>7</w:t>
      </w:r>
      <w:r w:rsidRPr="00776924">
        <w:rPr>
          <w:b/>
          <w:bCs/>
          <w:i w:val="0"/>
          <w:iCs w:val="0"/>
        </w:rPr>
        <w:fldChar w:fldCharType="end"/>
      </w:r>
      <w:r>
        <w:rPr>
          <w:b/>
          <w:bCs/>
          <w:i w:val="0"/>
          <w:iCs w:val="0"/>
        </w:rPr>
        <w:t xml:space="preserve">: </w:t>
      </w:r>
      <w:r>
        <w:rPr>
          <w:i w:val="0"/>
          <w:iCs w:val="0"/>
        </w:rPr>
        <w:t>The MCC module.</w:t>
      </w:r>
    </w:p>
    <w:p w14:paraId="6EE0598B" w14:textId="2FD81B2A" w:rsidR="00776924" w:rsidRDefault="00776924" w:rsidP="00776924">
      <w:pPr>
        <w:spacing w:after="0" w:line="240" w:lineRule="auto"/>
      </w:pPr>
    </w:p>
    <w:p w14:paraId="1096E2DE" w14:textId="6473E7B4" w:rsidR="00776924" w:rsidRDefault="00776924" w:rsidP="00776924">
      <w:pPr>
        <w:spacing w:after="0" w:line="240" w:lineRule="auto"/>
      </w:pPr>
      <w:r>
        <w:t>An MCC module may also have a carry-in as an input</w:t>
      </w:r>
      <w:r w:rsidR="00F35354">
        <w:t xml:space="preserve"> (bottom-left MCC module in Figure 6)</w:t>
      </w:r>
      <w:r>
        <w:t>, as shown in Figure 8 below.</w:t>
      </w:r>
    </w:p>
    <w:p w14:paraId="6B4DC4C9" w14:textId="218345BD" w:rsidR="00776924" w:rsidRDefault="00776924" w:rsidP="00776924">
      <w:pPr>
        <w:spacing w:after="0" w:line="240" w:lineRule="auto"/>
      </w:pPr>
    </w:p>
    <w:p w14:paraId="6D1F5AE7" w14:textId="77777777" w:rsidR="00776924" w:rsidRDefault="00776924" w:rsidP="00776924">
      <w:pPr>
        <w:keepNext/>
        <w:spacing w:after="0" w:line="240" w:lineRule="auto"/>
        <w:jc w:val="center"/>
      </w:pPr>
      <w:r>
        <w:rPr>
          <w:noProof/>
        </w:rPr>
        <w:lastRenderedPageBreak/>
        <w:drawing>
          <wp:inline distT="0" distB="0" distL="0" distR="0" wp14:anchorId="06B15FFF" wp14:editId="5DBC6039">
            <wp:extent cx="2181225" cy="3543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1225" cy="3543300"/>
                    </a:xfrm>
                    <a:prstGeom prst="rect">
                      <a:avLst/>
                    </a:prstGeom>
                  </pic:spPr>
                </pic:pic>
              </a:graphicData>
            </a:graphic>
          </wp:inline>
        </w:drawing>
      </w:r>
    </w:p>
    <w:p w14:paraId="44171ABC" w14:textId="2DE2BC43" w:rsidR="00776924" w:rsidRDefault="00776924" w:rsidP="00776924">
      <w:pPr>
        <w:pStyle w:val="Caption"/>
        <w:spacing w:after="0"/>
        <w:jc w:val="center"/>
        <w:rPr>
          <w:i w:val="0"/>
          <w:iCs w:val="0"/>
        </w:rPr>
      </w:pPr>
      <w:r w:rsidRPr="00776924">
        <w:rPr>
          <w:b/>
          <w:bCs/>
          <w:i w:val="0"/>
          <w:iCs w:val="0"/>
        </w:rPr>
        <w:t xml:space="preserve">Figure </w:t>
      </w:r>
      <w:r w:rsidRPr="00776924">
        <w:rPr>
          <w:b/>
          <w:bCs/>
          <w:i w:val="0"/>
          <w:iCs w:val="0"/>
        </w:rPr>
        <w:fldChar w:fldCharType="begin"/>
      </w:r>
      <w:r w:rsidRPr="00776924">
        <w:rPr>
          <w:b/>
          <w:bCs/>
          <w:i w:val="0"/>
          <w:iCs w:val="0"/>
        </w:rPr>
        <w:instrText xml:space="preserve"> SEQ Figure \* ARABIC </w:instrText>
      </w:r>
      <w:r w:rsidRPr="00776924">
        <w:rPr>
          <w:b/>
          <w:bCs/>
          <w:i w:val="0"/>
          <w:iCs w:val="0"/>
        </w:rPr>
        <w:fldChar w:fldCharType="separate"/>
      </w:r>
      <w:r w:rsidRPr="00776924">
        <w:rPr>
          <w:b/>
          <w:bCs/>
          <w:i w:val="0"/>
          <w:iCs w:val="0"/>
          <w:noProof/>
        </w:rPr>
        <w:t>8</w:t>
      </w:r>
      <w:r w:rsidRPr="00776924">
        <w:rPr>
          <w:b/>
          <w:bCs/>
          <w:i w:val="0"/>
          <w:iCs w:val="0"/>
        </w:rPr>
        <w:fldChar w:fldCharType="end"/>
      </w:r>
      <w:r>
        <w:rPr>
          <w:b/>
          <w:bCs/>
          <w:i w:val="0"/>
          <w:iCs w:val="0"/>
        </w:rPr>
        <w:t xml:space="preserve">: </w:t>
      </w:r>
      <w:r>
        <w:rPr>
          <w:i w:val="0"/>
          <w:iCs w:val="0"/>
        </w:rPr>
        <w:t>The MCC module with a carry-in.</w:t>
      </w:r>
    </w:p>
    <w:p w14:paraId="6E5D2217" w14:textId="05F1BEB3" w:rsidR="00776924" w:rsidRDefault="00776924" w:rsidP="00776924">
      <w:pPr>
        <w:spacing w:after="0" w:line="240" w:lineRule="auto"/>
      </w:pPr>
    </w:p>
    <w:p w14:paraId="262D93B3" w14:textId="351657B9" w:rsidR="00776924" w:rsidRPr="00F35354" w:rsidRDefault="00776924" w:rsidP="00776924">
      <w:pPr>
        <w:spacing w:after="0" w:line="240" w:lineRule="auto"/>
      </w:pPr>
      <w:r>
        <w:t>The propagate and generate bits shown in Figures 7 and 8 are calculated the same way as before. In fact, these schematics demonstrate how the bits are calculated at the transistor level!</w:t>
      </w:r>
      <w:r w:rsidR="00F35354">
        <w:t xml:space="preserve"> In this example, the carry bit c8 in Figure 6 is the generate bit g</w:t>
      </w:r>
      <w:r w:rsidR="00F35354">
        <w:rPr>
          <w:vertAlign w:val="subscript"/>
        </w:rPr>
        <w:t>1:0</w:t>
      </w:r>
      <w:r w:rsidR="00F35354">
        <w:t xml:space="preserve"> from the MCC module in the second column. This is no different from before where the carry bits were given by the last calculated generate bits (i.e. </w:t>
      </w: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last</m:t>
            </m:r>
          </m:sub>
        </m:sSub>
      </m:oMath>
      <w:r w:rsidR="00F35354">
        <w:rPr>
          <w:rFonts w:eastAsiaTheme="minorEastAsia"/>
        </w:rPr>
        <w:t>).</w:t>
      </w:r>
    </w:p>
    <w:p w14:paraId="794C3B5A" w14:textId="77777777" w:rsidR="00B81423" w:rsidRDefault="00B81423" w:rsidP="00776924">
      <w:pPr>
        <w:spacing w:after="0" w:line="240" w:lineRule="auto"/>
        <w:rPr>
          <w:b/>
          <w:bCs/>
        </w:rPr>
      </w:pPr>
    </w:p>
    <w:p w14:paraId="67F97268" w14:textId="62D4B8C2" w:rsidR="00B81423" w:rsidRPr="00F35354" w:rsidRDefault="00F35354" w:rsidP="00F45ADE">
      <w:pPr>
        <w:spacing w:after="0" w:line="240" w:lineRule="auto"/>
      </w:pPr>
      <w:r>
        <w:t xml:space="preserve">Compared to the KSA, the STA is smaller, has a lower fan-out, and needs less wiring. On the other hand, </w:t>
      </w:r>
      <w:r w:rsidR="00112A6D">
        <w:t>the STA uses an MCC, and o</w:t>
      </w:r>
      <w:r w:rsidRPr="00F35354">
        <w:t xml:space="preserve">ne of </w:t>
      </w:r>
      <w:r w:rsidR="00112A6D">
        <w:t xml:space="preserve">its </w:t>
      </w:r>
      <w:r w:rsidRPr="00F35354">
        <w:t>major downsides is that the capacitive load of all of these outputs, together with the resistance of the transistors causes the propagation delay to increase much more quickly than a regular carry lookahead.</w:t>
      </w:r>
    </w:p>
    <w:p w14:paraId="087E68D9" w14:textId="77777777" w:rsidR="00B81423" w:rsidRDefault="00B81423" w:rsidP="00F45ADE">
      <w:pPr>
        <w:spacing w:after="0" w:line="240" w:lineRule="auto"/>
        <w:rPr>
          <w:b/>
          <w:bCs/>
        </w:rPr>
      </w:pPr>
    </w:p>
    <w:p w14:paraId="1F32695C" w14:textId="77777777" w:rsidR="00112A6D" w:rsidRDefault="00112A6D" w:rsidP="00F45ADE">
      <w:pPr>
        <w:spacing w:after="0" w:line="240" w:lineRule="auto"/>
        <w:rPr>
          <w:b/>
          <w:bCs/>
        </w:rPr>
      </w:pPr>
    </w:p>
    <w:p w14:paraId="707AB8C6" w14:textId="77777777" w:rsidR="00112A6D" w:rsidRDefault="00112A6D" w:rsidP="00F45ADE">
      <w:pPr>
        <w:spacing w:after="0" w:line="240" w:lineRule="auto"/>
        <w:rPr>
          <w:b/>
          <w:bCs/>
        </w:rPr>
      </w:pPr>
    </w:p>
    <w:p w14:paraId="00446A00" w14:textId="77777777" w:rsidR="00112A6D" w:rsidRDefault="00112A6D" w:rsidP="00F45ADE">
      <w:pPr>
        <w:spacing w:after="0" w:line="240" w:lineRule="auto"/>
        <w:rPr>
          <w:b/>
          <w:bCs/>
        </w:rPr>
      </w:pPr>
    </w:p>
    <w:p w14:paraId="1F94F781" w14:textId="77777777" w:rsidR="00112A6D" w:rsidRDefault="00112A6D" w:rsidP="00F45ADE">
      <w:pPr>
        <w:spacing w:after="0" w:line="240" w:lineRule="auto"/>
        <w:rPr>
          <w:b/>
          <w:bCs/>
        </w:rPr>
      </w:pPr>
    </w:p>
    <w:p w14:paraId="48E6F3A0" w14:textId="77777777" w:rsidR="00112A6D" w:rsidRDefault="00112A6D" w:rsidP="00F45ADE">
      <w:pPr>
        <w:spacing w:after="0" w:line="240" w:lineRule="auto"/>
        <w:rPr>
          <w:b/>
          <w:bCs/>
        </w:rPr>
      </w:pPr>
    </w:p>
    <w:p w14:paraId="7DAB445A" w14:textId="77777777" w:rsidR="00112A6D" w:rsidRDefault="00112A6D" w:rsidP="00F45ADE">
      <w:pPr>
        <w:spacing w:after="0" w:line="240" w:lineRule="auto"/>
        <w:rPr>
          <w:b/>
          <w:bCs/>
        </w:rPr>
      </w:pPr>
    </w:p>
    <w:p w14:paraId="3A2DA160" w14:textId="77777777" w:rsidR="00112A6D" w:rsidRDefault="00112A6D" w:rsidP="00F45ADE">
      <w:pPr>
        <w:spacing w:after="0" w:line="240" w:lineRule="auto"/>
        <w:rPr>
          <w:b/>
          <w:bCs/>
        </w:rPr>
      </w:pPr>
    </w:p>
    <w:p w14:paraId="7A3E2351" w14:textId="77777777" w:rsidR="00112A6D" w:rsidRDefault="00112A6D" w:rsidP="00F45ADE">
      <w:pPr>
        <w:spacing w:after="0" w:line="240" w:lineRule="auto"/>
        <w:rPr>
          <w:b/>
          <w:bCs/>
        </w:rPr>
      </w:pPr>
    </w:p>
    <w:p w14:paraId="22BDAAD5" w14:textId="77777777" w:rsidR="00112A6D" w:rsidRDefault="00112A6D" w:rsidP="00F45ADE">
      <w:pPr>
        <w:spacing w:after="0" w:line="240" w:lineRule="auto"/>
        <w:rPr>
          <w:b/>
          <w:bCs/>
        </w:rPr>
      </w:pPr>
    </w:p>
    <w:p w14:paraId="3DE19C1E" w14:textId="77777777" w:rsidR="00112A6D" w:rsidRDefault="00112A6D" w:rsidP="00F45ADE">
      <w:pPr>
        <w:spacing w:after="0" w:line="240" w:lineRule="auto"/>
        <w:rPr>
          <w:b/>
          <w:bCs/>
        </w:rPr>
      </w:pPr>
    </w:p>
    <w:p w14:paraId="0E4B7308" w14:textId="77777777" w:rsidR="00112A6D" w:rsidRDefault="00112A6D" w:rsidP="00F45ADE">
      <w:pPr>
        <w:spacing w:after="0" w:line="240" w:lineRule="auto"/>
        <w:rPr>
          <w:b/>
          <w:bCs/>
        </w:rPr>
      </w:pPr>
    </w:p>
    <w:p w14:paraId="3CCBD39B" w14:textId="77777777" w:rsidR="00112A6D" w:rsidRDefault="00112A6D" w:rsidP="00F45ADE">
      <w:pPr>
        <w:spacing w:after="0" w:line="240" w:lineRule="auto"/>
        <w:rPr>
          <w:b/>
          <w:bCs/>
        </w:rPr>
      </w:pPr>
    </w:p>
    <w:p w14:paraId="7537BB02" w14:textId="77777777" w:rsidR="00112A6D" w:rsidRDefault="00112A6D" w:rsidP="00F45ADE">
      <w:pPr>
        <w:spacing w:after="0" w:line="240" w:lineRule="auto"/>
        <w:rPr>
          <w:b/>
          <w:bCs/>
        </w:rPr>
      </w:pPr>
    </w:p>
    <w:p w14:paraId="1B90E60A" w14:textId="77777777" w:rsidR="00112A6D" w:rsidRDefault="00112A6D" w:rsidP="00F45ADE">
      <w:pPr>
        <w:spacing w:after="0" w:line="240" w:lineRule="auto"/>
        <w:rPr>
          <w:b/>
          <w:bCs/>
        </w:rPr>
      </w:pPr>
    </w:p>
    <w:p w14:paraId="42A6291F" w14:textId="77777777" w:rsidR="00112A6D" w:rsidRDefault="00112A6D" w:rsidP="00F45ADE">
      <w:pPr>
        <w:spacing w:after="0" w:line="240" w:lineRule="auto"/>
        <w:rPr>
          <w:b/>
          <w:bCs/>
        </w:rPr>
      </w:pPr>
    </w:p>
    <w:p w14:paraId="4DA44393" w14:textId="20D5BC51" w:rsidR="00D47B49" w:rsidRDefault="00D47B49" w:rsidP="00F45ADE">
      <w:pPr>
        <w:spacing w:after="0" w:line="240" w:lineRule="auto"/>
        <w:rPr>
          <w:b/>
          <w:bCs/>
        </w:rPr>
      </w:pPr>
      <w:r>
        <w:rPr>
          <w:b/>
          <w:bCs/>
        </w:rPr>
        <w:t>Comparisons Between Adders:</w:t>
      </w:r>
    </w:p>
    <w:p w14:paraId="4B5C7800" w14:textId="3574675A" w:rsidR="00D47B49" w:rsidRDefault="00D47B49" w:rsidP="00F45ADE">
      <w:pPr>
        <w:spacing w:after="0" w:line="240" w:lineRule="auto"/>
        <w:rPr>
          <w:b/>
          <w:bCs/>
        </w:rPr>
      </w:pPr>
    </w:p>
    <w:p w14:paraId="4DADBFE3" w14:textId="6AE15270" w:rsidR="00D47B49" w:rsidRDefault="00D47B49" w:rsidP="00F45ADE">
      <w:pPr>
        <w:spacing w:after="0" w:line="240" w:lineRule="auto"/>
      </w:pPr>
      <w:r>
        <w:t xml:space="preserve">Table 1 below summarizes the advantages each adder introduced in this document over the other. </w:t>
      </w:r>
      <w:r w:rsidR="00B307B9">
        <w:t xml:space="preserve">Advantages are organized </w:t>
      </w:r>
      <w:r>
        <w:t>according to ro</w:t>
      </w:r>
      <w:r w:rsidR="00B307B9">
        <w:t>w over column</w:t>
      </w:r>
      <w:r>
        <w:t>.</w:t>
      </w:r>
    </w:p>
    <w:p w14:paraId="2EFD6240" w14:textId="49AF0D30" w:rsidR="00D47B49" w:rsidRDefault="00D47B49" w:rsidP="00F45ADE">
      <w:pPr>
        <w:spacing w:after="0" w:line="240" w:lineRule="auto"/>
      </w:pPr>
    </w:p>
    <w:p w14:paraId="0913D311" w14:textId="6DCBF08F" w:rsidR="00DB73F1" w:rsidRPr="00DB73F1" w:rsidRDefault="00DB73F1" w:rsidP="00DB73F1">
      <w:pPr>
        <w:pStyle w:val="Caption"/>
        <w:keepNext/>
        <w:spacing w:after="0"/>
        <w:jc w:val="center"/>
        <w:rPr>
          <w:i w:val="0"/>
          <w:iCs w:val="0"/>
        </w:rPr>
      </w:pPr>
      <w:r w:rsidRPr="00DB73F1">
        <w:rPr>
          <w:b/>
          <w:bCs/>
          <w:i w:val="0"/>
          <w:iCs w:val="0"/>
        </w:rPr>
        <w:t xml:space="preserve">Table </w:t>
      </w:r>
      <w:r w:rsidRPr="00DB73F1">
        <w:rPr>
          <w:b/>
          <w:bCs/>
          <w:i w:val="0"/>
          <w:iCs w:val="0"/>
        </w:rPr>
        <w:fldChar w:fldCharType="begin"/>
      </w:r>
      <w:r w:rsidRPr="00DB73F1">
        <w:rPr>
          <w:b/>
          <w:bCs/>
          <w:i w:val="0"/>
          <w:iCs w:val="0"/>
        </w:rPr>
        <w:instrText xml:space="preserve"> SEQ Table \* ARABIC </w:instrText>
      </w:r>
      <w:r w:rsidRPr="00DB73F1">
        <w:rPr>
          <w:b/>
          <w:bCs/>
          <w:i w:val="0"/>
          <w:iCs w:val="0"/>
        </w:rPr>
        <w:fldChar w:fldCharType="separate"/>
      </w:r>
      <w:r w:rsidRPr="00DB73F1">
        <w:rPr>
          <w:b/>
          <w:bCs/>
          <w:i w:val="0"/>
          <w:iCs w:val="0"/>
          <w:noProof/>
        </w:rPr>
        <w:t>1</w:t>
      </w:r>
      <w:r w:rsidRPr="00DB73F1">
        <w:rPr>
          <w:b/>
          <w:bCs/>
          <w:i w:val="0"/>
          <w:iCs w:val="0"/>
        </w:rPr>
        <w:fldChar w:fldCharType="end"/>
      </w:r>
      <w:r>
        <w:rPr>
          <w:b/>
          <w:bCs/>
          <w:i w:val="0"/>
          <w:iCs w:val="0"/>
        </w:rPr>
        <w:t xml:space="preserve">: </w:t>
      </w:r>
      <w:r>
        <w:rPr>
          <w:i w:val="0"/>
          <w:iCs w:val="0"/>
        </w:rPr>
        <w:t>Summary of Advantages</w:t>
      </w:r>
    </w:p>
    <w:tbl>
      <w:tblPr>
        <w:tblStyle w:val="TableGrid"/>
        <w:tblW w:w="0" w:type="auto"/>
        <w:tblLook w:val="04A0" w:firstRow="1" w:lastRow="0" w:firstColumn="1" w:lastColumn="0" w:noHBand="0" w:noVBand="1"/>
      </w:tblPr>
      <w:tblGrid>
        <w:gridCol w:w="1120"/>
        <w:gridCol w:w="2136"/>
        <w:gridCol w:w="1984"/>
        <w:gridCol w:w="2091"/>
        <w:gridCol w:w="2019"/>
      </w:tblGrid>
      <w:tr w:rsidR="00112A6D" w14:paraId="25BC0592" w14:textId="03FFC969" w:rsidTr="00112A6D">
        <w:tc>
          <w:tcPr>
            <w:tcW w:w="1120" w:type="dxa"/>
            <w:shd w:val="clear" w:color="auto" w:fill="D9D9D9" w:themeFill="background1" w:themeFillShade="D9"/>
          </w:tcPr>
          <w:p w14:paraId="3F03D3C2" w14:textId="77777777" w:rsidR="00112A6D" w:rsidRDefault="00112A6D" w:rsidP="00D47B49">
            <w:pPr>
              <w:jc w:val="center"/>
            </w:pPr>
          </w:p>
        </w:tc>
        <w:tc>
          <w:tcPr>
            <w:tcW w:w="2136" w:type="dxa"/>
            <w:shd w:val="clear" w:color="auto" w:fill="D9D9D9" w:themeFill="background1" w:themeFillShade="D9"/>
            <w:vAlign w:val="center"/>
          </w:tcPr>
          <w:p w14:paraId="10DF99B0" w14:textId="37D748A0" w:rsidR="00112A6D" w:rsidRPr="00DB73F1" w:rsidRDefault="00112A6D" w:rsidP="00112A6D">
            <w:pPr>
              <w:jc w:val="center"/>
            </w:pPr>
            <w:r w:rsidRPr="00DB73F1">
              <w:t>Kogge-Stone Adder</w:t>
            </w:r>
          </w:p>
        </w:tc>
        <w:tc>
          <w:tcPr>
            <w:tcW w:w="1984" w:type="dxa"/>
            <w:shd w:val="clear" w:color="auto" w:fill="D9D9D9" w:themeFill="background1" w:themeFillShade="D9"/>
            <w:vAlign w:val="center"/>
          </w:tcPr>
          <w:p w14:paraId="6D17B11A" w14:textId="2A5ACD1E" w:rsidR="00112A6D" w:rsidRPr="00DB73F1" w:rsidRDefault="00112A6D" w:rsidP="00112A6D">
            <w:pPr>
              <w:jc w:val="center"/>
            </w:pPr>
            <w:r w:rsidRPr="00DB73F1">
              <w:t>Brent-Kung Adder</w:t>
            </w:r>
          </w:p>
        </w:tc>
        <w:tc>
          <w:tcPr>
            <w:tcW w:w="2091" w:type="dxa"/>
            <w:shd w:val="clear" w:color="auto" w:fill="D9D9D9" w:themeFill="background1" w:themeFillShade="D9"/>
            <w:vAlign w:val="center"/>
          </w:tcPr>
          <w:p w14:paraId="40F22D2E" w14:textId="07F1D8C6" w:rsidR="00112A6D" w:rsidRPr="00DB73F1" w:rsidRDefault="00112A6D" w:rsidP="00112A6D">
            <w:pPr>
              <w:jc w:val="center"/>
            </w:pPr>
            <w:r w:rsidRPr="00DB73F1">
              <w:t>Han-Carlson Adder</w:t>
            </w:r>
          </w:p>
        </w:tc>
        <w:tc>
          <w:tcPr>
            <w:tcW w:w="2019" w:type="dxa"/>
            <w:shd w:val="clear" w:color="auto" w:fill="D9D9D9" w:themeFill="background1" w:themeFillShade="D9"/>
            <w:vAlign w:val="center"/>
          </w:tcPr>
          <w:p w14:paraId="06DE7C91" w14:textId="7E06E1AA" w:rsidR="00112A6D" w:rsidRPr="00DB73F1" w:rsidRDefault="00112A6D" w:rsidP="00112A6D">
            <w:pPr>
              <w:jc w:val="center"/>
            </w:pPr>
            <w:r>
              <w:t>Spanning Tree Adder</w:t>
            </w:r>
          </w:p>
        </w:tc>
      </w:tr>
      <w:tr w:rsidR="00112A6D" w14:paraId="5CC09511" w14:textId="46D6AA9F" w:rsidTr="00112A6D">
        <w:tc>
          <w:tcPr>
            <w:tcW w:w="1120" w:type="dxa"/>
            <w:shd w:val="clear" w:color="auto" w:fill="D9D9D9" w:themeFill="background1" w:themeFillShade="D9"/>
            <w:vAlign w:val="center"/>
          </w:tcPr>
          <w:p w14:paraId="392E6CEF" w14:textId="247AFFC6" w:rsidR="00112A6D" w:rsidRPr="00DB73F1" w:rsidRDefault="00112A6D" w:rsidP="00DB73F1">
            <w:pPr>
              <w:jc w:val="center"/>
            </w:pPr>
            <w:r w:rsidRPr="00DB73F1">
              <w:t>Kogge-Stone Adder</w:t>
            </w:r>
          </w:p>
        </w:tc>
        <w:tc>
          <w:tcPr>
            <w:tcW w:w="2136" w:type="dxa"/>
            <w:shd w:val="clear" w:color="auto" w:fill="FFFFFF" w:themeFill="background1"/>
            <w:vAlign w:val="center"/>
          </w:tcPr>
          <w:p w14:paraId="4515DDD2" w14:textId="7ED4FCBF" w:rsidR="00112A6D" w:rsidRDefault="00112A6D" w:rsidP="000B3747">
            <w:pPr>
              <w:jc w:val="center"/>
            </w:pPr>
            <w:r>
              <w:t>---</w:t>
            </w:r>
          </w:p>
        </w:tc>
        <w:tc>
          <w:tcPr>
            <w:tcW w:w="1984" w:type="dxa"/>
            <w:vAlign w:val="center"/>
          </w:tcPr>
          <w:p w14:paraId="1F1472B0" w14:textId="25B068F3" w:rsidR="00112A6D" w:rsidRDefault="00112A6D" w:rsidP="00DB73F1">
            <w:pPr>
              <w:pStyle w:val="ListParagraph"/>
              <w:numPr>
                <w:ilvl w:val="0"/>
                <w:numId w:val="1"/>
              </w:numPr>
            </w:pPr>
            <w:r>
              <w:t>Lower fan-out</w:t>
            </w:r>
          </w:p>
          <w:p w14:paraId="72EBA8B0" w14:textId="3D6C1AF3" w:rsidR="00112A6D" w:rsidRDefault="00112A6D" w:rsidP="00DB73F1">
            <w:pPr>
              <w:pStyle w:val="ListParagraph"/>
              <w:numPr>
                <w:ilvl w:val="0"/>
                <w:numId w:val="1"/>
              </w:numPr>
            </w:pPr>
            <w:r>
              <w:t>Less delay</w:t>
            </w:r>
          </w:p>
        </w:tc>
        <w:tc>
          <w:tcPr>
            <w:tcW w:w="2091" w:type="dxa"/>
            <w:vAlign w:val="center"/>
          </w:tcPr>
          <w:p w14:paraId="55B35B40" w14:textId="338CAFFD" w:rsidR="00112A6D" w:rsidRDefault="00112A6D" w:rsidP="00DB73F1">
            <w:pPr>
              <w:pStyle w:val="ListParagraph"/>
              <w:numPr>
                <w:ilvl w:val="0"/>
                <w:numId w:val="1"/>
              </w:numPr>
            </w:pPr>
            <w:r>
              <w:t>Less delay</w:t>
            </w:r>
          </w:p>
        </w:tc>
        <w:tc>
          <w:tcPr>
            <w:tcW w:w="2019" w:type="dxa"/>
            <w:vAlign w:val="center"/>
          </w:tcPr>
          <w:p w14:paraId="345C644A" w14:textId="07BF0651" w:rsidR="00112A6D" w:rsidRDefault="007E4F2A" w:rsidP="00112A6D">
            <w:pPr>
              <w:pStyle w:val="ListParagraph"/>
              <w:numPr>
                <w:ilvl w:val="0"/>
                <w:numId w:val="1"/>
              </w:numPr>
              <w:jc w:val="center"/>
            </w:pPr>
            <w:r>
              <w:t>Less delay</w:t>
            </w:r>
            <w:r w:rsidR="00D95FBB">
              <w:t xml:space="preserve"> (as adder size increases)</w:t>
            </w:r>
          </w:p>
        </w:tc>
      </w:tr>
      <w:tr w:rsidR="00112A6D" w14:paraId="301E9C1A" w14:textId="581358C8" w:rsidTr="00112A6D">
        <w:tc>
          <w:tcPr>
            <w:tcW w:w="1120" w:type="dxa"/>
            <w:shd w:val="clear" w:color="auto" w:fill="D9D9D9" w:themeFill="background1" w:themeFillShade="D9"/>
            <w:vAlign w:val="center"/>
          </w:tcPr>
          <w:p w14:paraId="63239FD0" w14:textId="3DEC15F9" w:rsidR="00112A6D" w:rsidRPr="00DB73F1" w:rsidRDefault="00112A6D" w:rsidP="00DB73F1">
            <w:pPr>
              <w:jc w:val="center"/>
            </w:pPr>
            <w:r w:rsidRPr="00DB73F1">
              <w:t>Brent-Kung Adder</w:t>
            </w:r>
          </w:p>
        </w:tc>
        <w:tc>
          <w:tcPr>
            <w:tcW w:w="2136" w:type="dxa"/>
            <w:shd w:val="clear" w:color="auto" w:fill="FFFFFF" w:themeFill="background1"/>
            <w:vAlign w:val="center"/>
          </w:tcPr>
          <w:p w14:paraId="0D3BD99E" w14:textId="77777777" w:rsidR="00112A6D" w:rsidRDefault="00112A6D" w:rsidP="00DB73F1">
            <w:pPr>
              <w:pStyle w:val="ListParagraph"/>
              <w:numPr>
                <w:ilvl w:val="0"/>
                <w:numId w:val="1"/>
              </w:numPr>
            </w:pPr>
            <w:r>
              <w:t>Less wiring</w:t>
            </w:r>
          </w:p>
          <w:p w14:paraId="68B6EB51" w14:textId="05FEDC8A" w:rsidR="00112A6D" w:rsidRDefault="00112A6D" w:rsidP="00DB73F1">
            <w:pPr>
              <w:pStyle w:val="ListParagraph"/>
              <w:numPr>
                <w:ilvl w:val="0"/>
                <w:numId w:val="1"/>
              </w:numPr>
            </w:pPr>
            <w:r>
              <w:t>Fewer cells to implement</w:t>
            </w:r>
          </w:p>
        </w:tc>
        <w:tc>
          <w:tcPr>
            <w:tcW w:w="1984" w:type="dxa"/>
            <w:vAlign w:val="center"/>
          </w:tcPr>
          <w:p w14:paraId="4C6E6CD3" w14:textId="6EA55810" w:rsidR="00112A6D" w:rsidRDefault="00112A6D" w:rsidP="00B307B9">
            <w:pPr>
              <w:jc w:val="center"/>
            </w:pPr>
            <w:r>
              <w:t>---</w:t>
            </w:r>
          </w:p>
        </w:tc>
        <w:tc>
          <w:tcPr>
            <w:tcW w:w="2091" w:type="dxa"/>
            <w:vAlign w:val="center"/>
          </w:tcPr>
          <w:p w14:paraId="6D4C20B2" w14:textId="77777777" w:rsidR="00112A6D" w:rsidRDefault="00112A6D" w:rsidP="00DB73F1">
            <w:pPr>
              <w:pStyle w:val="ListParagraph"/>
              <w:numPr>
                <w:ilvl w:val="0"/>
                <w:numId w:val="1"/>
              </w:numPr>
            </w:pPr>
            <w:r>
              <w:t>Less wiring</w:t>
            </w:r>
          </w:p>
          <w:p w14:paraId="4351B1CB" w14:textId="2829336E" w:rsidR="00112A6D" w:rsidRDefault="00112A6D" w:rsidP="00DB73F1">
            <w:pPr>
              <w:pStyle w:val="ListParagraph"/>
              <w:numPr>
                <w:ilvl w:val="0"/>
                <w:numId w:val="1"/>
              </w:numPr>
            </w:pPr>
            <w:r>
              <w:t>Fewer cells to implement</w:t>
            </w:r>
          </w:p>
        </w:tc>
        <w:tc>
          <w:tcPr>
            <w:tcW w:w="2019" w:type="dxa"/>
            <w:vAlign w:val="center"/>
          </w:tcPr>
          <w:p w14:paraId="7941C792" w14:textId="0FD45773" w:rsidR="00112A6D" w:rsidRDefault="007E4F2A" w:rsidP="00112A6D">
            <w:pPr>
              <w:pStyle w:val="ListParagraph"/>
              <w:numPr>
                <w:ilvl w:val="0"/>
                <w:numId w:val="1"/>
              </w:numPr>
              <w:jc w:val="center"/>
            </w:pPr>
            <w:r>
              <w:t>Less delay</w:t>
            </w:r>
            <w:r w:rsidR="00D95FBB">
              <w:t xml:space="preserve"> (as adder size increases)</w:t>
            </w:r>
          </w:p>
        </w:tc>
      </w:tr>
      <w:tr w:rsidR="00112A6D" w14:paraId="7FFF02FC" w14:textId="7AAC33C0" w:rsidTr="00112A6D">
        <w:tc>
          <w:tcPr>
            <w:tcW w:w="1120" w:type="dxa"/>
            <w:shd w:val="clear" w:color="auto" w:fill="D9D9D9" w:themeFill="background1" w:themeFillShade="D9"/>
            <w:vAlign w:val="center"/>
          </w:tcPr>
          <w:p w14:paraId="215765BE" w14:textId="07C54F58" w:rsidR="00112A6D" w:rsidRPr="00DB73F1" w:rsidRDefault="00112A6D" w:rsidP="00DB73F1">
            <w:pPr>
              <w:jc w:val="center"/>
            </w:pPr>
            <w:r w:rsidRPr="00DB73F1">
              <w:t>Han-Carlson Adder</w:t>
            </w:r>
          </w:p>
        </w:tc>
        <w:tc>
          <w:tcPr>
            <w:tcW w:w="2136" w:type="dxa"/>
            <w:shd w:val="clear" w:color="auto" w:fill="FFFFFF" w:themeFill="background1"/>
            <w:vAlign w:val="center"/>
          </w:tcPr>
          <w:p w14:paraId="739C7D31" w14:textId="77777777" w:rsidR="00112A6D" w:rsidRDefault="00112A6D" w:rsidP="00DB73F1">
            <w:pPr>
              <w:pStyle w:val="ListParagraph"/>
              <w:numPr>
                <w:ilvl w:val="0"/>
                <w:numId w:val="1"/>
              </w:numPr>
            </w:pPr>
            <w:r>
              <w:t>Less wiring</w:t>
            </w:r>
          </w:p>
          <w:p w14:paraId="30E6EAC3" w14:textId="60DB21C9" w:rsidR="00112A6D" w:rsidRDefault="00112A6D" w:rsidP="00DB73F1">
            <w:pPr>
              <w:pStyle w:val="ListParagraph"/>
              <w:numPr>
                <w:ilvl w:val="0"/>
                <w:numId w:val="1"/>
              </w:numPr>
            </w:pPr>
            <w:r>
              <w:t>Fewer cells to implement</w:t>
            </w:r>
          </w:p>
        </w:tc>
        <w:tc>
          <w:tcPr>
            <w:tcW w:w="1984" w:type="dxa"/>
            <w:vAlign w:val="center"/>
          </w:tcPr>
          <w:p w14:paraId="019B7876" w14:textId="1E7DD310" w:rsidR="00112A6D" w:rsidRDefault="00112A6D" w:rsidP="00DB73F1">
            <w:pPr>
              <w:pStyle w:val="ListParagraph"/>
              <w:numPr>
                <w:ilvl w:val="0"/>
                <w:numId w:val="1"/>
              </w:numPr>
            </w:pPr>
            <w:r>
              <w:t>Lower fan-out</w:t>
            </w:r>
          </w:p>
          <w:p w14:paraId="25C91248" w14:textId="042B17D1" w:rsidR="00112A6D" w:rsidRDefault="00112A6D" w:rsidP="00DB73F1">
            <w:pPr>
              <w:pStyle w:val="ListParagraph"/>
              <w:numPr>
                <w:ilvl w:val="0"/>
                <w:numId w:val="1"/>
              </w:numPr>
            </w:pPr>
            <w:r>
              <w:t>Less delay</w:t>
            </w:r>
          </w:p>
        </w:tc>
        <w:tc>
          <w:tcPr>
            <w:tcW w:w="2091" w:type="dxa"/>
            <w:vAlign w:val="center"/>
          </w:tcPr>
          <w:p w14:paraId="2DCF2D06" w14:textId="7BCF0C4B" w:rsidR="00112A6D" w:rsidRDefault="00112A6D" w:rsidP="00B307B9">
            <w:pPr>
              <w:jc w:val="center"/>
            </w:pPr>
            <w:r>
              <w:t>---</w:t>
            </w:r>
          </w:p>
        </w:tc>
        <w:tc>
          <w:tcPr>
            <w:tcW w:w="2019" w:type="dxa"/>
            <w:vAlign w:val="center"/>
          </w:tcPr>
          <w:p w14:paraId="3B4A3979" w14:textId="07461FEC" w:rsidR="00112A6D" w:rsidRDefault="007E4F2A" w:rsidP="007E4F2A">
            <w:pPr>
              <w:pStyle w:val="ListParagraph"/>
              <w:numPr>
                <w:ilvl w:val="0"/>
                <w:numId w:val="1"/>
              </w:numPr>
              <w:jc w:val="center"/>
            </w:pPr>
            <w:r>
              <w:t>Less delay</w:t>
            </w:r>
            <w:r w:rsidR="00D95FBB">
              <w:t xml:space="preserve"> (as adder size increases)</w:t>
            </w:r>
            <w:bookmarkStart w:id="0" w:name="_GoBack"/>
            <w:bookmarkEnd w:id="0"/>
          </w:p>
        </w:tc>
      </w:tr>
      <w:tr w:rsidR="00112A6D" w14:paraId="6C01313B" w14:textId="77777777" w:rsidTr="007E4F2A">
        <w:trPr>
          <w:trHeight w:val="1179"/>
        </w:trPr>
        <w:tc>
          <w:tcPr>
            <w:tcW w:w="1120" w:type="dxa"/>
            <w:shd w:val="clear" w:color="auto" w:fill="D9D9D9" w:themeFill="background1" w:themeFillShade="D9"/>
            <w:vAlign w:val="center"/>
          </w:tcPr>
          <w:p w14:paraId="318EF75D" w14:textId="00C1B6AF" w:rsidR="00112A6D" w:rsidRPr="00DB73F1" w:rsidRDefault="00112A6D" w:rsidP="00DB73F1">
            <w:pPr>
              <w:jc w:val="center"/>
            </w:pPr>
            <w:r>
              <w:t>Spanning Tree Adder</w:t>
            </w:r>
          </w:p>
        </w:tc>
        <w:tc>
          <w:tcPr>
            <w:tcW w:w="2136" w:type="dxa"/>
            <w:shd w:val="clear" w:color="auto" w:fill="FFFFFF" w:themeFill="background1"/>
            <w:vAlign w:val="center"/>
          </w:tcPr>
          <w:p w14:paraId="7EBCB211" w14:textId="77777777" w:rsidR="00112A6D" w:rsidRDefault="00112A6D" w:rsidP="00DB73F1">
            <w:pPr>
              <w:pStyle w:val="ListParagraph"/>
              <w:numPr>
                <w:ilvl w:val="0"/>
                <w:numId w:val="1"/>
              </w:numPr>
            </w:pPr>
            <w:r>
              <w:t>Lower fan-out</w:t>
            </w:r>
          </w:p>
          <w:p w14:paraId="14D6FD3C" w14:textId="77777777" w:rsidR="00112A6D" w:rsidRDefault="00112A6D" w:rsidP="00DB73F1">
            <w:pPr>
              <w:pStyle w:val="ListParagraph"/>
              <w:numPr>
                <w:ilvl w:val="0"/>
                <w:numId w:val="1"/>
              </w:numPr>
            </w:pPr>
            <w:r>
              <w:t>Less wiring</w:t>
            </w:r>
          </w:p>
          <w:p w14:paraId="54B46F45" w14:textId="1BEB1820" w:rsidR="00112A6D" w:rsidRDefault="00112A6D" w:rsidP="00DB73F1">
            <w:pPr>
              <w:pStyle w:val="ListParagraph"/>
              <w:numPr>
                <w:ilvl w:val="0"/>
                <w:numId w:val="1"/>
              </w:numPr>
            </w:pPr>
            <w:r>
              <w:t>Fewer cells to implement</w:t>
            </w:r>
          </w:p>
        </w:tc>
        <w:tc>
          <w:tcPr>
            <w:tcW w:w="1984" w:type="dxa"/>
            <w:vAlign w:val="center"/>
          </w:tcPr>
          <w:p w14:paraId="291D84A8" w14:textId="2F6B46EF" w:rsidR="00112A6D" w:rsidRDefault="00112A6D" w:rsidP="007E4F2A">
            <w:pPr>
              <w:pStyle w:val="ListParagraph"/>
              <w:numPr>
                <w:ilvl w:val="0"/>
                <w:numId w:val="1"/>
              </w:numPr>
            </w:pPr>
            <w:r>
              <w:t>Lower fan-out</w:t>
            </w:r>
          </w:p>
        </w:tc>
        <w:tc>
          <w:tcPr>
            <w:tcW w:w="2091" w:type="dxa"/>
            <w:vAlign w:val="center"/>
          </w:tcPr>
          <w:p w14:paraId="6C76EBA8" w14:textId="356FB3C3" w:rsidR="007E4F2A" w:rsidRDefault="007E4F2A" w:rsidP="007E4F2A">
            <w:pPr>
              <w:pStyle w:val="ListParagraph"/>
              <w:numPr>
                <w:ilvl w:val="0"/>
                <w:numId w:val="1"/>
              </w:numPr>
            </w:pPr>
            <w:r>
              <w:t>Lower fan-out</w:t>
            </w:r>
          </w:p>
        </w:tc>
        <w:tc>
          <w:tcPr>
            <w:tcW w:w="2019" w:type="dxa"/>
            <w:vAlign w:val="center"/>
          </w:tcPr>
          <w:p w14:paraId="293B88F0" w14:textId="7897F16B" w:rsidR="00112A6D" w:rsidRDefault="00112A6D" w:rsidP="00112A6D">
            <w:pPr>
              <w:jc w:val="center"/>
            </w:pPr>
            <w:r>
              <w:t>---</w:t>
            </w:r>
          </w:p>
        </w:tc>
      </w:tr>
    </w:tbl>
    <w:p w14:paraId="3D6D731E" w14:textId="18D9ECDB" w:rsidR="00DB73F1" w:rsidRDefault="00DB73F1" w:rsidP="00F45ADE">
      <w:pPr>
        <w:spacing w:after="0" w:line="240" w:lineRule="auto"/>
      </w:pPr>
    </w:p>
    <w:p w14:paraId="7B605B08" w14:textId="2284E0DA" w:rsidR="00A04004" w:rsidRDefault="00A04004" w:rsidP="00F45ADE">
      <w:pPr>
        <w:spacing w:after="0" w:line="240" w:lineRule="auto"/>
      </w:pPr>
      <w:r>
        <w:t>Some conclusions can be made from the results in Table 1:</w:t>
      </w:r>
    </w:p>
    <w:p w14:paraId="5EB2D0A8" w14:textId="740D14FE" w:rsidR="00A04004" w:rsidRDefault="00A04004" w:rsidP="00A04004">
      <w:pPr>
        <w:pStyle w:val="ListParagraph"/>
        <w:numPr>
          <w:ilvl w:val="0"/>
          <w:numId w:val="1"/>
        </w:numPr>
        <w:spacing w:after="0" w:line="240" w:lineRule="auto"/>
      </w:pPr>
      <w:r>
        <w:t>The KSA is the fastest adder of the bunch, but requires the most wiring and cells to implement.</w:t>
      </w:r>
    </w:p>
    <w:p w14:paraId="34EB439E" w14:textId="7A5AA46D" w:rsidR="00A04004" w:rsidRDefault="00A04004" w:rsidP="00A04004">
      <w:pPr>
        <w:pStyle w:val="ListParagraph"/>
        <w:numPr>
          <w:ilvl w:val="0"/>
          <w:numId w:val="1"/>
        </w:numPr>
        <w:spacing w:after="0" w:line="240" w:lineRule="auto"/>
      </w:pPr>
      <w:r>
        <w:t xml:space="preserve">The BKA </w:t>
      </w:r>
      <w:r w:rsidR="007E4F2A">
        <w:t>has the highest</w:t>
      </w:r>
      <w:r>
        <w:t xml:space="preserve"> fan-out.</w:t>
      </w:r>
    </w:p>
    <w:p w14:paraId="383104DD" w14:textId="0262E948" w:rsidR="00A04004" w:rsidRDefault="00A04004" w:rsidP="00A04004">
      <w:pPr>
        <w:pStyle w:val="ListParagraph"/>
        <w:numPr>
          <w:ilvl w:val="0"/>
          <w:numId w:val="1"/>
        </w:numPr>
        <w:spacing w:after="0" w:line="240" w:lineRule="auto"/>
      </w:pPr>
      <w:r>
        <w:t>The HCA is simpler to implement than the KSA, but it is slower. It is a trade-off of reduced speed for reduced complexity/power consumption.</w:t>
      </w:r>
    </w:p>
    <w:p w14:paraId="279C100D" w14:textId="4990D892" w:rsidR="007E4F2A" w:rsidRDefault="007E4F2A" w:rsidP="00A04004">
      <w:pPr>
        <w:pStyle w:val="ListParagraph"/>
        <w:numPr>
          <w:ilvl w:val="0"/>
          <w:numId w:val="1"/>
        </w:numPr>
        <w:spacing w:after="0" w:line="240" w:lineRule="auto"/>
      </w:pPr>
      <w:r>
        <w:t>The STA has the lowest fan-out and it might possibly require the fewest wires and cells for implementation. However, its propagation delay increases rapidly as the adder size increases.</w:t>
      </w:r>
    </w:p>
    <w:p w14:paraId="3622D9E3" w14:textId="4648CD7F" w:rsidR="00B81423" w:rsidRDefault="00B81423" w:rsidP="00B81423">
      <w:pPr>
        <w:spacing w:after="0" w:line="240" w:lineRule="auto"/>
      </w:pPr>
    </w:p>
    <w:p w14:paraId="72005940" w14:textId="77777777" w:rsidR="00B81423" w:rsidRDefault="00B81423" w:rsidP="00B81423">
      <w:pPr>
        <w:spacing w:after="0" w:line="240" w:lineRule="auto"/>
      </w:pPr>
    </w:p>
    <w:p w14:paraId="1D347B19" w14:textId="282BAA62" w:rsidR="00A04004" w:rsidRDefault="00A04004" w:rsidP="00A04004">
      <w:pPr>
        <w:spacing w:after="0" w:line="240" w:lineRule="auto"/>
      </w:pPr>
    </w:p>
    <w:p w14:paraId="2E3442CA" w14:textId="77777777" w:rsidR="00A04004" w:rsidRPr="00D47B49" w:rsidRDefault="00A04004" w:rsidP="00A04004">
      <w:pPr>
        <w:spacing w:after="0" w:line="240" w:lineRule="auto"/>
      </w:pPr>
    </w:p>
    <w:sectPr w:rsidR="00A04004" w:rsidRPr="00D47B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D2997"/>
    <w:multiLevelType w:val="hybridMultilevel"/>
    <w:tmpl w:val="AB7A0AFE"/>
    <w:lvl w:ilvl="0" w:tplc="910A947E">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F5F"/>
    <w:rsid w:val="0000206D"/>
    <w:rsid w:val="0000262C"/>
    <w:rsid w:val="000B3747"/>
    <w:rsid w:val="00103E4E"/>
    <w:rsid w:val="00112A6D"/>
    <w:rsid w:val="00217C1E"/>
    <w:rsid w:val="002273C7"/>
    <w:rsid w:val="0026038C"/>
    <w:rsid w:val="002B2B5B"/>
    <w:rsid w:val="00304A36"/>
    <w:rsid w:val="003F19DD"/>
    <w:rsid w:val="00402F5F"/>
    <w:rsid w:val="0042281B"/>
    <w:rsid w:val="00423D02"/>
    <w:rsid w:val="00424055"/>
    <w:rsid w:val="00475326"/>
    <w:rsid w:val="004774CC"/>
    <w:rsid w:val="005176ED"/>
    <w:rsid w:val="006370C8"/>
    <w:rsid w:val="00764A0C"/>
    <w:rsid w:val="00767292"/>
    <w:rsid w:val="00775598"/>
    <w:rsid w:val="00776924"/>
    <w:rsid w:val="007B308D"/>
    <w:rsid w:val="007E4F2A"/>
    <w:rsid w:val="008169F3"/>
    <w:rsid w:val="0087273F"/>
    <w:rsid w:val="008B37D5"/>
    <w:rsid w:val="008B74F1"/>
    <w:rsid w:val="00961351"/>
    <w:rsid w:val="009F3D56"/>
    <w:rsid w:val="00A04004"/>
    <w:rsid w:val="00A2674F"/>
    <w:rsid w:val="00AC3AFD"/>
    <w:rsid w:val="00B307B9"/>
    <w:rsid w:val="00B81423"/>
    <w:rsid w:val="00BA4174"/>
    <w:rsid w:val="00BA6E0B"/>
    <w:rsid w:val="00C33984"/>
    <w:rsid w:val="00C463CE"/>
    <w:rsid w:val="00D47B49"/>
    <w:rsid w:val="00D67AC4"/>
    <w:rsid w:val="00D95FBB"/>
    <w:rsid w:val="00DA7641"/>
    <w:rsid w:val="00DB73F1"/>
    <w:rsid w:val="00DC7337"/>
    <w:rsid w:val="00F1613C"/>
    <w:rsid w:val="00F35354"/>
    <w:rsid w:val="00F45ADE"/>
    <w:rsid w:val="00FE2F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FE718"/>
  <w15:chartTrackingRefBased/>
  <w15:docId w15:val="{2AAB9A32-A8E1-4B97-BCD3-2D42280D8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7273F"/>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7273F"/>
    <w:rPr>
      <w:color w:val="808080"/>
    </w:rPr>
  </w:style>
  <w:style w:type="table" w:styleId="TableGrid">
    <w:name w:val="Table Grid"/>
    <w:basedOn w:val="TableNormal"/>
    <w:uiPriority w:val="39"/>
    <w:rsid w:val="00D47B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0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1717</TotalTime>
  <Pages>10</Pages>
  <Words>1601</Words>
  <Characters>9131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Kaya Erdin</dc:creator>
  <cp:keywords/>
  <dc:description/>
  <cp:lastModifiedBy>Kaya Erdin</cp:lastModifiedBy>
  <cp:revision>20</cp:revision>
  <dcterms:created xsi:type="dcterms:W3CDTF">2019-02-04T17:44:00Z</dcterms:created>
  <dcterms:modified xsi:type="dcterms:W3CDTF">2019-07-05T19:06:00Z</dcterms:modified>
</cp:coreProperties>
</file>