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AI Hype Cycle: An In-Depth Analysis</w:t>
      </w:r>
      <w:r/>
    </w:p>
    <w:p>
      <w:pPr>
        <w:pStyle w:val="Heading4"/>
      </w:pPr>
      <w:r>
        <w:t>Date: 27/10/2024</w:t>
      </w:r>
      <w:r/>
    </w:p>
    <w:p>
      <w:pPr>
        <w:pStyle w:val="Heading2"/>
      </w:pPr>
      <w:r>
        <w:t>Introduction</w:t>
      </w:r>
      <w:r/>
    </w:p>
    <w:p>
      <w:r/>
      <w:r>
        <w:t>The concept of the Hype Cycle, developed by Gartner, serves as a crucial framework for understanding the evolution and adoption of emerging technologies. It provides a graphical representation of the maturity and social application of technologies, divided into five distinct phases: Innovation Trigger, Peak of Inflated Expectations, Trough of Disillusionment, Slope of Enlightenment, and Plateau of Productivity (</w:t>
      </w:r>
      <w:hyperlink r:id="rId9">
        <w:r>
          <w:rPr>
            <w:color w:val="0000EE"/>
            <w:u w:val="single"/>
          </w:rPr>
          <w:t>Gartner</w:t>
        </w:r>
      </w:hyperlink>
      <w:r>
        <w:t>). This framework is particularly relevant in the context of artificial intelligence (AI), a field that has experienced significant fluctuations in public perception and investment over recent years.</w:t>
      </w:r>
      <w:r/>
    </w:p>
    <w:p>
      <w:r/>
      <w:r>
        <w:t>AI technologies, especially generative AI, have captured the imagination of industries and investors alike, promising transformative capabilities across various sectors. However, as with many technologies, AI has traversed the Hype Cycle, currently finding itself in the Trough of Disillusionment. This phase is characterized by a more realistic assessment of AI's capabilities and limitations, as initial implementations often fall short of the inflated expectations set during the Peak of Inflated Expectations (</w:t>
      </w:r>
      <w:hyperlink r:id="rId10">
        <w:r>
          <w:rPr>
            <w:color w:val="0000EE"/>
            <w:u w:val="single"/>
          </w:rPr>
          <w:t>Analytics Insight</w:t>
        </w:r>
      </w:hyperlink>
      <w:r>
        <w:t>).</w:t>
      </w:r>
      <w:r/>
    </w:p>
    <w:p>
      <w:r/>
      <w:r>
        <w:t>Despite the challenges, the AI sector continues to attract substantial investment, with venture capital firms playing a pivotal role in shaping its future. The global distribution of AI investments highlights the strategic importance of this technology, with the United States and China leading the charge, while other regions like the European Union and the United Kingdom are also making significant strides (</w:t>
      </w:r>
      <w:hyperlink r:id="rId11">
        <w:r>
          <w:rPr>
            <w:color w:val="0000EE"/>
            <w:u w:val="single"/>
          </w:rPr>
          <w:t>IngestAI</w:t>
        </w:r>
      </w:hyperlink>
      <w:r>
        <w:t>). As the industry navigates the complexities of the Hype Cycle, understanding these dynamics is essential for stakeholders aiming to harness AI's potential effectively.</w:t>
      </w:r>
      <w:r/>
    </w:p>
    <w:p>
      <w:pPr>
        <w:pStyle w:val="Heading2"/>
      </w:pPr>
      <w:r>
        <w:t>Table of Contents</w:t>
      </w:r>
      <w:r/>
      <w:r/>
    </w:p>
    <w:p>
      <w:pPr>
        <w:pStyle w:val="ListBullet"/>
        <w:spacing w:line="240" w:lineRule="auto"/>
        <w:ind w:left="720"/>
      </w:pPr>
      <w:r/>
      <w:r>
        <w:t>Understanding the Hype Cycle</w:t>
      </w:r>
      <w:r/>
    </w:p>
    <w:p>
      <w:pPr>
        <w:pStyle w:val="ListBullet"/>
        <w:spacing w:line="240" w:lineRule="auto"/>
        <w:ind w:left="1440"/>
      </w:pPr>
      <w:r/>
      <w:r>
        <w:t>Innovation Trigger</w:t>
      </w:r>
      <w:r/>
    </w:p>
    <w:p>
      <w:pPr>
        <w:pStyle w:val="ListBullet"/>
        <w:spacing w:line="240" w:lineRule="auto"/>
        <w:ind w:left="1440"/>
      </w:pPr>
      <w:r/>
      <w:r>
        <w:t>Peak of Inflated Expectations</w:t>
      </w:r>
      <w:r/>
    </w:p>
    <w:p>
      <w:pPr>
        <w:pStyle w:val="ListBullet"/>
        <w:spacing w:line="240" w:lineRule="auto"/>
        <w:ind w:left="1440"/>
      </w:pPr>
      <w:r/>
      <w:r>
        <w:t>Trough of Disillusionment</w:t>
      </w:r>
      <w:r/>
    </w:p>
    <w:p>
      <w:pPr>
        <w:pStyle w:val="ListBullet"/>
        <w:spacing w:line="240" w:lineRule="auto"/>
        <w:ind w:left="1440"/>
      </w:pPr>
      <w:r/>
      <w:r>
        <w:t>Slope of Enlightenment</w:t>
      </w:r>
      <w:r/>
    </w:p>
    <w:p>
      <w:pPr>
        <w:pStyle w:val="ListBullet"/>
        <w:spacing w:line="240" w:lineRule="auto"/>
        <w:ind w:left="1440"/>
      </w:pPr>
      <w:r/>
      <w:r>
        <w:t>Plateau of Productivity</w:t>
      </w:r>
      <w:r/>
    </w:p>
    <w:p>
      <w:pPr>
        <w:pStyle w:val="ListBullet"/>
        <w:spacing w:line="240" w:lineRule="auto"/>
        <w:ind w:left="1440"/>
      </w:pPr>
      <w:r/>
      <w:r>
        <w:t>Implications for AI Adoption</w:t>
      </w:r>
      <w:r/>
    </w:p>
    <w:p>
      <w:pPr>
        <w:pStyle w:val="ListBullet"/>
        <w:spacing w:line="240" w:lineRule="auto"/>
        <w:ind w:left="1440"/>
      </w:pPr>
      <w:r/>
      <w:r>
        <w:t>Strategic Considerations</w:t>
      </w:r>
      <w:r/>
      <w:r/>
      <w:r/>
    </w:p>
    <w:p>
      <w:pPr>
        <w:pStyle w:val="ListBullet"/>
        <w:spacing w:line="240" w:lineRule="auto"/>
        <w:ind w:left="720"/>
      </w:pPr>
      <w:r/>
      <w:r>
        <w:t>Current Position of AI in the Hype Cycle</w:t>
      </w:r>
      <w:r/>
    </w:p>
    <w:p>
      <w:pPr>
        <w:pStyle w:val="ListBullet"/>
        <w:spacing w:line="240" w:lineRule="auto"/>
        <w:ind w:left="1440"/>
      </w:pPr>
      <w:r/>
      <w:r>
        <w:t>The Trough of Disillusionment</w:t>
      </w:r>
      <w:r/>
    </w:p>
    <w:p>
      <w:pPr>
        <w:pStyle w:val="ListBullet"/>
        <w:spacing w:line="240" w:lineRule="auto"/>
        <w:ind w:left="1440"/>
      </w:pPr>
      <w:r/>
      <w:r>
        <w:t>Challenges and Setbacks</w:t>
      </w:r>
      <w:r/>
    </w:p>
    <w:p>
      <w:pPr>
        <w:pStyle w:val="ListBullet"/>
        <w:spacing w:line="240" w:lineRule="auto"/>
        <w:ind w:left="1440"/>
      </w:pPr>
      <w:r/>
      <w:r>
        <w:t>Shifting Focus to Composite AI</w:t>
      </w:r>
      <w:r/>
    </w:p>
    <w:p>
      <w:pPr>
        <w:pStyle w:val="ListBullet"/>
        <w:spacing w:line="240" w:lineRule="auto"/>
        <w:ind w:left="1440"/>
      </w:pPr>
      <w:r/>
      <w:r>
        <w:t>Governance and Risk Management</w:t>
      </w:r>
      <w:r/>
    </w:p>
    <w:p>
      <w:pPr>
        <w:pStyle w:val="ListBullet"/>
        <w:spacing w:line="240" w:lineRule="auto"/>
        <w:ind w:left="1440"/>
      </w:pPr>
      <w:r/>
      <w:r>
        <w:t>The Path to the Plateau of Productivity</w:t>
      </w:r>
      <w:r/>
    </w:p>
    <w:p>
      <w:pPr>
        <w:pStyle w:val="ListBullet"/>
        <w:spacing w:line="240" w:lineRule="auto"/>
        <w:ind w:left="1440"/>
      </w:pPr>
      <w:r/>
      <w:r>
        <w:t>Conclusion</w:t>
      </w:r>
      <w:r/>
      <w:r/>
      <w:r/>
    </w:p>
    <w:p>
      <w:pPr>
        <w:pStyle w:val="ListBullet"/>
        <w:spacing w:line="240" w:lineRule="auto"/>
        <w:ind w:left="720"/>
      </w:pPr>
      <w:r/>
      <w:r>
        <w:t>Investment Trends and Market Sentiment</w:t>
      </w:r>
      <w:r/>
    </w:p>
    <w:p>
      <w:pPr>
        <w:pStyle w:val="ListBullet"/>
        <w:spacing w:line="240" w:lineRule="auto"/>
        <w:ind w:left="1440"/>
      </w:pPr>
      <w:r/>
      <w:r>
        <w:t>AI Investment Surge and Global Distribution</w:t>
      </w:r>
      <w:r/>
    </w:p>
    <w:p>
      <w:pPr>
        <w:pStyle w:val="ListBullet"/>
        <w:spacing w:line="240" w:lineRule="auto"/>
        <w:ind w:left="1440"/>
      </w:pPr>
      <w:r/>
      <w:r>
        <w:t>AI Market Valuations and Comparisons to the Dot-Com Bubble</w:t>
      </w:r>
      <w:r/>
    </w:p>
    <w:p>
      <w:pPr>
        <w:pStyle w:val="ListBullet"/>
        <w:spacing w:line="240" w:lineRule="auto"/>
        <w:ind w:left="1440"/>
      </w:pPr>
      <w:r/>
      <w:r>
        <w:t>Key Sectors Attracting AI Investments</w:t>
      </w:r>
      <w:r/>
    </w:p>
    <w:p>
      <w:pPr>
        <w:pStyle w:val="ListBullet"/>
        <w:spacing w:line="240" w:lineRule="auto"/>
        <w:ind w:left="1440"/>
      </w:pPr>
      <w:r/>
      <w:r>
        <w:t>The Role of Venture Capital in AI Investments</w:t>
      </w:r>
      <w:r/>
    </w:p>
    <w:p>
      <w:pPr>
        <w:pStyle w:val="ListBullet"/>
        <w:spacing w:line="240" w:lineRule="auto"/>
        <w:ind w:left="1440"/>
      </w:pPr>
      <w:r/>
      <w:r>
        <w:t>Market Sentiment and the AI Hype Cycle</w:t>
      </w:r>
      <w:r/>
    </w:p>
    <w:p>
      <w:pPr>
        <w:pStyle w:val="ListBullet"/>
        <w:spacing w:line="240" w:lineRule="auto"/>
        <w:ind w:left="1440"/>
      </w:pPr>
      <w:r/>
      <w:r>
        <w:t>Emerging Trends and Future Outlook</w:t>
      </w:r>
      <w:r/>
    </w:p>
    <w:p>
      <w:pPr>
        <w:pStyle w:val="ListBullet"/>
        <w:spacing w:line="240" w:lineRule="auto"/>
        <w:ind w:left="1440"/>
      </w:pPr>
      <w:r/>
      <w:r>
        <w:t>Challenges and Risks in AI Investments</w:t>
      </w:r>
      <w:r/>
    </w:p>
    <w:p>
      <w:pPr>
        <w:pStyle w:val="ListBullet"/>
        <w:spacing w:line="240" w:lineRule="auto"/>
        <w:ind w:left="1440"/>
      </w:pPr>
      <w:r/>
      <w:r>
        <w:t>Long-term Impact on Industries and Economies</w:t>
      </w:r>
      <w:r/>
      <w:r/>
      <w:r/>
      <w:r/>
    </w:p>
    <w:p>
      <w:pPr>
        <w:pStyle w:val="Heading2"/>
      </w:pPr>
      <w:r>
        <w:t>Understanding the Hype Cycle</w:t>
      </w:r>
      <w:r/>
    </w:p>
    <w:p>
      <w:r/>
      <w:r>
        <w:t>The concept of the Hype Cycle is a framework developed by Gartner to represent the maturity, adoption, and social application of specific technologies. It is a graphical representation that provides insights into how technologies evolve over time, from inception to widespread adoption. The Hype Cycle is divided into five key phases: Innovation Trigger, Peak of Inflated Expectations, Trough of Disillusionment, Slope of Enlightenment, and Plateau of Productivity. Understanding these phases is crucial for organizations and individuals to make informed decisions about technology investments and adoption strategies.</w:t>
      </w:r>
      <w:r/>
    </w:p>
    <w:p>
      <w:pPr>
        <w:pStyle w:val="Heading3"/>
      </w:pPr>
      <w:r>
        <w:t>Innovation Trigger</w:t>
      </w:r>
      <w:r/>
    </w:p>
    <w:p>
      <w:r/>
      <w:r>
        <w:t>The Innovation Trigger phase marks the beginning of the Hype Cycle. It is characterized by the emergence of a new technology or a significant breakthrough in an existing technology. During this phase, early proof-of-concept stories and media interest generate significant publicity. However, commercial viability is often unproven, and there may be no usable products or services available yet. This phase is crucial as it sets the stage for the subsequent phases in the Hype Cycle.</w:t>
      </w:r>
      <w:r/>
    </w:p>
    <w:p>
      <w:r/>
      <w:r>
        <w:t>For instance, the introduction of generative AI technologies initially sparked significant interest and excitement in the tech community. The potential applications of generative AI, such as creating realistic images, text, and even music, captured the imagination of both developers and businesses. However, at this stage, the technology is often not fully understood, and its practical applications are limited.</w:t>
      </w:r>
      <w:r/>
    </w:p>
    <w:p>
      <w:pPr>
        <w:pStyle w:val="Heading3"/>
      </w:pPr>
      <w:r>
        <w:t>Peak of Inflated Expectations</w:t>
      </w:r>
      <w:r/>
    </w:p>
    <w:p>
      <w:r/>
      <w:r>
        <w:t>Following the Innovation Trigger, the technology enters the Peak of Inflated Expectations. In this phase, early success stories and media hype lead to unrealistic expectations about the technology's capabilities and potential impact. Many companies invest heavily, hoping to capitalize on the perceived opportunities. However, this phase is often marked by a disconnect between expectations and reality.</w:t>
      </w:r>
      <w:r/>
    </w:p>
    <w:p>
      <w:r/>
      <w:r>
        <w:t>Generative AI, for example, reached the Peak of Inflated Expectations as businesses and the media touted its potential to revolutionize industries. The hype surrounding generative AI led to inflated expectations about its ability to replace human creativity and intelligence. However, as the technology matured, it became evident that there were significant limitations and challenges that needed to be addressed.</w:t>
      </w:r>
      <w:r/>
    </w:p>
    <w:p>
      <w:pPr>
        <w:pStyle w:val="Heading3"/>
      </w:pPr>
      <w:r>
        <w:t>Trough of Disillusionment</w:t>
      </w:r>
      <w:r/>
    </w:p>
    <w:p>
      <w:r/>
      <w:r>
        <w:t>The Trough of Disillusionment follows the Peak of Inflated Expectations. During this phase, interest wanes as experiments and implementations fail to deliver on the inflated promises. The technology may face criticism and skepticism, and some companies may abandon their projects altogether. However, this phase is also an opportunity for the technology to mature and for realistic assessments of its capabilities to emerge.</w:t>
      </w:r>
      <w:r/>
    </w:p>
    <w:p>
      <w:r/>
      <w:r>
        <w:t xml:space="preserve">Generative AI, as reported by </w:t>
      </w:r>
      <w:hyperlink r:id="rId9">
        <w:r>
          <w:rPr>
            <w:color w:val="0000EE"/>
            <w:u w:val="single"/>
          </w:rPr>
          <w:t>Computerworld</w:t>
        </w:r>
      </w:hyperlink>
      <w:r>
        <w:t>, is currently sliding into the Trough of Disillusionment. While the initial excitement has faded, organizations are beginning to understand the limitations of generative AI and are adjusting their expectations accordingly. This phase is critical for identifying the true value and potential applications of the technology.</w:t>
      </w:r>
      <w:r/>
    </w:p>
    <w:p>
      <w:pPr>
        <w:pStyle w:val="Heading3"/>
      </w:pPr>
      <w:r>
        <w:t>Slope of Enlightenment</w:t>
      </w:r>
      <w:r/>
    </w:p>
    <w:p>
      <w:r/>
      <w:r>
        <w:t>The Slope of Enlightenment is the phase where the technology begins to gain a more realistic understanding of its capabilities and limitations. As organizations experiment and learn from their experiences, they develop a clearer picture of how the technology can be effectively utilized. This phase is characterized by the emergence of best practices, increased adoption, and a growing number of success stories.</w:t>
      </w:r>
      <w:r/>
    </w:p>
    <w:p>
      <w:r/>
      <w:r>
        <w:t xml:space="preserve">In the case of generative AI, the Slope of Enlightenment involves refining the technology's applications and addressing its limitations. Organizations are exploring how generative AI can be integrated into existing workflows to enhance creativity and productivity. As noted by </w:t>
      </w:r>
      <w:hyperlink r:id="rId12">
        <w:r>
          <w:rPr>
            <w:color w:val="0000EE"/>
            <w:u w:val="single"/>
          </w:rPr>
          <w:t>Forbes</w:t>
        </w:r>
      </w:hyperlink>
      <w:r>
        <w:t>, the focus is shifting towards leveraging generative AI as a tool to augment human capabilities rather than replace them.</w:t>
      </w:r>
      <w:r/>
    </w:p>
    <w:p>
      <w:pPr>
        <w:pStyle w:val="Heading3"/>
      </w:pPr>
      <w:r>
        <w:t>Plateau of Productivity</w:t>
      </w:r>
      <w:r/>
    </w:p>
    <w:p>
      <w:r/>
      <w:r>
        <w:t>The final phase of the Hype Cycle is the Plateau of Productivity. In this phase, the technology becomes widely understood and accepted. It is integrated into mainstream applications and delivers tangible benefits to organizations and individuals. The technology's adoption stabilizes, and its value is recognized across various industries.</w:t>
      </w:r>
      <w:r/>
    </w:p>
    <w:p>
      <w:r/>
      <w:r>
        <w:t xml:space="preserve">Generative AI is expected to reach the Plateau of Productivity within the next two to five years, as indicated by </w:t>
      </w:r>
      <w:hyperlink r:id="rId13">
        <w:r>
          <w:rPr>
            <w:color w:val="0000EE"/>
            <w:u w:val="single"/>
          </w:rPr>
          <w:t>Gartner's analysis</w:t>
        </w:r>
      </w:hyperlink>
      <w:r>
        <w:t>. As the technology matures, it will become an integral part of creative processes, enabling new forms of content creation and innovation. Organizations that have invested in understanding and implementing generative AI will be well-positioned to reap the benefits during this phase.</w:t>
      </w:r>
      <w:r/>
    </w:p>
    <w:p>
      <w:pPr>
        <w:pStyle w:val="Heading3"/>
      </w:pPr>
      <w:r>
        <w:t>Implications for AI Adoption</w:t>
      </w:r>
      <w:r/>
    </w:p>
    <w:p>
      <w:r/>
      <w:r>
        <w:t>Understanding the Hype Cycle is crucial for organizations considering the adoption of AI technologies. It provides a framework for assessing the maturity and potential impact of emerging technologies. By recognizing the phases of the Hype Cycle, organizations can make informed decisions about when to invest in, wait on, or avoid certain technologies.</w:t>
      </w:r>
      <w:r/>
    </w:p>
    <w:p>
      <w:r/>
      <w:r>
        <w:t>For example, during the Peak of Inflated Expectations, it may be prudent to approach new technologies with caution and conduct thorough evaluations before making significant investments. Conversely, during the Slope of Enlightenment and Plateau of Productivity, organizations can capitalize on proven technologies to gain a competitive advantage.</w:t>
      </w:r>
      <w:r/>
    </w:p>
    <w:p>
      <w:pPr>
        <w:pStyle w:val="Heading3"/>
      </w:pPr>
      <w:r>
        <w:t>Strategic Considerations</w:t>
      </w:r>
      <w:r/>
    </w:p>
    <w:p>
      <w:r/>
      <w:r>
        <w:t>The Hype Cycle also highlights the importance of strategic planning and adaptability in technology adoption. Organizations should be prepared to navigate the challenges and uncertainties associated with emerging technologies. This includes fostering a culture of experimentation, learning from failures, and continuously evaluating the evolving landscape.</w:t>
      </w:r>
      <w:r/>
    </w:p>
    <w:p>
      <w:r/>
      <w:r>
        <w:t>Furthermore, organizations should consider the broader implications of AI adoption, such as ethical considerations, data privacy, and regulatory compliance. As AI technologies become more integrated into business processes, addressing these issues will be essential for building trust and ensuring sustainable growth.</w:t>
      </w:r>
      <w:r/>
    </w:p>
    <w:p>
      <w:r/>
      <w:r>
        <w:t>In conclusion, understanding the Hype Cycle is essential for organizations seeking to harness the potential of AI technologies. By recognizing the phases of the Hype Cycle and their implications, organizations can make informed decisions, manage expectations, and strategically position themselves for success in the rapidly evolving AI landscape.</w:t>
      </w:r>
      <w:r/>
    </w:p>
    <w:p>
      <w:pPr>
        <w:pStyle w:val="Heading2"/>
      </w:pPr>
      <w:r>
        <w:t>Current Position of AI in the Hype Cycle</w:t>
      </w:r>
      <w:r/>
    </w:p>
    <w:p>
      <w:pPr>
        <w:pStyle w:val="Heading3"/>
      </w:pPr>
      <w:r>
        <w:t>The Trough of Disillusionment</w:t>
      </w:r>
      <w:r/>
    </w:p>
    <w:p>
      <w:r/>
      <w:r>
        <w:t xml:space="preserve">In 2024, the AI industry finds itself navigating the "Trough of Disillusionment," a phase in the </w:t>
      </w:r>
      <w:hyperlink r:id="rId10">
        <w:r>
          <w:rPr>
            <w:color w:val="0000EE"/>
            <w:u w:val="single"/>
          </w:rPr>
          <w:t>Gartner Hype Cycle</w:t>
        </w:r>
      </w:hyperlink>
      <w:r>
        <w:t xml:space="preserve"> where the initial excitement surrounding AI technologies, particularly generative AI (GenAI), has waned. This stage is characterized by a more realistic assessment of AI's capabilities and limitations, as early implementations often fall short of expectations. According to </w:t>
      </w:r>
      <w:hyperlink r:id="rId14">
        <w:r>
          <w:rPr>
            <w:color w:val="0000EE"/>
            <w:u w:val="single"/>
          </w:rPr>
          <w:t>Gartner</w:t>
        </w:r>
      </w:hyperlink>
      <w:r>
        <w:t>, the transition into this phase is a necessary step for technologies on their path to mainstream adoption, as it encourages a shift from naive optimism to a more grounded understanding informed by experience.</w:t>
      </w:r>
      <w:r/>
    </w:p>
    <w:p>
      <w:pPr>
        <w:pStyle w:val="Heading3"/>
      </w:pPr>
      <w:r>
        <w:t>Challenges and Setbacks</w:t>
      </w:r>
      <w:r/>
    </w:p>
    <w:p>
      <w:r/>
      <w:r>
        <w:t>Several factors have contributed to AI's current position in the Trough of Disillusionment. A significant number of generative AI projects have been abandoned due to poor data quality, inadequate risk controls, escalating costs, and unclear business value. Gartner predicts that by the end of 2025, at least 30% of GenAI projects will be abandoned after proof of concept (</w:t>
      </w:r>
      <w:hyperlink r:id="rId15">
        <w:r>
          <w:rPr>
            <w:color w:val="0000EE"/>
            <w:u w:val="single"/>
          </w:rPr>
          <w:t>Virtualization Review</w:t>
        </w:r>
      </w:hyperlink>
      <w:r>
        <w:t>). Additionally, issues with cloud AI services, such as service capacity, reliability, model update frequency, and cost fluctuations, have further hindered progress and contributed to the disillusionment.</w:t>
      </w:r>
      <w:r/>
    </w:p>
    <w:p>
      <w:pPr>
        <w:pStyle w:val="Heading3"/>
      </w:pPr>
      <w:r>
        <w:t>Shifting Focus to Composite AI</w:t>
      </w:r>
      <w:r/>
    </w:p>
    <w:p>
      <w:r/>
      <w:r>
        <w:t xml:space="preserve">Despite the challenges, the AI industry is not stagnant. There is a growing emphasis on composite AI techniques, which combine various AI approaches to create more robust and effective solutions. As noted by </w:t>
      </w:r>
      <w:hyperlink r:id="rId16">
        <w:r>
          <w:rPr>
            <w:color w:val="0000EE"/>
            <w:u w:val="single"/>
          </w:rPr>
          <w:t>Shih Yen</w:t>
        </w:r>
      </w:hyperlink>
      <w:r>
        <w:t>, AI leaders are encouraged to base future system architectures on these composite techniques to maximize benefits. This shift in focus is expected to drive more value from AI projects, as it moves beyond the limitations of standalone generative AI.</w:t>
      </w:r>
      <w:r/>
    </w:p>
    <w:p>
      <w:pPr>
        <w:pStyle w:val="Heading3"/>
      </w:pPr>
      <w:r>
        <w:t>Governance and Risk Management</w:t>
      </w:r>
      <w:r/>
    </w:p>
    <w:p>
      <w:r/>
      <w:r>
        <w:t>As AI technologies mature, there is increasing attention on governance, risk management, and the mitigation of technical debt. These factors are being addressed at various levels, including national, enterprise, team, and individual practitioner levels (</w:t>
      </w:r>
      <w:hyperlink r:id="rId16">
        <w:r>
          <w:rPr>
            <w:color w:val="0000EE"/>
            <w:u w:val="single"/>
          </w:rPr>
          <w:t>Readwise</w:t>
        </w:r>
      </w:hyperlink>
      <w:r>
        <w:t>). While regulations are advancing, the maturity of these governance frameworks is still a work in progress. The focus on governance and risk management is crucial for ensuring the responsible and sustainable development of AI technologies.</w:t>
      </w:r>
      <w:r/>
    </w:p>
    <w:p>
      <w:pPr>
        <w:pStyle w:val="Heading3"/>
      </w:pPr>
      <w:r>
        <w:t>The Path to the Plateau of Productivity</w:t>
      </w:r>
      <w:r/>
    </w:p>
    <w:p>
      <w:r/>
      <w:r>
        <w:t>The Trough of Disillusionment is not the end of the road for AI technologies. It is a critical phase that precedes the "Slope of Enlightenment" and the "Plateau of Productivity," where technologies reach a level of maturity and widespread adoption. As organizations and developers learn from past experiences and refine their approaches, AI technologies are expected to emerge stronger and more capable. This evolution is already underway, with AI projects increasingly focusing on strategic initiatives rather than gimmicks and technical experimentation (</w:t>
      </w:r>
      <w:hyperlink r:id="rId17">
        <w:r>
          <w:rPr>
            <w:color w:val="0000EE"/>
            <w:u w:val="single"/>
          </w:rPr>
          <w:t>Forbes</w:t>
        </w:r>
      </w:hyperlink>
      <w:r>
        <w:t>).</w:t>
      </w:r>
      <w:r/>
    </w:p>
    <w:p>
      <w:pPr>
        <w:pStyle w:val="Heading3"/>
      </w:pPr>
      <w:r>
        <w:t>Conclusion</w:t>
      </w:r>
      <w:r/>
    </w:p>
    <w:p>
      <w:r/>
      <w:r>
        <w:t>While AI is currently in the Trough of Disillusionment, this phase is a necessary step in the technology's journey towards maturity and mainstream adoption. By addressing the challenges and focusing on composite AI techniques, governance, and risk management, the industry can pave the way for a more productive and impactful future. As AI technologies continue to evolve, they hold the potential to transform industries and drive significant advancements in various fields.</w:t>
      </w:r>
      <w:r/>
    </w:p>
    <w:p>
      <w:pPr>
        <w:pStyle w:val="Heading2"/>
      </w:pPr>
      <w:r>
        <w:t>Investment Trends and Market Sentiment</w:t>
      </w:r>
      <w:r/>
    </w:p>
    <w:p>
      <w:pPr>
        <w:pStyle w:val="Heading3"/>
      </w:pPr>
      <w:r>
        <w:t>AI Investment Surge and Global Distribution</w:t>
      </w:r>
      <w:r/>
    </w:p>
    <w:p>
      <w:r/>
      <w:r>
        <w:t xml:space="preserve">The artificial intelligence (AI) sector has experienced a remarkable surge in investment activity, reshaping the global financial landscape. According to data from </w:t>
      </w:r>
      <w:hyperlink r:id="rId11">
        <w:r>
          <w:rPr>
            <w:color w:val="0000EE"/>
            <w:u w:val="single"/>
          </w:rPr>
          <w:t>IngestAI</w:t>
        </w:r>
      </w:hyperlink>
      <w:r>
        <w:t>, venture capital (VC) investments in AI have skyrocketed from $3 billion in 2012 to $75 billion in 2020. This growth trajectory underscores the transformative potential of AI technologies across various industries. The United States and China dominate the field, absorbing over 80% of AI investments in 2020, but other regions like the European Union, the United Kingdom, and Israel are also making significant strides.</w:t>
      </w:r>
      <w:r/>
    </w:p>
    <w:p>
      <w:pPr>
        <w:pStyle w:val="Heading3"/>
      </w:pPr>
      <w:r>
        <w:t>AI Market Valuations and Comparisons to the Dot-Com Bubble</w:t>
      </w:r>
      <w:r/>
    </w:p>
    <w:p>
      <w:r/>
      <w:r>
        <w:t xml:space="preserve">AI-connected stocks have outperformed both U.S. and global indexes by an impressive 30% since the beginning of 2023, drawing comparisons to the dot-com bubble of the late 1990s. However, a closer look at the data reveals a more nuanced picture. According to </w:t>
      </w:r>
      <w:hyperlink r:id="rId11">
        <w:r>
          <w:rPr>
            <w:color w:val="0000EE"/>
            <w:u w:val="single"/>
          </w:rPr>
          <w:t>IngestAI</w:t>
        </w:r>
      </w:hyperlink>
      <w:r>
        <w:t>, the average forward P/E ratio for AI leaders in 2024 is 34, with an expected EPS growth of 42%, compared to 59 and 30%, respectively, during the dot-com bubble in 2000. These figures suggest that today's AI leaders are trading at more reasonable valuations relative to their growth expectations, indicating a more solid foundation for sustained market performance.</w:t>
      </w:r>
      <w:r/>
    </w:p>
    <w:p>
      <w:pPr>
        <w:pStyle w:val="Heading3"/>
      </w:pPr>
      <w:r>
        <w:t>Key Sectors Attracting AI Investments</w:t>
      </w:r>
      <w:r/>
    </w:p>
    <w:p>
      <w:r/>
      <w:r>
        <w:t xml:space="preserve">Several key sectors are attracting significant AI investments, reflecting the diverse applications of AI technologies. Major sectors include autonomous vehicles, healthcare and biotechnology, business process automation, fintech, and cloud computing infrastructure. Emerging areas like climate tech and quantum AI are also gaining traction. According to </w:t>
      </w:r>
      <w:hyperlink r:id="rId18">
        <w:r>
          <w:rPr>
            <w:color w:val="0000EE"/>
            <w:u w:val="single"/>
          </w:rPr>
          <w:t>Investopedia</w:t>
        </w:r>
      </w:hyperlink>
      <w:r>
        <w:t>, 70% of executives expect to increase AI resourcing in 2024, highlighting the continued interest and potential for growth in these areas.</w:t>
      </w:r>
      <w:r/>
    </w:p>
    <w:p>
      <w:pPr>
        <w:pStyle w:val="Heading3"/>
      </w:pPr>
      <w:r>
        <w:t>The Role of Venture Capital in AI Investments</w:t>
      </w:r>
      <w:r/>
    </w:p>
    <w:p>
      <w:r/>
      <w:r>
        <w:t xml:space="preserve">The AI investment landscape is dominated by a cadre of prominent venture capital firms that have recognized the sector's immense potential. These investors are shaping the future of AI through strategic capital allocation and support for innovative startups. Top VC firms investing heavily in AI include Sequoia Capital, Khosla Ventures, and others, as noted by </w:t>
      </w:r>
      <w:hyperlink r:id="rId11">
        <w:r>
          <w:rPr>
            <w:color w:val="0000EE"/>
            <w:u w:val="single"/>
          </w:rPr>
          <w:t>IngestAI</w:t>
        </w:r>
      </w:hyperlink>
      <w:r>
        <w:t>. This support is crucial for the development and scaling of AI technologies across various industries.</w:t>
      </w:r>
      <w:r/>
    </w:p>
    <w:p>
      <w:pPr>
        <w:pStyle w:val="Heading3"/>
      </w:pPr>
      <w:r>
        <w:t>Market Sentiment and the AI Hype Cycle</w:t>
      </w:r>
      <w:r/>
    </w:p>
    <w:p>
      <w:r/>
      <w:r>
        <w:t xml:space="preserve">The AI sector faces a challenging year as it transitions from hype-driven optimism to confronting tangible outcomes and market realities. According to </w:t>
      </w:r>
      <w:hyperlink r:id="rId19">
        <w:r>
          <w:rPr>
            <w:color w:val="0000EE"/>
            <w:u w:val="single"/>
          </w:rPr>
          <w:t>Okoone</w:t>
        </w:r>
      </w:hyperlink>
      <w:r>
        <w:t>, the Gartner hype cycle offers a valuable peek into the AI industry's current trajectory. After reaching a peak of inflated expectations, a trough of disillusionment typically follows. This cycle is a natural progression in the maturation of any technology, indicating that while AI continues to hold tremendous potential, the industry must navigate challenges and recalibrate expectations.</w:t>
      </w:r>
      <w:r/>
    </w:p>
    <w:p>
      <w:pPr>
        <w:pStyle w:val="Heading3"/>
      </w:pPr>
      <w:r>
        <w:t>Emerging Trends and Future Outlook</w:t>
      </w:r>
      <w:r/>
    </w:p>
    <w:p>
      <w:r/>
      <w:r>
        <w:t xml:space="preserve">As the AI sector evolves, several distinct trends are emerging. Investors are increasingly looking beyond core AI infrastructure (AI 1.0) to focus on practical applications and industry-specific solutions (AI 2.0). This transition is opening up new opportunities in sectors such as healthcare, autonomous vehicles, and business processes, as highlighted by </w:t>
      </w:r>
      <w:hyperlink r:id="rId11">
        <w:r>
          <w:rPr>
            <w:color w:val="0000EE"/>
            <w:u w:val="single"/>
          </w:rPr>
          <w:t>IngestAI</w:t>
        </w:r>
      </w:hyperlink>
      <w:r>
        <w:t>. Additionally, the global expansion of AI investments is evident, with regions like the European Union focusing on AI ethics and regulatory frameworks, and the United Kingdom leveraging its strong financial technology ecosystem.</w:t>
      </w:r>
      <w:r/>
    </w:p>
    <w:p>
      <w:pPr>
        <w:pStyle w:val="Heading3"/>
      </w:pPr>
      <w:r>
        <w:t>Challenges and Risks in AI Investments</w:t>
      </w:r>
      <w:r/>
    </w:p>
    <w:p>
      <w:r/>
      <w:r>
        <w:t xml:space="preserve">Despite the robust growth in AI investments, challenges remain. The concentration of AI talent and resources in a few geographic hubs raises concerns about widening technological disparities. Additionally, issues of AI bias, privacy, and job displacement need to be addressed to ensure AI's benefits are broadly distributed. According to </w:t>
      </w:r>
      <w:hyperlink r:id="rId19">
        <w:r>
          <w:rPr>
            <w:color w:val="0000EE"/>
            <w:u w:val="single"/>
          </w:rPr>
          <w:t>Okoone</w:t>
        </w:r>
      </w:hyperlink>
      <w:r>
        <w:t>, there is a clear discrepancy between investor expectations and the actual performance of AI investments, fueling a sense of disillusionment in the sector.</w:t>
      </w:r>
      <w:r/>
    </w:p>
    <w:p>
      <w:pPr>
        <w:pStyle w:val="Heading3"/>
      </w:pPr>
      <w:r>
        <w:t>Long-term Impact on Industries and Economies</w:t>
      </w:r>
      <w:r/>
    </w:p>
    <w:p>
      <w:r/>
      <w:r>
        <w:t xml:space="preserve">The long-term impact of AI investments on industries and economies is significant. AI is already delivering real-world value across various sectors, from personalized recommendations to advanced medical diagnostics. The AI landscape now includes a rich tapestry of specialized players, from chip manufacturers to AI ethics consultancies. As the AI landscape continues to evolve, new opportunities are emerging for investors, entrepreneurs, and policymakers. The transformative potential of AI investments is expected to drive innovation and economic growth in the coming years, as noted by </w:t>
      </w:r>
      <w:hyperlink r:id="rId11">
        <w:r>
          <w:rPr>
            <w:color w:val="0000EE"/>
            <w:u w:val="single"/>
          </w:rPr>
          <w:t>IngestAI</w:t>
        </w:r>
      </w:hyperlink>
      <w:r>
        <w:t>.</w:t>
      </w:r>
      <w:r/>
    </w:p>
    <w:p>
      <w:r/>
      <w:r>
        <w:t>In summary, while the AI sector faces challenges in navigating the hype cycle and managing investor expectations, the continued growth and investment in AI technologies indicate a promising future. The strategic allocation of capital by venture capital firms and the focus on practical applications and industry-specific solutions are key to realizing the full potential of AI across industries and economies.</w:t>
      </w:r>
      <w:r/>
    </w:p>
    <w:p>
      <w:pPr>
        <w:pStyle w:val="Heading2"/>
      </w:pPr>
      <w:r>
        <w:t>Conclusion</w:t>
      </w:r>
      <w:r/>
    </w:p>
    <w:p>
      <w:r/>
      <w:r>
        <w:t>In conclusion, the journey of AI through the Hype Cycle underscores the intricate balance between technological potential and market realities. As AI technologies, particularly generative AI, navigate the Trough of Disillusionment, the industry is compelled to reassess its capabilities and recalibrate expectations. This phase, while challenging, is a necessary precursor to the Slope of Enlightenment and the eventual Plateau of Productivity, where AI is expected to achieve widespread adoption and deliver tangible benefits across industries (</w:t>
      </w:r>
      <w:hyperlink r:id="rId17">
        <w:r>
          <w:rPr>
            <w:color w:val="0000EE"/>
            <w:u w:val="single"/>
          </w:rPr>
          <w:t>Forbes</w:t>
        </w:r>
      </w:hyperlink>
      <w:r>
        <w:t>).</w:t>
      </w:r>
      <w:r/>
    </w:p>
    <w:p>
      <w:r/>
      <w:r>
        <w:t>Investment trends reveal a robust interest in AI, with venture capital playing a crucial role in driving innovation and supporting the development of practical applications. The focus is shifting from core AI infrastructure to industry-specific solutions, reflecting a maturation of the sector and a move towards sustainable growth (</w:t>
      </w:r>
      <w:hyperlink r:id="rId18">
        <w:r>
          <w:rPr>
            <w:color w:val="0000EE"/>
            <w:u w:val="single"/>
          </w:rPr>
          <w:t>Investopedia</w:t>
        </w:r>
      </w:hyperlink>
      <w:r>
        <w:t>). However, challenges such as governance, risk management, and ethical considerations remain critical to ensuring the responsible advancement of AI technologies.</w:t>
      </w:r>
      <w:r/>
    </w:p>
    <w:p>
      <w:r/>
      <w:r>
        <w:t>As AI continues to evolve, its long-term impact on industries and economies is poised to be transformative. The strategic allocation of resources and the development of comprehensive governance frameworks will be essential in realizing AI's full potential. By navigating the Hype Cycle with informed strategies and a focus on sustainable development, stakeholders can position themselves to capitalize on the opportunities that AI presents, driving innovation and economic growth in the years to come (</w:t>
      </w:r>
      <w:hyperlink r:id="rId19">
        <w:r>
          <w:rPr>
            <w:color w:val="0000EE"/>
            <w:u w:val="single"/>
          </w:rPr>
          <w:t>Okoone</w:t>
        </w:r>
      </w:hyperlink>
      <w:r>
        <w:t>).</w:t>
      </w:r>
      <w:r/>
    </w:p>
    <w:p>
      <w:pPr>
        <w:pStyle w:val="Heading2"/>
      </w:pPr>
      <w:r>
        <w:t>References</w:t>
      </w:r>
      <w:r/>
      <w:r/>
    </w:p>
    <w:p>
      <w:pPr>
        <w:pStyle w:val="ListBullet"/>
        <w:spacing w:line="240" w:lineRule="auto"/>
        <w:ind w:left="720"/>
      </w:pPr>
      <w:r/>
      <w:r>
        <w:t xml:space="preserve">Computerworld, 2023, Author </w:t>
      </w:r>
      <w:hyperlink r:id="rId9">
        <w:r>
          <w:rPr>
            <w:color w:val="0000EE"/>
            <w:u w:val="single"/>
          </w:rPr>
          <w:t>source</w:t>
        </w:r>
      </w:hyperlink>
      <w:r/>
    </w:p>
    <w:p>
      <w:pPr>
        <w:pStyle w:val="ListBullet"/>
        <w:spacing w:line="240" w:lineRule="auto"/>
        <w:ind w:left="720"/>
      </w:pPr>
      <w:r/>
      <w:r>
        <w:t xml:space="preserve">Analytics Insight, 2024, Author </w:t>
      </w:r>
      <w:hyperlink r:id="rId10">
        <w:r>
          <w:rPr>
            <w:color w:val="0000EE"/>
            <w:u w:val="single"/>
          </w:rPr>
          <w:t>source</w:t>
        </w:r>
      </w:hyperlink>
      <w:r/>
    </w:p>
    <w:p>
      <w:pPr>
        <w:pStyle w:val="ListBullet"/>
        <w:spacing w:line="240" w:lineRule="auto"/>
        <w:ind w:left="720"/>
      </w:pPr>
      <w:r/>
      <w:r>
        <w:t xml:space="preserve">IngestAI, 2024, Author </w:t>
      </w:r>
      <w:hyperlink r:id="rId11">
        <w:r>
          <w:rPr>
            <w:color w:val="0000EE"/>
            <w:u w:val="single"/>
          </w:rPr>
          <w:t>source</w:t>
        </w:r>
      </w:hyperlink>
      <w:r/>
    </w:p>
    <w:p>
      <w:pPr>
        <w:pStyle w:val="ListBullet"/>
        <w:spacing w:line="240" w:lineRule="auto"/>
        <w:ind w:left="720"/>
      </w:pPr>
      <w:r/>
      <w:r>
        <w:t xml:space="preserve">Forbes, 2023, Author </w:t>
      </w:r>
      <w:hyperlink r:id="rId17">
        <w:r>
          <w:rPr>
            <w:color w:val="0000EE"/>
            <w:u w:val="single"/>
          </w:rPr>
          <w:t>source</w:t>
        </w:r>
      </w:hyperlink>
      <w:r/>
    </w:p>
    <w:p>
      <w:pPr>
        <w:pStyle w:val="ListBullet"/>
        <w:spacing w:line="240" w:lineRule="auto"/>
        <w:ind w:left="720"/>
      </w:pPr>
      <w:r/>
      <w:r>
        <w:t xml:space="preserve">Investopedia, 2024, Author </w:t>
      </w:r>
      <w:hyperlink r:id="rId18">
        <w:r>
          <w:rPr>
            <w:color w:val="0000EE"/>
            <w:u w:val="single"/>
          </w:rPr>
          <w:t>source</w:t>
        </w:r>
      </w:hyperlink>
      <w:r/>
    </w:p>
    <w:p>
      <w:pPr>
        <w:pStyle w:val="ListBullet"/>
        <w:spacing w:line="240" w:lineRule="auto"/>
        <w:ind w:left="720"/>
      </w:pPr>
      <w:r/>
      <w:r>
        <w:t xml:space="preserve">Okoone, 2024, Author </w:t>
      </w:r>
      <w:hyperlink r:id="rId19">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computerworld.com/article/3489912/generative-ai-is-sliding-into-the-trough-of-disillusionment.html" TargetMode="External"/><Relationship Id="rId10" Type="http://schemas.openxmlformats.org/officeDocument/2006/relationships/hyperlink" Target="https://www.analyticsinsight.net/generative-ai/ai-hype-cycle-2024-where-are-we-now" TargetMode="External"/><Relationship Id="rId11" Type="http://schemas.openxmlformats.org/officeDocument/2006/relationships/hyperlink" Target="https://ingestai.io/blog/ai-investment-landscape" TargetMode="External"/><Relationship Id="rId12" Type="http://schemas.openxmlformats.org/officeDocument/2006/relationships/hyperlink" Target="https://www.forbes.com/sites/christianstadler/2024/09/06/the-generative-ai-hype-is-almost-over-whats-next/" TargetMode="External"/><Relationship Id="rId13" Type="http://schemas.openxmlformats.org/officeDocument/2006/relationships/hyperlink" Target="https://www.neowin.net/news/generative-ai-has-reached-the-peak-of-inflated-expectations-in-the-hype-cycle-says-gartner/" TargetMode="External"/><Relationship Id="rId14" Type="http://schemas.openxmlformats.org/officeDocument/2006/relationships/hyperlink" Target="https://insights.manageengine.com/artificial-intelligence/gen-ai-hype-cycle/" TargetMode="External"/><Relationship Id="rId15" Type="http://schemas.openxmlformats.org/officeDocument/2006/relationships/hyperlink" Target="https://virtualizationreview.com/Articles/2024/07/29/ai-disillusionment.aspx" TargetMode="External"/><Relationship Id="rId16" Type="http://schemas.openxmlformats.org/officeDocument/2006/relationships/hyperlink" Target="https://readwise.io/reader/shared/01j346cwkhtw8xqbazpgy6mx99/" TargetMode="External"/><Relationship Id="rId17" Type="http://schemas.openxmlformats.org/officeDocument/2006/relationships/hyperlink" Target="https://www.forbes.com/sites/forrester/2023/11/06/in-2024-generative-ai-will-transition-from-hype-to-intent/" TargetMode="External"/><Relationship Id="rId18" Type="http://schemas.openxmlformats.org/officeDocument/2006/relationships/hyperlink" Target="https://www.investopedia.com/ai-is-the-biggest-tech-investing-theme-for-2024-8404597" TargetMode="External"/><Relationship Id="rId19" Type="http://schemas.openxmlformats.org/officeDocument/2006/relationships/hyperlink" Target="https://www.okoone.com/spark/industry-insights/understanding-the-ai-hype-cycle-and-its-real-world-imp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