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7E" w:rsidRPr="00B135F3" w:rsidRDefault="002649E0" w:rsidP="002649E0">
      <w:pPr>
        <w:pStyle w:val="Heading1"/>
      </w:pPr>
      <w:r w:rsidRPr="00B135F3">
        <w:t>Part B</w:t>
      </w:r>
    </w:p>
    <w:p w:rsidR="002649E0" w:rsidRPr="00B135F3" w:rsidRDefault="00B135F3" w:rsidP="002649E0">
      <w:pPr>
        <w:pStyle w:val="Heading2"/>
      </w:pPr>
      <w:r w:rsidRPr="00B135F3">
        <w:t>Pre-processing</w:t>
      </w:r>
    </w:p>
    <w:p w:rsidR="00492080" w:rsidRDefault="002649E0" w:rsidP="002649E0">
      <w:r w:rsidRPr="00B135F3">
        <w:t xml:space="preserve">The </w:t>
      </w:r>
      <w:r w:rsidR="00B135F3" w:rsidRPr="00B135F3">
        <w:t>pre-processing</w:t>
      </w:r>
      <w:r w:rsidRPr="00B135F3">
        <w:t xml:space="preserve"> method chosen was to centre </w:t>
      </w:r>
      <w:r w:rsidR="00B135F3">
        <w:t xml:space="preserve">and </w:t>
      </w:r>
      <w:r w:rsidR="00605F82">
        <w:t>up</w:t>
      </w:r>
      <w:r w:rsidRPr="00B135F3">
        <w:t>scale</w:t>
      </w:r>
      <w:r w:rsidR="00B135F3">
        <w:t xml:space="preserve"> the bitmap. This </w:t>
      </w:r>
      <w:r w:rsidR="00605F82">
        <w:t>has the effect of standardising letters, as all images including small and/or off-centre images will appear similar and so be identified easier.</w:t>
      </w:r>
      <w:r w:rsidR="00492080">
        <w:t xml:space="preserve"> This process of making the image to be classified as uniform as possible is a key aspect of any pattern recognition process</w:t>
      </w:r>
      <w:r w:rsidR="00492080" w:rsidRPr="00492080">
        <w:rPr>
          <w:vertAlign w:val="superscript"/>
        </w:rPr>
        <w:t xml:space="preserve"> [1]</w:t>
      </w:r>
      <w:r w:rsidR="00492080">
        <w:t>. The limitations of this pre-processor are that it is relatively simple and scales the image from the first detected pixel in each direction. As such a noisy image will be scaled to the most outward pixel whether it is useful data or noise.</w:t>
      </w:r>
    </w:p>
    <w:p w:rsidR="00605F82" w:rsidRDefault="00605F82" w:rsidP="002649E0">
      <w:r>
        <w:t xml:space="preserve"> </w:t>
      </w:r>
      <w:r>
        <w:t xml:space="preserve">This pre-processor was implemented using existing Java image libraries. </w:t>
      </w:r>
    </w:p>
    <w:p w:rsidR="00605F82" w:rsidRDefault="00605F82" w:rsidP="00C571A6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66C03AD1" wp14:editId="779D64CD">
            <wp:extent cx="3981450" cy="1772086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687" cy="17713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5F82" w:rsidRDefault="00605F82" w:rsidP="00C71FC8">
      <w:pPr>
        <w:pStyle w:val="Caption"/>
        <w:jc w:val="center"/>
      </w:pPr>
      <w:r>
        <w:t xml:space="preserve">Figure </w:t>
      </w:r>
      <w:fldSimple w:instr=" SEQ Figure \* ARABIC ">
        <w:r w:rsidR="00C71FC8">
          <w:rPr>
            <w:noProof/>
          </w:rPr>
          <w:t>1</w:t>
        </w:r>
      </w:fldSimple>
      <w:r>
        <w:t>: an image being centred and up-scaled.</w:t>
      </w:r>
    </w:p>
    <w:p w:rsidR="00C62792" w:rsidRDefault="00605F82" w:rsidP="00C62792">
      <w:r>
        <w:t xml:space="preserve">The pre-processor showed a marked increase in accuracy, averaging a </w:t>
      </w:r>
      <w:r w:rsidR="005344B2" w:rsidRPr="005344B2">
        <w:rPr>
          <w:rFonts w:ascii="Calibri" w:eastAsia="Times New Roman" w:hAnsi="Calibri" w:cs="Times New Roman"/>
          <w:color w:val="000000"/>
          <w:lang w:eastAsia="en-AU"/>
        </w:rPr>
        <w:t>15.98%</w:t>
      </w:r>
      <w:r w:rsidR="005344B2">
        <w:rPr>
          <w:rFonts w:ascii="Calibri" w:eastAsia="Times New Roman" w:hAnsi="Calibri" w:cs="Times New Roman"/>
          <w:color w:val="000000"/>
          <w:lang w:eastAsia="en-AU"/>
        </w:rPr>
        <w:t xml:space="preserve"> increase com</w:t>
      </w:r>
      <w:bookmarkStart w:id="0" w:name="_GoBack"/>
      <w:bookmarkEnd w:id="0"/>
      <w:r w:rsidR="005344B2">
        <w:rPr>
          <w:rFonts w:ascii="Calibri" w:eastAsia="Times New Roman" w:hAnsi="Calibri" w:cs="Times New Roman"/>
          <w:color w:val="000000"/>
          <w:lang w:eastAsia="en-AU"/>
        </w:rPr>
        <w:t>pared to the default classifier for a given sample size</w:t>
      </w:r>
      <w:r>
        <w:t xml:space="preserve">. Due to the extra overhead this did however cause a </w:t>
      </w:r>
      <w:r w:rsidR="005344B2">
        <w:t>noticeable</w:t>
      </w:r>
      <w:r>
        <w:t xml:space="preserve"> increase in time f</w:t>
      </w:r>
      <w:r w:rsidR="005344B2">
        <w:t>or both training and evaluation, with t</w:t>
      </w:r>
      <w:r>
        <w:t xml:space="preserve">he </w:t>
      </w:r>
      <w:r w:rsidR="005344B2">
        <w:t xml:space="preserve">increase in time being proportional to the number of images. </w:t>
      </w:r>
    </w:p>
    <w:p w:rsidR="00C62792" w:rsidRDefault="00C62792" w:rsidP="00C62792"/>
    <w:p w:rsidR="00C71FC8" w:rsidRDefault="005344B2" w:rsidP="00C71FC8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6E0D9AF9" wp14:editId="1AFF2A63">
            <wp:extent cx="4505325" cy="252412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2792" w:rsidRDefault="00C71FC8" w:rsidP="00C71FC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C71FC8" w:rsidRDefault="00C62792" w:rsidP="00C71FC8">
      <w:pPr>
        <w:keepNext/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3A7D019E" wp14:editId="68B3D673">
            <wp:extent cx="4581525" cy="284797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44B2" w:rsidRDefault="00C71FC8" w:rsidP="00C71FC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C62792" w:rsidRPr="00C62792" w:rsidRDefault="00C62792" w:rsidP="00C62792">
      <w:pPr>
        <w:rPr>
          <w:rFonts w:ascii="Calibri" w:eastAsia="Times New Roman" w:hAnsi="Calibri" w:cs="Times New Roman"/>
          <w:color w:val="000000"/>
          <w:lang w:eastAsia="en-AU"/>
        </w:rPr>
      </w:pPr>
      <w:r>
        <w:t>The data used in the charts above was acquired from a single-layer neural network using a 65%/35% training/testing data split and a 0.12 eta value. These are the optimal values discovered previously for this type of classifier, with the data split resulting in 2994 images used for training and 1612 used for evaluation.</w:t>
      </w:r>
    </w:p>
    <w:p w:rsidR="00C571A6" w:rsidRDefault="00C62792" w:rsidP="00C62792">
      <w:pPr>
        <w:rPr>
          <w:rFonts w:ascii="Calibri" w:eastAsia="Times New Roman" w:hAnsi="Calibri" w:cs="Times New Roman"/>
          <w:color w:val="000000"/>
          <w:lang w:eastAsia="en-AU"/>
        </w:rPr>
      </w:pPr>
      <w:r>
        <w:t xml:space="preserve"> It can be seen how effective the pre-processing is on an equivalent sample size</w:t>
      </w:r>
      <w:r>
        <w:t xml:space="preserve">. It can also be seen that there is a flat overhead of ~4.07s </w:t>
      </w:r>
      <w:r>
        <w:t>for the pre-processor</w:t>
      </w:r>
      <w:r>
        <w:t xml:space="preserve">. From the testing sample size of 2994 images this indicates each image takes approximately </w:t>
      </w:r>
      <w:r w:rsidRPr="00C62792">
        <w:rPr>
          <w:rFonts w:ascii="Calibri" w:eastAsia="Times New Roman" w:hAnsi="Calibri" w:cs="Times New Roman"/>
          <w:color w:val="000000"/>
          <w:lang w:eastAsia="en-AU"/>
        </w:rPr>
        <w:t>0.001358</w:t>
      </w:r>
      <w:r>
        <w:rPr>
          <w:rFonts w:ascii="Calibri" w:eastAsia="Times New Roman" w:hAnsi="Calibri" w:cs="Times New Roman"/>
          <w:color w:val="000000"/>
          <w:lang w:eastAsia="en-AU"/>
        </w:rPr>
        <w:t>s to process on the machine used for testing.</w:t>
      </w:r>
    </w:p>
    <w:p w:rsidR="00C71FC8" w:rsidRPr="00C71FC8" w:rsidRDefault="00C71FC8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Figure 2 shows how accurate the classifier is with certain sample sizes. This is a good indication of how effectively it has been able to learn at a given point, and demonstrates a diminishing return after approximately 50 000 samples for both variants.</w:t>
      </w:r>
      <w:r>
        <w:br w:type="page"/>
      </w:r>
    </w:p>
    <w:p w:rsidR="00492080" w:rsidRDefault="00492080" w:rsidP="00605F82">
      <w:r>
        <w:lastRenderedPageBreak/>
        <w:t>Bibliography</w:t>
      </w:r>
    </w:p>
    <w:p w:rsidR="00492080" w:rsidRPr="00492080" w:rsidRDefault="00492080" w:rsidP="004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[1]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Jawad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H </w:t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AlKhateeb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Jinchang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Ren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Jianmin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Jiang, </w:t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Husni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Al-</w:t>
      </w:r>
      <w:proofErr w:type="spellStart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Muhtaseb</w:t>
      </w:r>
      <w:proofErr w:type="spellEnd"/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Offline handwritten Arabic cursive text recognition using Hidden Markov Models and re-ranking, Pattern Recognition Letters, Volume 32, Issue 8, 1 June 2011, Pages 1081-1088, ISSN 0167-8655, http://dx.doi.org/10.1016/j.patrec.2011.02.006.</w:t>
      </w:r>
    </w:p>
    <w:p w:rsidR="00492080" w:rsidRPr="00492080" w:rsidRDefault="00492080" w:rsidP="004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4920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(http://www.sciencedirect.com/science/article/pii/S0167865511000432)</w:t>
      </w:r>
    </w:p>
    <w:sectPr w:rsidR="00492080" w:rsidRPr="0049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7E"/>
    <w:rsid w:val="000054C1"/>
    <w:rsid w:val="002649E0"/>
    <w:rsid w:val="00492080"/>
    <w:rsid w:val="005344B2"/>
    <w:rsid w:val="00605F82"/>
    <w:rsid w:val="0074008E"/>
    <w:rsid w:val="0098157A"/>
    <w:rsid w:val="00B04E3D"/>
    <w:rsid w:val="00B135F3"/>
    <w:rsid w:val="00C571A6"/>
    <w:rsid w:val="00C62792"/>
    <w:rsid w:val="00C71FC8"/>
    <w:rsid w:val="00CE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F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8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F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8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workspace\comp3702\AssignmentWorkspace\comp3702Ass3\resources\Overtraining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workspace\comp3702\AssignmentWorkspace\comp3702Ass3\resources\Overtraining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400"/>
              <a:t>Accuracy vs Sample Size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Without pre-processing</c:v>
          </c:tx>
          <c:marker>
            <c:symbol val="none"/>
          </c:marker>
          <c:xVal>
            <c:numRef>
              <c:f>Sheet1!$J$6:$J$12</c:f>
              <c:numCache>
                <c:formatCode>General</c:formatCode>
                <c:ptCount val="7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Sheet1!$K$6:$K$12</c:f>
              <c:numCache>
                <c:formatCode>0.00%</c:formatCode>
                <c:ptCount val="7"/>
                <c:pt idx="0">
                  <c:v>0.26395000000000002</c:v>
                </c:pt>
                <c:pt idx="1">
                  <c:v>0.3911</c:v>
                </c:pt>
                <c:pt idx="2">
                  <c:v>0.47425</c:v>
                </c:pt>
                <c:pt idx="3">
                  <c:v>0.53600000000000003</c:v>
                </c:pt>
                <c:pt idx="4">
                  <c:v>0.60640000000000005</c:v>
                </c:pt>
                <c:pt idx="5">
                  <c:v>0.62375000000000003</c:v>
                </c:pt>
                <c:pt idx="6">
                  <c:v>0.61975000000000002</c:v>
                </c:pt>
              </c:numCache>
            </c:numRef>
          </c:yVal>
          <c:smooth val="1"/>
        </c:ser>
        <c:ser>
          <c:idx val="2"/>
          <c:order val="1"/>
          <c:tx>
            <c:v>With pre-processing</c:v>
          </c:tx>
          <c:marker>
            <c:symbol val="none"/>
          </c:marker>
          <c:xVal>
            <c:numRef>
              <c:f>Sheet1!$J$6:$J$12</c:f>
              <c:numCache>
                <c:formatCode>General</c:formatCode>
                <c:ptCount val="7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30000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Sheet1!$L$6:$L$12</c:f>
              <c:numCache>
                <c:formatCode>0.00%</c:formatCode>
                <c:ptCount val="7"/>
                <c:pt idx="0">
                  <c:v>0.41469999999999996</c:v>
                </c:pt>
                <c:pt idx="1">
                  <c:v>0.55554999999999999</c:v>
                </c:pt>
                <c:pt idx="2">
                  <c:v>0.65380000000000005</c:v>
                </c:pt>
                <c:pt idx="3">
                  <c:v>0.68735000000000002</c:v>
                </c:pt>
                <c:pt idx="4">
                  <c:v>0.76770000000000005</c:v>
                </c:pt>
                <c:pt idx="5">
                  <c:v>0.77760000000000007</c:v>
                </c:pt>
                <c:pt idx="6">
                  <c:v>0.77729999999999999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27136"/>
        <c:axId val="193266432"/>
      </c:scatterChart>
      <c:valAx>
        <c:axId val="174427136"/>
        <c:scaling>
          <c:logBase val="10"/>
          <c:orientation val="minMax"/>
          <c:min val="100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Sample</a:t>
                </a:r>
                <a:r>
                  <a:rPr lang="en-AU" baseline="0"/>
                  <a:t> Size</a:t>
                </a:r>
              </a:p>
            </c:rich>
          </c:tx>
          <c:overlay val="0"/>
        </c:title>
        <c:numFmt formatCode="General" sourceLinked="1"/>
        <c:majorTickMark val="cross"/>
        <c:minorTickMark val="in"/>
        <c:tickLblPos val="nextTo"/>
        <c:crossAx val="193266432"/>
        <c:crosses val="autoZero"/>
        <c:crossBetween val="midCat"/>
      </c:valAx>
      <c:valAx>
        <c:axId val="193266432"/>
        <c:scaling>
          <c:orientation val="minMax"/>
          <c:max val="0.85000000000000009"/>
          <c:min val="0.2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Accuracy (%)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7442713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400"/>
              <a:t>Time vs Accuracy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Without Pre-processing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Sheet1!$Q$6:$Q$12</c:f>
              <c:numCache>
                <c:formatCode>General</c:formatCode>
                <c:ptCount val="7"/>
                <c:pt idx="0">
                  <c:v>0.74878599999999995</c:v>
                </c:pt>
                <c:pt idx="1">
                  <c:v>0.88411649999999997</c:v>
                </c:pt>
                <c:pt idx="2">
                  <c:v>1.0319560000000001</c:v>
                </c:pt>
                <c:pt idx="3">
                  <c:v>1.3672119999999999</c:v>
                </c:pt>
                <c:pt idx="4">
                  <c:v>2.6671835000000002</c:v>
                </c:pt>
                <c:pt idx="5">
                  <c:v>3.9959294999999999</c:v>
                </c:pt>
                <c:pt idx="6">
                  <c:v>7.3237699999999997</c:v>
                </c:pt>
              </c:numCache>
            </c:numRef>
          </c:xVal>
          <c:yVal>
            <c:numRef>
              <c:f>Sheet1!$R$6:$R$12</c:f>
              <c:numCache>
                <c:formatCode>0.00%</c:formatCode>
                <c:ptCount val="7"/>
                <c:pt idx="0">
                  <c:v>0.26395000000000002</c:v>
                </c:pt>
                <c:pt idx="1">
                  <c:v>0.3911</c:v>
                </c:pt>
                <c:pt idx="2">
                  <c:v>0.47425</c:v>
                </c:pt>
                <c:pt idx="3">
                  <c:v>0.53600000000000003</c:v>
                </c:pt>
                <c:pt idx="4">
                  <c:v>0.60640000000000005</c:v>
                </c:pt>
                <c:pt idx="5">
                  <c:v>0.62375000000000003</c:v>
                </c:pt>
                <c:pt idx="6">
                  <c:v>0.61975000000000002</c:v>
                </c:pt>
              </c:numCache>
            </c:numRef>
          </c:yVal>
          <c:smooth val="1"/>
        </c:ser>
        <c:ser>
          <c:idx val="1"/>
          <c:order val="1"/>
          <c:tx>
            <c:v>With Pre-processing</c:v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Sheet1!$S$6:$S$12</c:f>
              <c:numCache>
                <c:formatCode>General</c:formatCode>
                <c:ptCount val="7"/>
                <c:pt idx="0">
                  <c:v>4.8055079999999997</c:v>
                </c:pt>
                <c:pt idx="1">
                  <c:v>4.9466420000000006</c:v>
                </c:pt>
                <c:pt idx="2">
                  <c:v>5.0902469999999997</c:v>
                </c:pt>
                <c:pt idx="3">
                  <c:v>5.4474545000000001</c:v>
                </c:pt>
                <c:pt idx="4">
                  <c:v>6.7556809999999992</c:v>
                </c:pt>
                <c:pt idx="5">
                  <c:v>8.0475235000000005</c:v>
                </c:pt>
                <c:pt idx="6">
                  <c:v>11.386846</c:v>
                </c:pt>
              </c:numCache>
            </c:numRef>
          </c:xVal>
          <c:yVal>
            <c:numRef>
              <c:f>Sheet1!$T$6:$T$12</c:f>
              <c:numCache>
                <c:formatCode>0.00%</c:formatCode>
                <c:ptCount val="7"/>
                <c:pt idx="0">
                  <c:v>0.41469999999999996</c:v>
                </c:pt>
                <c:pt idx="1">
                  <c:v>0.55554999999999999</c:v>
                </c:pt>
                <c:pt idx="2">
                  <c:v>0.65380000000000005</c:v>
                </c:pt>
                <c:pt idx="3">
                  <c:v>0.68735000000000002</c:v>
                </c:pt>
                <c:pt idx="4">
                  <c:v>0.76770000000000005</c:v>
                </c:pt>
                <c:pt idx="5">
                  <c:v>0.77760000000000007</c:v>
                </c:pt>
                <c:pt idx="6">
                  <c:v>0.77729999999999999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379840"/>
        <c:axId val="163537664"/>
      </c:scatterChart>
      <c:valAx>
        <c:axId val="1633798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537664"/>
        <c:crosses val="autoZero"/>
        <c:crossBetween val="midCat"/>
      </c:valAx>
      <c:valAx>
        <c:axId val="163537664"/>
        <c:scaling>
          <c:orientation val="minMax"/>
          <c:max val="0.85000000000000009"/>
          <c:min val="0.2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Accuracy(%)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6337984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5</cp:revision>
  <dcterms:created xsi:type="dcterms:W3CDTF">2013-11-03T04:56:00Z</dcterms:created>
  <dcterms:modified xsi:type="dcterms:W3CDTF">2013-11-03T09:30:00Z</dcterms:modified>
</cp:coreProperties>
</file>