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jc w:val="center"/>
        <w:rPr/>
      </w:pPr>
      <w:r w:rsidDel="00000000" w:rsidR="00000000" w:rsidRPr="00000000">
        <w:rPr>
          <w:rFonts w:ascii="Arial" w:cs="Arial" w:eastAsia="Arial" w:hAnsi="Arial"/>
          <w:b w:val="1"/>
          <w:bCs w:val="1"/>
          <w:color w:val="1f3864"/>
          <w:sz w:val="52"/>
          <w:szCs w:val="52"/>
          <w:rtl w:val="0"/>
        </w:rPr>
        <w:t xml:space="preserve">OPERATIONAL EXPANSION PLAN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2e4057"/>
          <w:sz w:val="26"/>
          <w:szCs w:val="26"/>
          <w:rtl w:val="0"/>
        </w:rPr>
        <w:t xml:space="preserve">Proposed Expansion of Regulatory Oversight Functions</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color w:val="2e4057"/>
          <w:sz w:val="26"/>
          <w:szCs w:val="26"/>
          <w:rtl w:val="0"/>
        </w:rPr>
        <w:t xml:space="preserve">to Include Emerging Market Segments</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555555"/>
          <w:sz w:val="20"/>
          <w:szCs w:val="20"/>
          <w:rtl w:val="0"/>
        </w:rPr>
        <w:t xml:space="preserve">Prepared by: </w:t>
      </w:r>
      <w:r w:rsidDel="00000000" w:rsidR="00000000" w:rsidRPr="00000000">
        <w:rPr>
          <w:color w:val="555555"/>
          <w:sz w:val="20"/>
          <w:szCs w:val="20"/>
          <w:rtl w:val="0"/>
        </w:rPr>
        <w:t xml:space="preserve">VantageScribe</w:t>
      </w:r>
      <w:r w:rsidDel="00000000" w:rsidR="00000000" w:rsidRPr="00000000">
        <w:rPr>
          <w:rtl w:val="0"/>
        </w:rPr>
      </w:r>
    </w:p>
    <w:p w:rsidR="00000000" w:rsidDel="00000000" w:rsidP="00000000" w:rsidRDefault="00000000" w:rsidRPr="00000000" w14:paraId="00000005">
      <w:pPr>
        <w:spacing w:after="480" w:before="0" w:lineRule="auto"/>
        <w:jc w:val="center"/>
        <w:rPr/>
      </w:pPr>
      <w:r w:rsidDel="00000000" w:rsidR="00000000" w:rsidRPr="00000000">
        <w:rPr>
          <w:rFonts w:ascii="Arial" w:cs="Arial" w:eastAsia="Arial" w:hAnsi="Arial"/>
          <w:color w:val="555555"/>
          <w:sz w:val="20"/>
          <w:szCs w:val="20"/>
          <w:rtl w:val="0"/>
        </w:rPr>
        <w:t xml:space="preserve">Date: April 2026</w:t>
      </w:r>
      <w:r w:rsidDel="00000000" w:rsidR="00000000" w:rsidRPr="00000000">
        <w:rPr>
          <w:rtl w:val="0"/>
        </w:rPr>
      </w:r>
    </w:p>
    <w:p w:rsidR="00000000" w:rsidDel="00000000" w:rsidP="00000000" w:rsidRDefault="00000000" w:rsidRPr="00000000" w14:paraId="00000006">
      <w:pPr>
        <w:pBdr>
          <w:top w:color="1f3864" w:space="4" w:sz="4" w:val="single"/>
          <w:bottom w:color="1f3864" w:space="4" w:sz="4" w:val="single"/>
        </w:pBdr>
        <w:spacing w:after="120" w:before="120" w:lineRule="auto"/>
        <w:jc w:val="center"/>
        <w:rPr/>
      </w:pPr>
      <w:r w:rsidDel="00000000" w:rsidR="00000000" w:rsidRPr="00000000">
        <w:rPr>
          <w:rFonts w:ascii="Arial" w:cs="Arial" w:eastAsia="Arial" w:hAnsi="Arial"/>
          <w:b w:val="1"/>
          <w:bCs w:val="1"/>
          <w:color w:val="1f3864"/>
          <w:sz w:val="20"/>
          <w:szCs w:val="20"/>
          <w:rtl w:val="0"/>
        </w:rPr>
        <w:t xml:space="preserve">SAMPLE DELIVERABLE — Portfolio Work Product</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SECTION 1 — GENERAL INFORMATION</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1"/>
          <w:bCs w:val="1"/>
          <w:sz w:val="22"/>
          <w:szCs w:val="22"/>
          <w:rtl w:val="0"/>
        </w:rPr>
        <w:t xml:space="preserve">Proposal Title: </w:t>
      </w:r>
      <w:r w:rsidDel="00000000" w:rsidR="00000000" w:rsidRPr="00000000">
        <w:rPr>
          <w:rFonts w:ascii="Arial" w:cs="Arial" w:eastAsia="Arial" w:hAnsi="Arial"/>
          <w:sz w:val="22"/>
          <w:szCs w:val="22"/>
          <w:rtl w:val="0"/>
        </w:rPr>
        <w:t xml:space="preserve">Expansion of Compliance and Oversight Functions to Include Emerging Market Segments</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b w:val="1"/>
          <w:bCs w:val="1"/>
          <w:sz w:val="22"/>
          <w:szCs w:val="22"/>
          <w:rtl w:val="0"/>
        </w:rPr>
        <w:t xml:space="preserve">Submitting Organization: </w:t>
      </w:r>
      <w:r w:rsidDel="00000000" w:rsidR="00000000" w:rsidRPr="00000000">
        <w:rPr>
          <w:rFonts w:ascii="Arial" w:cs="Arial" w:eastAsia="Arial" w:hAnsi="Arial"/>
          <w:sz w:val="22"/>
          <w:szCs w:val="22"/>
          <w:rtl w:val="0"/>
        </w:rPr>
        <w:t xml:space="preserve">Client Organization (Confidential)</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b w:val="1"/>
          <w:bCs w:val="1"/>
          <w:sz w:val="22"/>
          <w:szCs w:val="22"/>
          <w:rtl w:val="0"/>
        </w:rPr>
        <w:t xml:space="preserve">Divisions Affected: </w:t>
      </w:r>
      <w:r w:rsidDel="00000000" w:rsidR="00000000" w:rsidRPr="00000000">
        <w:rPr>
          <w:rFonts w:ascii="Arial" w:cs="Arial" w:eastAsia="Arial" w:hAnsi="Arial"/>
          <w:sz w:val="22"/>
          <w:szCs w:val="22"/>
          <w:rtl w:val="0"/>
        </w:rPr>
        <w:t xml:space="preserve">Compliance Division, Marketing &amp; Advertising, Research &amp; Development</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b w:val="1"/>
          <w:bCs w:val="1"/>
          <w:sz w:val="22"/>
          <w:szCs w:val="22"/>
          <w:rtl w:val="0"/>
        </w:rPr>
        <w:t xml:space="preserve">Date of Submission: </w:t>
      </w:r>
      <w:r w:rsidDel="00000000" w:rsidR="00000000" w:rsidRPr="00000000">
        <w:rPr>
          <w:rFonts w:ascii="Arial" w:cs="Arial" w:eastAsia="Arial" w:hAnsi="Arial"/>
          <w:sz w:val="22"/>
          <w:szCs w:val="22"/>
          <w:rtl w:val="0"/>
        </w:rPr>
        <w:t xml:space="preserve">April 2026</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b w:val="1"/>
          <w:bCs w:val="1"/>
          <w:sz w:val="22"/>
          <w:szCs w:val="22"/>
          <w:rtl w:val="0"/>
        </w:rPr>
        <w:t xml:space="preserve">Nature of Action: </w:t>
      </w:r>
      <w:r w:rsidDel="00000000" w:rsidR="00000000" w:rsidRPr="00000000">
        <w:rPr>
          <w:rFonts w:ascii="Arial" w:cs="Arial" w:eastAsia="Arial" w:hAnsi="Arial"/>
          <w:sz w:val="22"/>
          <w:szCs w:val="22"/>
          <w:rtl w:val="0"/>
        </w:rPr>
        <w:t xml:space="preserve">Functional Expansion — existing organizational components will extend their scope to cover newly regulated or high-growth market segments. No new divisions are being created</w:t>
      </w:r>
      <w:r w:rsidDel="00000000" w:rsidR="00000000" w:rsidRPr="00000000">
        <w:rPr>
          <w:rtl w:val="0"/>
        </w:rPr>
        <w:t xml:space="preserve">,</w:t>
      </w:r>
      <w:r w:rsidDel="00000000" w:rsidR="00000000" w:rsidRPr="00000000">
        <w:rPr>
          <w:rFonts w:ascii="Arial" w:cs="Arial" w:eastAsia="Arial" w:hAnsi="Arial"/>
          <w:sz w:val="22"/>
          <w:szCs w:val="22"/>
          <w:rtl w:val="0"/>
        </w:rPr>
        <w:t xml:space="preserve"> and no existing divisions are being dissolved.</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SECTION 2 — REORGANIZATION INFORMATION</w:t>
      </w:r>
      <w:r w:rsidDel="00000000" w:rsidR="00000000" w:rsidRPr="00000000">
        <w:rPr>
          <w:rtl w:val="0"/>
        </w:rPr>
      </w:r>
    </w:p>
    <w:p w:rsidR="00000000" w:rsidDel="00000000" w:rsidP="00000000" w:rsidRDefault="00000000" w:rsidRPr="00000000" w14:paraId="00000010">
      <w:pPr>
        <w:spacing w:after="100" w:before="200" w:lineRule="auto"/>
        <w:rPr/>
      </w:pPr>
      <w:r w:rsidDel="00000000" w:rsidR="00000000" w:rsidRPr="00000000">
        <w:rPr>
          <w:rFonts w:ascii="Arial" w:cs="Arial" w:eastAsia="Arial" w:hAnsi="Arial"/>
          <w:b w:val="1"/>
          <w:bCs w:val="1"/>
          <w:color w:val="2e4057"/>
          <w:sz w:val="24"/>
          <w:szCs w:val="24"/>
          <w:rtl w:val="0"/>
        </w:rPr>
        <w:t xml:space="preserve">Functions to be Established: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Oversight Function within the Compliance Division — responsible for evaluating and regulating products that currently fall outside defined compliance frameworks due to ambiguous market categorization.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 and Claims Review Function within the Marketing Division — responsible for reviewing and enforcing truthful advertising standards across digital and traditional channels.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and Public Education Function within R&amp;D — responsible for funding market-specific research and developing internal standards targeting inaccurate product or service claims.</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spacing w:after="100" w:before="200" w:lineRule="auto"/>
        <w:rPr/>
      </w:pPr>
      <w:r w:rsidDel="00000000" w:rsidR="00000000" w:rsidRPr="00000000">
        <w:rPr>
          <w:rFonts w:ascii="Arial" w:cs="Arial" w:eastAsia="Arial" w:hAnsi="Arial"/>
          <w:b w:val="1"/>
          <w:bCs w:val="1"/>
          <w:color w:val="2e4057"/>
          <w:sz w:val="24"/>
          <w:szCs w:val="24"/>
          <w:rtl w:val="0"/>
        </w:rPr>
        <w:t xml:space="preserve">Functional Statement Revisions: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Division statement revised to include jurisdiction over products </w:t>
      </w:r>
      <w:r w:rsidDel="00000000" w:rsidR="00000000" w:rsidRPr="00000000">
        <w:rPr>
          <w:rtl w:val="0"/>
        </w:rPr>
        <w:t xml:space="preserve">that make direct or implied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claims in emerging categories.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Division statement revised to explicitly include digital advertising, influencer partnerships, and online claims review.</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R&amp;D Division statement revised to include emerging market categories as a recognized research and education domain alongside core product research.</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100" w:before="200" w:lineRule="auto"/>
        <w:rPr/>
      </w:pPr>
      <w:r w:rsidDel="00000000" w:rsidR="00000000" w:rsidRPr="00000000">
        <w:rPr>
          <w:rFonts w:ascii="Arial" w:cs="Arial" w:eastAsia="Arial" w:hAnsi="Arial"/>
          <w:b w:val="1"/>
          <w:bCs w:val="1"/>
          <w:color w:val="2e4057"/>
          <w:sz w:val="24"/>
          <w:szCs w:val="24"/>
          <w:rtl w:val="0"/>
        </w:rPr>
        <w:t xml:space="preserve">Items Established per Component: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expanded function will operate with a minimum of 6 Full-Time Equivalent (FTE) positions as outlined in Section 3.</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organizational components are being dissolved.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 changes to existing divisions.</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SECTION 3 — FULL-TIME EQUIVALENT (FTE) INFORMATION</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The following table outlines the staffing expansion required to support each new function:</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1920"/>
        <w:gridCol w:w="1840"/>
        <w:tblGridChange w:id="0">
          <w:tblGrid>
            <w:gridCol w:w="2800"/>
            <w:gridCol w:w="2800"/>
            <w:gridCol w:w="1920"/>
            <w:gridCol w:w="184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Division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Proposed FTE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Total FTE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Product Oversight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Advertising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Research &amp;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Research &amp;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r>
      <w:tr>
        <w:trPr>
          <w:cantSplit w:val="0"/>
          <w:tblHeader w:val="0"/>
        </w:trPr>
        <w:tc>
          <w:tcPr>
            <w:gridSpan w:val="2"/>
            <w:tcBorders>
              <w:top w:color="1f3864" w:space="0" w:sz="4" w:val="single"/>
              <w:left w:color="1f3864" w:space="0" w:sz="4" w:val="single"/>
              <w:bottom w:color="1f3864" w:space="0" w:sz="4" w:val="single"/>
              <w:right w:color="1f3864" w:space="0" w:sz="4" w:val="single"/>
            </w:tcBorders>
            <w:shd w:fill="2e4057"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22</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22</w:t>
            </w:r>
            <w:r w:rsidDel="00000000" w:rsidR="00000000" w:rsidRPr="00000000">
              <w:rPr>
                <w:rtl w:val="0"/>
              </w:rPr>
            </w:r>
          </w:p>
        </w:tc>
      </w:tr>
    </w:tbl>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sz w:val="22"/>
          <w:szCs w:val="22"/>
          <w:rtl w:val="0"/>
        </w:rPr>
        <w:t xml:space="preserve">Position types to be added per division include compliance analysts, regulatory coordinators, public affairs specialists, and research analysts. All positions meet the recommended minimum of 6 FTE per organizational component.</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tl w:val="0"/>
        </w:rPr>
      </w:r>
    </w:p>
    <w:p w:rsidR="00000000" w:rsidDel="00000000" w:rsidP="00000000" w:rsidRDefault="00000000" w:rsidRPr="00000000" w14:paraId="00000039">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SECTION 4 — BUDGET INFORMATION</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Estimated annual cost of proposed expansion, based on market-rate average compensation of $87,000 plus 30% benefits overhead:</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170"/>
        <w:gridCol w:w="2250"/>
        <w:gridCol w:w="1800"/>
        <w:gridCol w:w="1800"/>
        <w:tblGridChange w:id="0">
          <w:tblGrid>
            <w:gridCol w:w="2340"/>
            <w:gridCol w:w="1170"/>
            <w:gridCol w:w="2250"/>
            <w:gridCol w:w="1800"/>
            <w:gridCol w:w="18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Division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FTE Added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Est. Annual Salary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Benefits (30%)</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Total Annual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$696,000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$208,800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$904,800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$696,000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$208,800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$904,800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R&amp;D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$522,000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$156,600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$678,600</w:t>
            </w:r>
            <w:r w:rsidDel="00000000" w:rsidR="00000000" w:rsidRPr="00000000">
              <w:rPr>
                <w:rtl w:val="0"/>
              </w:rPr>
            </w:r>
          </w:p>
        </w:tc>
      </w:tr>
      <w:tr>
        <w:trPr>
          <w:cantSplit w:val="0"/>
          <w:tblHeader w:val="0"/>
        </w:trPr>
        <w:tc>
          <w:tcPr>
            <w:gridSpan w:val="2"/>
            <w:tcBorders>
              <w:top w:color="1f3864" w:space="0" w:sz="4" w:val="single"/>
              <w:left w:color="1f3864" w:space="0" w:sz="4" w:val="single"/>
              <w:bottom w:color="1f3864" w:space="0" w:sz="4" w:val="single"/>
              <w:right w:color="1f3864" w:space="0" w:sz="4" w:val="single"/>
            </w:tcBorders>
            <w:shd w:fill="2e4057"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TOTAL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$1,914,000</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$574,200</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$2,488,200</w:t>
            </w:r>
            <w:r w:rsidDel="00000000" w:rsidR="00000000" w:rsidRPr="00000000">
              <w:rPr>
                <w:rtl w:val="0"/>
              </w:rPr>
            </w:r>
          </w:p>
        </w:tc>
      </w:tr>
    </w:tbl>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2"/>
          <w:szCs w:val="22"/>
          <w:rtl w:val="0"/>
        </w:rPr>
        <w:t xml:space="preserve">Additional one-time startup costs</w:t>
      </w:r>
      <w:r w:rsidDel="00000000" w:rsidR="00000000" w:rsidRPr="00000000">
        <w:rPr>
          <w:rtl w:val="0"/>
        </w:rPr>
        <w:t xml:space="preserve">,</w:t>
      </w:r>
      <w:r w:rsidDel="00000000" w:rsidR="00000000" w:rsidRPr="00000000">
        <w:rPr>
          <w:rFonts w:ascii="Arial" w:cs="Arial" w:eastAsia="Arial" w:hAnsi="Arial"/>
          <w:sz w:val="22"/>
          <w:szCs w:val="22"/>
          <w:rtl w:val="0"/>
        </w:rPr>
        <w:t xml:space="preserve"> including technology infrastructure, training, and program onboarding</w:t>
      </w:r>
      <w:r w:rsidDel="00000000" w:rsidR="00000000" w:rsidRPr="00000000">
        <w:rPr>
          <w:rtl w:val="0"/>
        </w:rPr>
        <w:t xml:space="preserve">,</w:t>
      </w:r>
      <w:r w:rsidDel="00000000" w:rsidR="00000000" w:rsidRPr="00000000">
        <w:rPr>
          <w:rFonts w:ascii="Arial" w:cs="Arial" w:eastAsia="Arial" w:hAnsi="Arial"/>
          <w:sz w:val="22"/>
          <w:szCs w:val="22"/>
          <w:rtl w:val="0"/>
        </w:rPr>
        <w:t xml:space="preserve"> are estimated at $500,000 across all three divisions, bringing the total first-year investment to approximately $2,988,200.</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sz w:val="22"/>
          <w:szCs w:val="22"/>
          <w:rtl w:val="0"/>
        </w:rPr>
        <w:t xml:space="preserve">This investment is offset by projected reductions in compliance risk exposure, advertising liability, and operational costs associated with unmanaged market-segment growth.</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28"/>
          <w:szCs w:val="28"/>
          <w:rtl w:val="0"/>
        </w:rPr>
        <w:t xml:space="preserve">SECTION 5 — ORGANIZATIONAL STRUCTURE</w:t>
      </w: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rFonts w:ascii="Arial" w:cs="Arial" w:eastAsia="Arial" w:hAnsi="Arial"/>
          <w:b w:val="1"/>
          <w:bCs w:val="1"/>
          <w:color w:val="2e4057"/>
          <w:sz w:val="24"/>
          <w:szCs w:val="24"/>
          <w:rtl w:val="0"/>
        </w:rPr>
        <w:t xml:space="preserve">Current Structure:</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2"/>
          <w:szCs w:val="22"/>
          <w:rtl w:val="0"/>
        </w:rPr>
        <w:t xml:space="preserve">The Compliance, Marketing, and R&amp;D divisions each operate within their established core domains with no formal oversight authority over emerging market segments. These segments currently exist in an operational grey area outside the formal jurisdiction of any internal division.</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spacing w:after="100" w:before="200" w:lineRule="auto"/>
        <w:rPr/>
      </w:pPr>
      <w:r w:rsidDel="00000000" w:rsidR="00000000" w:rsidRPr="00000000">
        <w:rPr>
          <w:rFonts w:ascii="Arial" w:cs="Arial" w:eastAsia="Arial" w:hAnsi="Arial"/>
          <w:b w:val="1"/>
          <w:bCs w:val="1"/>
          <w:color w:val="2e4057"/>
          <w:sz w:val="24"/>
          <w:szCs w:val="24"/>
          <w:rtl w:val="0"/>
        </w:rPr>
        <w:t xml:space="preserve">Proposed Structure:</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Each division will establish a defined oversight function nested within an existing relevant sub-unit:</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Oversight Function sits under the existing Compliance Operations unit.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 Review Function sits under the existing Bureau of Consumer Communications.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and Education Function sits under the existing Public Liaison and Outreach team.</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sz w:val="22"/>
          <w:szCs w:val="22"/>
          <w:rtl w:val="0"/>
        </w:rPr>
        <w:t xml:space="preserve">This structure avoids the creation of redundant new divisions while leveraging existing expertise, infrastructure, and organizational authority. Functions are distinct and non-overlapping — Compliance covers product integrity, Marketing covers advertising claims, and R&amp;D covers research and public education.</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pBdr>
          <w:top w:color="1f3864" w:space="4" w:sz="4" w:val="single"/>
        </w:pBdr>
        <w:spacing w:after="120" w:before="320" w:lineRule="auto"/>
        <w:jc w:val="center"/>
        <w:rPr/>
      </w:pPr>
      <w:r w:rsidDel="00000000" w:rsidR="00000000" w:rsidRPr="00000000">
        <w:rPr>
          <w:rFonts w:ascii="Arial" w:cs="Arial" w:eastAsia="Arial" w:hAnsi="Arial"/>
          <w:color w:val="888888"/>
          <w:sz w:val="18"/>
          <w:szCs w:val="18"/>
          <w:rtl w:val="0"/>
        </w:rPr>
        <w:t xml:space="preserve">Document prepared by </w:t>
      </w:r>
      <w:r w:rsidDel="00000000" w:rsidR="00000000" w:rsidRPr="00000000">
        <w:rPr>
          <w:color w:val="888888"/>
          <w:sz w:val="18"/>
          <w:szCs w:val="18"/>
          <w:rtl w:val="0"/>
        </w:rPr>
        <w:t xml:space="preserve">VantageScribe</w:t>
      </w:r>
      <w:r w:rsidDel="00000000" w:rsidR="00000000" w:rsidRPr="00000000">
        <w:rPr>
          <w:rFonts w:ascii="Arial" w:cs="Arial" w:eastAsia="Arial" w:hAnsi="Arial"/>
          <w:color w:val="888888"/>
          <w:sz w:val="18"/>
          <w:szCs w:val="18"/>
          <w:rtl w:val="0"/>
        </w:rPr>
        <w:t xml:space="preserve">  |  andrewwootenoperations@gmail.com</w:t>
      </w:r>
      <w:r w:rsidDel="00000000" w:rsidR="00000000" w:rsidRPr="00000000">
        <w:rPr>
          <w:rtl w:val="0"/>
        </w:rPr>
      </w:r>
    </w:p>
    <w:sectPr>
      <w:headerReference r:id="rId7" w:type="default"/>
      <w:footerReference r:id="rId8"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color="cccccc" w:space="4" w:sz="4" w:val="single"/>
      </w:pBdr>
      <w:tabs>
        <w:tab w:val="right" w:leader="none" w:pos="9360"/>
      </w:tabs>
      <w:rPr/>
    </w:pPr>
    <w:r w:rsidDel="00000000" w:rsidR="00000000" w:rsidRPr="00000000">
      <w:rPr>
        <w:rFonts w:ascii="Arial" w:cs="Arial" w:eastAsia="Arial" w:hAnsi="Arial"/>
        <w:color w:val="888888"/>
        <w:sz w:val="18"/>
        <w:szCs w:val="18"/>
        <w:rtl w:val="0"/>
      </w:rPr>
      <w:t xml:space="preserve">Confidential — Client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bottom w:color="1f3864" w:space="4" w:sz="6" w:val="single"/>
      </w:pBdr>
      <w:spacing w:after="120" w:lineRule="auto"/>
      <w:rPr/>
    </w:pPr>
    <w:r w:rsidDel="00000000" w:rsidR="00000000" w:rsidRPr="00000000">
      <w:rPr>
        <w:rFonts w:ascii="Arial" w:cs="Arial" w:eastAsia="Arial" w:hAnsi="Arial"/>
        <w:b w:val="1"/>
        <w:bCs w:val="1"/>
        <w:color w:val="1f3864"/>
        <w:sz w:val="22"/>
        <w:szCs w:val="22"/>
        <w:rtl w:val="0"/>
      </w:rPr>
      <w:t xml:space="preserve">OPERATIONAL EXPANSION PLAN</w:t>
    </w:r>
    <w:r w:rsidDel="00000000" w:rsidR="00000000" w:rsidRPr="00000000">
      <w:rPr>
        <w:rFonts w:ascii="Arial" w:cs="Arial" w:eastAsia="Arial" w:hAnsi="Arial"/>
        <w:color w:val="666666"/>
        <w:sz w:val="20"/>
        <w:szCs w:val="20"/>
        <w:rtl w:val="0"/>
      </w:rPr>
      <w:t xml:space="preserve">   |   Prepared by </w:t>
    </w:r>
    <w:r w:rsidDel="00000000" w:rsidR="00000000" w:rsidRPr="00000000">
      <w:rPr>
        <w:color w:val="666666"/>
        <w:sz w:val="20"/>
        <w:szCs w:val="20"/>
        <w:rtl w:val="0"/>
      </w:rPr>
      <w:t xml:space="preserve">VantageScribe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8ciBBFqZCBBc4vauyi5ku5mUEQ==">CgMxLjA4AHIhMWFIMWFKRVR0dUxXMW9SeVl0VElBQ2ZNY0ZSeTh0Y1k5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